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42"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213" w:lineRule="exact"/>
        <w:rPr>
          <w:sz w:val="24"/>
          <w:szCs w:val="24"/>
          <w:color w:val="auto"/>
        </w:rPr>
      </w:pPr>
    </w:p>
    <w:p>
      <w:pPr>
        <w:jc w:val="right"/>
        <w:ind w:right="1579"/>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222885</wp:posOffset>
            </wp:positionV>
            <wp:extent cx="1234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16"/>
          <w:szCs w:val="16"/>
          <w:color w:val="auto"/>
        </w:rPr>
        <w:t>☒</w:t>
      </w:r>
    </w:p>
    <w:p>
      <w:pPr>
        <w:spacing w:after="0" w:line="6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289" w:lineRule="exact"/>
        <w:rPr>
          <w:sz w:val="24"/>
          <w:szCs w:val="24"/>
          <w:color w:val="auto"/>
        </w:rPr>
      </w:pPr>
    </w:p>
    <w:p>
      <w:pPr>
        <w:ind w:left="380" w:hanging="376"/>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138" w:lineRule="exact"/>
        <w:rPr>
          <w:sz w:val="24"/>
          <w:szCs w:val="24"/>
          <w:color w:val="auto"/>
        </w:rPr>
      </w:pPr>
    </w:p>
    <w:p>
      <w:pPr>
        <w:ind w:left="380" w:hanging="376"/>
        <w:spacing w:after="0"/>
        <w:tabs>
          <w:tab w:leader="none" w:pos="3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Confidential, for Use of the Commission Only (as permitted by Rule 14a-6(e)(2))</w:t>
      </w:r>
    </w:p>
    <w:p>
      <w:pPr>
        <w:spacing w:after="0" w:line="142" w:lineRule="exact"/>
        <w:rPr>
          <w:rFonts w:ascii="MS PGothic" w:cs="MS PGothic" w:eastAsia="MS PGothic" w:hAnsi="MS PGothic"/>
          <w:sz w:val="16"/>
          <w:szCs w:val="16"/>
          <w:color w:val="auto"/>
        </w:rPr>
      </w:pPr>
    </w:p>
    <w:p>
      <w:pPr>
        <w:ind w:left="380" w:hanging="376"/>
        <w:spacing w:after="0"/>
        <w:tabs>
          <w:tab w:leader="none" w:pos="3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Proxy Statement</w:t>
      </w:r>
    </w:p>
    <w:p>
      <w:pPr>
        <w:spacing w:after="0" w:line="140" w:lineRule="exact"/>
        <w:rPr>
          <w:rFonts w:ascii="MS PGothic" w:cs="MS PGothic" w:eastAsia="MS PGothic" w:hAnsi="MS PGothic"/>
          <w:sz w:val="16"/>
          <w:szCs w:val="16"/>
          <w:color w:val="auto"/>
        </w:rPr>
      </w:pPr>
    </w:p>
    <w:p>
      <w:pPr>
        <w:ind w:left="380" w:hanging="376"/>
        <w:spacing w:after="0"/>
        <w:tabs>
          <w:tab w:leader="none" w:pos="3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140" w:lineRule="exact"/>
        <w:rPr>
          <w:rFonts w:ascii="MS PGothic" w:cs="MS PGothic" w:eastAsia="MS PGothic" w:hAnsi="MS PGothic"/>
          <w:sz w:val="16"/>
          <w:szCs w:val="16"/>
          <w:color w:val="auto"/>
        </w:rPr>
      </w:pPr>
    </w:p>
    <w:p>
      <w:pPr>
        <w:ind w:left="380" w:hanging="376"/>
        <w:spacing w:after="0"/>
        <w:tabs>
          <w:tab w:leader="none" w:pos="3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2197100</wp:posOffset>
            </wp:positionH>
            <wp:positionV relativeFrom="paragraph">
              <wp:posOffset>303530</wp:posOffset>
            </wp:positionV>
            <wp:extent cx="1791335" cy="676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91335" cy="6769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3"/>
          <w:szCs w:val="23"/>
          <w:b w:val="1"/>
          <w:bCs w:val="1"/>
          <w:color w:val="auto"/>
        </w:rPr>
        <w:t>Larimar Therapeutics, Inc.</w:t>
      </w:r>
    </w:p>
    <w:p>
      <w:pPr>
        <w:spacing w:after="0" w:line="44"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(Name of Registrant as Specified in Its Charter)</w:t>
      </w:r>
    </w:p>
    <w:p>
      <w:pPr>
        <w:spacing w:after="0" w:line="216"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16"/>
          <w:szCs w:val="16"/>
          <w:b w:val="1"/>
          <w:bCs w:val="1"/>
          <w:color w:val="auto"/>
        </w:rPr>
        <w:t>(Name of Person(s) Filing Proxy Statement, if other than the Registrant)</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84" w:lineRule="exact"/>
        <w:rPr>
          <w:sz w:val="24"/>
          <w:szCs w:val="24"/>
          <w:color w:val="auto"/>
        </w:rPr>
      </w:pPr>
    </w:p>
    <w:p>
      <w:pPr>
        <w:ind w:left="380" w:hanging="376"/>
        <w:spacing w:after="0"/>
        <w:tabs>
          <w:tab w:leader="none" w:pos="38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fee required</w:t>
      </w:r>
    </w:p>
    <w:p>
      <w:pPr>
        <w:spacing w:after="0" w:line="140" w:lineRule="exact"/>
        <w:rPr>
          <w:sz w:val="24"/>
          <w:szCs w:val="24"/>
          <w:color w:val="auto"/>
        </w:rPr>
      </w:pPr>
    </w:p>
    <w:p>
      <w:pPr>
        <w:ind w:left="380" w:hanging="376"/>
        <w:spacing w:after="0"/>
        <w:tabs>
          <w:tab w:leader="none" w:pos="38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140" w:lineRule="exact"/>
        <w:rPr>
          <w:rFonts w:ascii="MS PGothic" w:cs="MS PGothic" w:eastAsia="MS PGothic" w:hAnsi="MS PGothic"/>
          <w:sz w:val="16"/>
          <w:szCs w:val="16"/>
          <w:color w:val="auto"/>
        </w:rPr>
      </w:pPr>
    </w:p>
    <w:p>
      <w:pPr>
        <w:ind w:left="380" w:hanging="376"/>
        <w:spacing w:after="0"/>
        <w:tabs>
          <w:tab w:leader="none" w:pos="38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624840</wp:posOffset>
            </wp:positionV>
            <wp:extent cx="703770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880" w:right="1440" w:bottom="1440" w:gutter="0" w:footer="0" w:header="0"/>
        </w:sectPr>
      </w:pPr>
    </w:p>
    <w:bookmarkStart w:id="1" w:name="page2"/>
    <w:bookmarkEnd w:id="1"/>
    <w:p>
      <w:pPr>
        <w:jc w:val="center"/>
        <w:ind w:left="860"/>
        <w:spacing w:after="0"/>
        <w:rPr>
          <w:sz w:val="20"/>
          <w:szCs w:val="20"/>
          <w:color w:val="auto"/>
        </w:rPr>
      </w:pPr>
      <w:r>
        <w:rPr>
          <w:rFonts w:ascii="Times New Roman" w:cs="Times New Roman" w:eastAsia="Times New Roman" w:hAnsi="Times New Roman"/>
          <w:sz w:val="18"/>
          <w:szCs w:val="18"/>
          <w:b w:val="1"/>
          <w:bCs w:val="1"/>
          <w:color w:val="FF0000"/>
        </w:rPr>
        <w:t>PRELIMINARY COPY SUBJECT TO COMPLETION DATED APRIL 10, 2026</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FF0000"/>
        </w:rPr>
        <w:t>In accordance with Rule 14a-6(d) under Regulation 14A, please be advised that Larimar Therapeutics, Inc. intends</w:t>
      </w:r>
    </w:p>
    <w:p>
      <w:pPr>
        <w:spacing w:after="0" w:line="31" w:lineRule="exact"/>
        <w:rPr>
          <w:sz w:val="20"/>
          <w:szCs w:val="20"/>
          <w:color w:val="auto"/>
        </w:rPr>
      </w:pPr>
    </w:p>
    <w:tbl>
      <w:tblPr>
        <w:tblLayout w:type="fixed"/>
        <w:tblInd w:w="2120" w:type="dxa"/>
        <w:tblCellMar>
          <w:top w:w="0" w:type="dxa"/>
          <w:left w:w="0" w:type="dxa"/>
          <w:bottom w:w="0" w:type="dxa"/>
          <w:right w:w="0" w:type="dxa"/>
        </w:tblCellMar>
      </w:tblPr>
      <w:tr>
        <w:trPr>
          <w:trHeight w:val="238"/>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FF0000"/>
              </w:rPr>
              <w:t>to release definitive copies of this Proxy Statement to security holders on or about April</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FF0000"/>
              </w:rPr>
              <w:t>, 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2616200</wp:posOffset>
            </wp:positionH>
            <wp:positionV relativeFrom="paragraph">
              <wp:posOffset>140335</wp:posOffset>
            </wp:positionV>
            <wp:extent cx="1791335" cy="676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1335"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Three Bala Plaza East, Suite 506</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Bala Cynwyd, PA 19004</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2026 ANNUAL MEETING OF STOCKHOLDERS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May 19, 2026</w:t>
      </w:r>
    </w:p>
    <w:p>
      <w:pPr>
        <w:spacing w:after="0" w:line="202"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April</w:t>
      </w:r>
      <w:r>
        <w:rPr>
          <w:sz w:val="20"/>
          <w:szCs w:val="20"/>
          <w:color w:val="auto"/>
        </w:rPr>
        <w:tab/>
      </w:r>
      <w:r>
        <w:rPr>
          <w:rFonts w:ascii="Times New Roman" w:cs="Times New Roman" w:eastAsia="Times New Roman" w:hAnsi="Times New Roman"/>
          <w:sz w:val="18"/>
          <w:szCs w:val="18"/>
          <w:color w:val="auto"/>
        </w:rPr>
        <w:t>, 2026</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185" w:lineRule="exact"/>
        <w:rPr>
          <w:sz w:val="20"/>
          <w:szCs w:val="20"/>
          <w:color w:val="auto"/>
        </w:rPr>
      </w:pPr>
    </w:p>
    <w:p>
      <w:pPr>
        <w:jc w:val="both"/>
        <w:ind w:left="660" w:right="660"/>
        <w:spacing w:after="0" w:line="256" w:lineRule="auto"/>
        <w:rPr>
          <w:sz w:val="20"/>
          <w:szCs w:val="20"/>
          <w:color w:val="auto"/>
        </w:rPr>
      </w:pPr>
      <w:r>
        <w:rPr>
          <w:rFonts w:ascii="Times New Roman" w:cs="Times New Roman" w:eastAsia="Times New Roman" w:hAnsi="Times New Roman"/>
          <w:sz w:val="18"/>
          <w:szCs w:val="18"/>
          <w:color w:val="auto"/>
        </w:rPr>
        <w:t>We are pleased to invite you to attend the 2026 Annual Meeting of Stockholders of Larimar Therapeutics, Inc. (the “Annual Meeting”), which will be held at 8:00 a.m., Eastern Time, on Tuesday, May 19, 2026. The Annual Meeting will be held in a virtual meeting format only. Stockholders will not be able to attend the Annual Meeting physically. We believe that the virtual meeting format enables stockholders to attend and participate from any location around the world at no cost, provides for cost savings to Larimar Therapeutics, Inc. (the “Company”) and reduces the environmental impact of our Annual Meeting. The Annual Meeting can be accessed via the Internet at: meetnow.global/MWXPCMG.</w:t>
      </w:r>
    </w:p>
    <w:p>
      <w:pPr>
        <w:spacing w:after="0" w:line="160" w:lineRule="exact"/>
        <w:rPr>
          <w:sz w:val="20"/>
          <w:szCs w:val="20"/>
          <w:color w:val="auto"/>
        </w:rPr>
      </w:pPr>
    </w:p>
    <w:p>
      <w:pPr>
        <w:jc w:val="both"/>
        <w:ind w:left="660" w:right="660"/>
        <w:spacing w:after="0" w:line="261" w:lineRule="auto"/>
        <w:rPr>
          <w:sz w:val="20"/>
          <w:szCs w:val="20"/>
          <w:color w:val="auto"/>
        </w:rPr>
      </w:pPr>
      <w:r>
        <w:rPr>
          <w:rFonts w:ascii="Times New Roman" w:cs="Times New Roman" w:eastAsia="Times New Roman" w:hAnsi="Times New Roman"/>
          <w:sz w:val="18"/>
          <w:szCs w:val="18"/>
          <w:color w:val="auto"/>
        </w:rPr>
        <w:t>Details regarding the business to be conducted at the Annual Meeting are more fully described in the accompanying Notice of 2026 Annual Meeting of Stockholders (the “Notice”) and 2026 Annual Meeting Proxy Statement (the “Proxy Statement”). Other than the proposals described in the Proxy Statement, the Board of Directors is not aware of any other matters to be presented for a vote at the Annual Meeting.</w:t>
      </w:r>
    </w:p>
    <w:p>
      <w:pPr>
        <w:spacing w:after="0" w:line="135" w:lineRule="exact"/>
        <w:rPr>
          <w:sz w:val="20"/>
          <w:szCs w:val="20"/>
          <w:color w:val="auto"/>
        </w:rPr>
      </w:pPr>
    </w:p>
    <w:p>
      <w:pPr>
        <w:jc w:val="both"/>
        <w:ind w:left="660" w:right="660"/>
        <w:spacing w:after="0" w:line="268" w:lineRule="auto"/>
        <w:rPr>
          <w:sz w:val="20"/>
          <w:szCs w:val="20"/>
          <w:color w:val="auto"/>
        </w:rPr>
      </w:pPr>
      <w:r>
        <w:rPr>
          <w:rFonts w:ascii="Times New Roman" w:cs="Times New Roman" w:eastAsia="Times New Roman" w:hAnsi="Times New Roman"/>
          <w:sz w:val="18"/>
          <w:szCs w:val="18"/>
          <w:b w:val="1"/>
          <w:bCs w:val="1"/>
          <w:color w:val="auto"/>
        </w:rPr>
        <w:t>Your vote is important</w:t>
      </w:r>
      <w:r>
        <w:rPr>
          <w:rFonts w:ascii="Times New Roman" w:cs="Times New Roman" w:eastAsia="Times New Roman" w:hAnsi="Times New Roman"/>
          <w:sz w:val="18"/>
          <w:szCs w:val="18"/>
          <w:color w:val="auto"/>
        </w:rPr>
        <w:t>. Whether or not you plan to virtually attend the Annual Meeting, we encourage you to vote as soon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possible to ensure that your shares are represented. Information about voting methods is set forth in the accompanying Notice and Proxy Statement.</w:t>
      </w:r>
    </w:p>
    <w:p>
      <w:pPr>
        <w:spacing w:after="0" w:line="134" w:lineRule="exact"/>
        <w:rPr>
          <w:sz w:val="20"/>
          <w:szCs w:val="20"/>
          <w:color w:val="auto"/>
        </w:rPr>
      </w:pPr>
    </w:p>
    <w:p>
      <w:pPr>
        <w:jc w:val="both"/>
        <w:ind w:left="660" w:right="660"/>
        <w:spacing w:after="0" w:line="282" w:lineRule="auto"/>
        <w:rPr>
          <w:sz w:val="20"/>
          <w:szCs w:val="20"/>
          <w:color w:val="auto"/>
        </w:rPr>
      </w:pPr>
      <w:r>
        <w:rPr>
          <w:rFonts w:ascii="Times New Roman" w:cs="Times New Roman" w:eastAsia="Times New Roman" w:hAnsi="Times New Roman"/>
          <w:sz w:val="18"/>
          <w:szCs w:val="18"/>
          <w:color w:val="auto"/>
        </w:rPr>
        <w:t>If you have any questions with respect to voting, please call our Chief Financial Officer and Secretary, Michael Celano, at 484-414-2715.</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Thank you for your continued confidence in our Company. We look forward to your participation at the meeting.</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Joseph Truitt</w:t>
            </w:r>
          </w:p>
        </w:tc>
        <w:tc>
          <w:tcPr>
            <w:tcW w:w="8400" w:type="dxa"/>
            <w:vAlign w:val="bottom"/>
            <w:gridSpan w:val="2"/>
          </w:tcPr>
          <w:p>
            <w:pPr>
              <w:ind w:left="2740"/>
              <w:spacing w:after="0"/>
              <w:rPr>
                <w:sz w:val="20"/>
                <w:szCs w:val="20"/>
                <w:color w:val="auto"/>
              </w:rPr>
            </w:pPr>
            <w:r>
              <w:rPr>
                <w:rFonts w:ascii="Times New Roman" w:cs="Times New Roman" w:eastAsia="Times New Roman" w:hAnsi="Times New Roman"/>
                <w:sz w:val="18"/>
                <w:szCs w:val="18"/>
                <w:color w:val="auto"/>
              </w:rPr>
              <w:t>Carole S. Ben-Maimon, M.D.</w:t>
            </w:r>
          </w:p>
        </w:tc>
      </w:tr>
      <w:tr>
        <w:trPr>
          <w:trHeight w:val="337"/>
        </w:trPr>
        <w:tc>
          <w:tcPr>
            <w:tcW w:w="2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Chairperson of the Board</w:t>
            </w:r>
          </w:p>
        </w:tc>
        <w:tc>
          <w:tcPr>
            <w:tcW w:w="8400" w:type="dxa"/>
            <w:vAlign w:val="bottom"/>
            <w:gridSpan w:val="2"/>
          </w:tcPr>
          <w:p>
            <w:pPr>
              <w:ind w:left="274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r>
      <w:tr>
        <w:trPr>
          <w:trHeight w:val="558"/>
        </w:trPr>
        <w:tc>
          <w:tcPr>
            <w:tcW w:w="2640" w:type="dxa"/>
            <w:vAlign w:val="bottom"/>
          </w:tcPr>
          <w:p>
            <w:pPr>
              <w:spacing w:after="0"/>
              <w:rPr>
                <w:sz w:val="24"/>
                <w:szCs w:val="24"/>
                <w:color w:val="auto"/>
              </w:rPr>
            </w:pPr>
          </w:p>
        </w:tc>
        <w:tc>
          <w:tcPr>
            <w:tcW w:w="8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THIS PROXY STATEMENT AND ENCLOSED PROXY CARD ARE</w:t>
            </w:r>
          </w:p>
        </w:tc>
      </w:tr>
      <w:tr>
        <w:trPr>
          <w:trHeight w:val="238"/>
        </w:trPr>
        <w:tc>
          <w:tcPr>
            <w:tcW w:w="2640" w:type="dxa"/>
            <w:vAlign w:val="bottom"/>
          </w:tcPr>
          <w:p>
            <w:pPr>
              <w:spacing w:after="0"/>
              <w:rPr>
                <w:sz w:val="20"/>
                <w:szCs w:val="20"/>
                <w:color w:val="auto"/>
              </w:rPr>
            </w:pPr>
          </w:p>
        </w:tc>
        <w:tc>
          <w:tcPr>
            <w:tcW w:w="454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FIRST BEING MAILED ON OR ABOUT APRIL</w:t>
            </w:r>
          </w:p>
        </w:tc>
        <w:tc>
          <w:tcPr>
            <w:tcW w:w="3860" w:type="dxa"/>
            <w:vAlign w:val="bottom"/>
          </w:tcPr>
          <w:p>
            <w:pPr>
              <w:jc w:val="right"/>
              <w:ind w:right="3030"/>
              <w:spacing w:after="0"/>
              <w:rPr>
                <w:sz w:val="20"/>
                <w:szCs w:val="20"/>
                <w:color w:val="auto"/>
              </w:rPr>
            </w:pPr>
            <w:r>
              <w:rPr>
                <w:rFonts w:ascii="Times New Roman" w:cs="Times New Roman" w:eastAsia="Times New Roman" w:hAnsi="Times New Roman"/>
                <w:sz w:val="18"/>
                <w:szCs w:val="18"/>
                <w:b w:val="1"/>
                <w:bCs w:val="1"/>
                <w:color w:val="auto"/>
              </w:rPr>
              <w:t>, 2026.</w:t>
            </w:r>
          </w:p>
        </w:tc>
      </w:tr>
      <w:tr>
        <w:trPr>
          <w:trHeight w:val="979"/>
        </w:trPr>
        <w:tc>
          <w:tcPr>
            <w:tcW w:w="264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981" w:right="4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2882900</wp:posOffset>
            </wp:positionH>
            <wp:positionV relativeFrom="page">
              <wp:posOffset>782955</wp:posOffset>
            </wp:positionV>
            <wp:extent cx="1791335" cy="676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791335"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NOTICE OF 2026 ANNUAL MEETING OF STOCKHOLDERS</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 be Held on May 19, 2026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11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w:t>
      </w:r>
      <w:r>
        <w:rPr>
          <w:rFonts w:ascii="Times New Roman" w:cs="Times New Roman" w:eastAsia="Times New Roman" w:hAnsi="Times New Roman"/>
          <w:sz w:val="18"/>
          <w:szCs w:val="18"/>
          <w:color w:val="auto"/>
        </w:rPr>
        <w:t>that the 2026 Annual Meeting of Stockholders of Larimar Therapeutics, Inc. (the “Annual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held as a virtual meeting on Tuesday, May 19, 2026, at 8:00 a.m. Eastern Time. We are holding the meeting for the purpose of considering and acting upon the:</w:t>
      </w:r>
    </w:p>
    <w:p>
      <w:pPr>
        <w:spacing w:after="0" w:line="67" w:lineRule="exact"/>
        <w:rPr>
          <w:sz w:val="20"/>
          <w:szCs w:val="20"/>
          <w:color w:val="auto"/>
        </w:rPr>
      </w:pPr>
    </w:p>
    <w:p>
      <w:pPr>
        <w:ind w:left="1320" w:hanging="655"/>
        <w:spacing w:after="0" w:line="261" w:lineRule="auto"/>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the three director nominees set forth in the attached 2026 Annual Meeting Proxy Statement (the “Proxy Statement”) to serve as Class III directors, whose terms will expire at the 2029 Annual Meeting of Stockholders;</w:t>
      </w:r>
    </w:p>
    <w:p>
      <w:pPr>
        <w:ind w:left="1320" w:hanging="655"/>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on an advisory basis, of the compensation of our named executive officers;</w:t>
      </w:r>
    </w:p>
    <w:p>
      <w:pPr>
        <w:spacing w:after="0" w:line="9" w:lineRule="exact"/>
        <w:rPr>
          <w:rFonts w:ascii="Times New Roman" w:cs="Times New Roman" w:eastAsia="Times New Roman" w:hAnsi="Times New Roman"/>
          <w:sz w:val="18"/>
          <w:szCs w:val="18"/>
          <w:color w:val="auto"/>
        </w:rPr>
      </w:pPr>
    </w:p>
    <w:p>
      <w:pPr>
        <w:ind w:left="1320" w:hanging="655"/>
        <w:spacing w:after="0" w:line="250" w:lineRule="auto"/>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on an advisory basis, of the preferred frequency of future advisory votes on the compensation of our named executive officers;</w:t>
      </w:r>
    </w:p>
    <w:p>
      <w:pPr>
        <w:ind w:left="1320" w:hanging="655"/>
        <w:spacing w:after="0" w:line="250" w:lineRule="auto"/>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appointment of PricewaterhouseCoopers LLP (“PwC”) as our independent registered public accounting firm for the 2026 fiscal year;</w:t>
      </w:r>
    </w:p>
    <w:p>
      <w:pPr>
        <w:ind w:left="1320" w:hanging="655"/>
        <w:spacing w:after="0" w:line="250" w:lineRule="auto"/>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an amendment to our Ninth Amended and Restated Certificate of Incorporation, as amended, to increase the number of authorized shares of our common stock from 115,000,000 to 215,000,000;</w:t>
      </w:r>
    </w:p>
    <w:p>
      <w:pPr>
        <w:ind w:left="1320" w:hanging="655"/>
        <w:spacing w:after="0" w:line="250" w:lineRule="auto"/>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an adjournment of the Annual Meeting to the extent there are insufficient votes at the Annual Meeting to approve Proposal 5; and</w:t>
      </w:r>
    </w:p>
    <w:p>
      <w:pPr>
        <w:ind w:left="1320" w:hanging="655"/>
        <w:spacing w:after="0" w:line="260" w:lineRule="auto"/>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matters that may properly be brought before the Annual Meeting or any adjournment or postponement thereof.</w:t>
      </w:r>
    </w:p>
    <w:p>
      <w:pPr>
        <w:spacing w:after="0" w:line="1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items of business are more fully described in the Proxy Statement accompanying this Notice of 2026 Annual Meeting of Stockholders (the “Notice”).</w:t>
      </w:r>
    </w:p>
    <w:p>
      <w:pPr>
        <w:spacing w:after="0" w:line="117"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200" w:type="dxa"/>
            <w:vAlign w:val="bottom"/>
          </w:tcPr>
          <w:p>
            <w:pPr>
              <w:spacing w:after="0"/>
              <w:rPr>
                <w:sz w:val="20"/>
                <w:szCs w:val="20"/>
                <w:color w:val="auto"/>
              </w:rPr>
            </w:pPr>
          </w:p>
        </w:tc>
        <w:tc>
          <w:tcPr>
            <w:tcW w:w="686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MEETING INFORMATION</w:t>
            </w:r>
          </w:p>
        </w:tc>
        <w:tc>
          <w:tcPr>
            <w:tcW w:w="0" w:type="dxa"/>
            <w:vAlign w:val="bottom"/>
          </w:tcPr>
          <w:p>
            <w:pPr>
              <w:spacing w:after="0"/>
              <w:rPr>
                <w:sz w:val="1"/>
                <w:szCs w:val="1"/>
                <w:color w:val="auto"/>
              </w:rPr>
            </w:pPr>
          </w:p>
        </w:tc>
      </w:tr>
      <w:tr>
        <w:trPr>
          <w:trHeight w:val="432"/>
        </w:trPr>
        <w:tc>
          <w:tcPr>
            <w:tcW w:w="2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68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Tuesday, May 19, 2026</w:t>
            </w:r>
          </w:p>
        </w:tc>
        <w:tc>
          <w:tcPr>
            <w:tcW w:w="0" w:type="dxa"/>
            <w:vAlign w:val="bottom"/>
          </w:tcPr>
          <w:p>
            <w:pPr>
              <w:spacing w:after="0"/>
              <w:rPr>
                <w:sz w:val="1"/>
                <w:szCs w:val="1"/>
                <w:color w:val="auto"/>
              </w:rPr>
            </w:pPr>
          </w:p>
        </w:tc>
      </w:tr>
      <w:tr>
        <w:trPr>
          <w:trHeight w:val="432"/>
        </w:trPr>
        <w:tc>
          <w:tcPr>
            <w:tcW w:w="2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Time:</w:t>
            </w:r>
          </w:p>
        </w:tc>
        <w:tc>
          <w:tcPr>
            <w:tcW w:w="68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8:00 a.m.</w:t>
            </w:r>
          </w:p>
        </w:tc>
        <w:tc>
          <w:tcPr>
            <w:tcW w:w="0" w:type="dxa"/>
            <w:vAlign w:val="bottom"/>
          </w:tcPr>
          <w:p>
            <w:pPr>
              <w:spacing w:after="0"/>
              <w:rPr>
                <w:sz w:val="1"/>
                <w:szCs w:val="1"/>
                <w:color w:val="auto"/>
              </w:rPr>
            </w:pPr>
          </w:p>
        </w:tc>
      </w:tr>
      <w:tr>
        <w:trPr>
          <w:trHeight w:val="414"/>
        </w:trPr>
        <w:tc>
          <w:tcPr>
            <w:tcW w:w="2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Website Address:</w:t>
            </w:r>
          </w:p>
        </w:tc>
        <w:tc>
          <w:tcPr>
            <w:tcW w:w="68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The meeting can be accessed by visiting meetnow.global/MWXPCMG</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68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where you will be able to listen to the meeting live, submit questions and</w:t>
            </w:r>
          </w:p>
        </w:tc>
        <w:tc>
          <w:tcPr>
            <w:tcW w:w="0" w:type="dxa"/>
            <w:vAlign w:val="bottom"/>
          </w:tcPr>
          <w:p>
            <w:pPr>
              <w:spacing w:after="0"/>
              <w:rPr>
                <w:sz w:val="1"/>
                <w:szCs w:val="1"/>
                <w:color w:val="auto"/>
              </w:rPr>
            </w:pPr>
          </w:p>
        </w:tc>
      </w:tr>
      <w:tr>
        <w:trPr>
          <w:trHeight w:val="216"/>
        </w:trPr>
        <w:tc>
          <w:tcPr>
            <w:tcW w:w="2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68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vote online. There will be no physical location for stockholders to attend.</w:t>
            </w:r>
          </w:p>
        </w:tc>
        <w:tc>
          <w:tcPr>
            <w:tcW w:w="0" w:type="dxa"/>
            <w:vAlign w:val="bottom"/>
          </w:tcPr>
          <w:p>
            <w:pPr>
              <w:spacing w:after="0"/>
              <w:rPr>
                <w:sz w:val="1"/>
                <w:szCs w:val="1"/>
                <w:color w:val="auto"/>
              </w:rPr>
            </w:pPr>
          </w:p>
        </w:tc>
      </w:tr>
      <w:tr>
        <w:trPr>
          <w:trHeight w:val="234"/>
        </w:trPr>
        <w:tc>
          <w:tcPr>
            <w:tcW w:w="2200" w:type="dxa"/>
            <w:vAlign w:val="bottom"/>
            <w:vMerge w:val="continue"/>
          </w:tcPr>
          <w:p>
            <w:pPr>
              <w:spacing w:after="0"/>
              <w:rPr>
                <w:sz w:val="20"/>
                <w:szCs w:val="20"/>
                <w:color w:val="auto"/>
              </w:rPr>
            </w:pPr>
          </w:p>
        </w:tc>
        <w:tc>
          <w:tcPr>
            <w:tcW w:w="68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Wednesday, March 25, 2026</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Your vote matters. </w:t>
      </w:r>
      <w:r>
        <w:rPr>
          <w:rFonts w:ascii="Times New Roman" w:cs="Times New Roman" w:eastAsia="Times New Roman" w:hAnsi="Times New Roman"/>
          <w:sz w:val="18"/>
          <w:szCs w:val="18"/>
          <w:i w:val="1"/>
          <w:iCs w:val="1"/>
          <w:color w:val="auto"/>
        </w:rPr>
        <w:t>Whether or not you plan to virtually attend the Annual Meeting, please ensure that your shares are represented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voting, signing, dating, and returning your proxy in the enclosed envelope, which requires no postage if mailed in the United States.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ongoing support of and interest in Larimar Therapeutics, Inc.</w:t>
      </w: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33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Michael Celano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3088640</wp:posOffset>
            </wp:positionH>
            <wp:positionV relativeFrom="paragraph">
              <wp:posOffset>-127635</wp:posOffset>
            </wp:positionV>
            <wp:extent cx="30861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i w:val="1"/>
          <w:iCs w:val="1"/>
          <w:color w:val="auto"/>
        </w:rPr>
        <w:t>Chief Financial Officer and Secretary</w:t>
      </w:r>
    </w:p>
    <w:p>
      <w:pPr>
        <w:spacing w:after="0" w:line="9" w:lineRule="exact"/>
        <w:rPr>
          <w:sz w:val="20"/>
          <w:szCs w:val="20"/>
          <w:color w:val="auto"/>
        </w:rPr>
      </w:pPr>
    </w:p>
    <w:p>
      <w:pPr>
        <w:ind w:left="4860"/>
        <w:spacing w:after="0"/>
        <w:tabs>
          <w:tab w:leader="none" w:pos="5720" w:val="left"/>
        </w:tabs>
        <w:rPr>
          <w:sz w:val="20"/>
          <w:szCs w:val="20"/>
          <w:color w:val="auto"/>
        </w:rPr>
      </w:pPr>
      <w:r>
        <w:rPr>
          <w:rFonts w:ascii="Times New Roman" w:cs="Times New Roman" w:eastAsia="Times New Roman" w:hAnsi="Times New Roman"/>
          <w:sz w:val="18"/>
          <w:szCs w:val="18"/>
          <w:color w:val="auto"/>
        </w:rPr>
        <w:t>April</w:t>
      </w:r>
      <w:r>
        <w:rPr>
          <w:sz w:val="20"/>
          <w:szCs w:val="20"/>
          <w:color w:val="auto"/>
        </w:rPr>
        <w:tab/>
      </w:r>
      <w:r>
        <w:rPr>
          <w:rFonts w:ascii="Times New Roman" w:cs="Times New Roman" w:eastAsia="Times New Roman" w:hAnsi="Times New Roman"/>
          <w:sz w:val="18"/>
          <w:szCs w:val="18"/>
          <w:color w:val="auto"/>
        </w:rPr>
        <w:t>,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 REGARDING AVAILABILITY OF PROXY MATERIALS. This Proxy Statement and the proxy</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card are being mailed to our stockholders on or about April , 2026. In accordance with the rules of the Securities and Exchange Commission, we are advising our stockholders of the availability on the Internet of our proxy materials related to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596900</wp:posOffset>
            </wp:positionV>
            <wp:extent cx="703770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440" w:right="1099" w:bottom="1440" w:gutter="0" w:footer="0" w:header="0"/>
        </w:sectPr>
      </w:pPr>
    </w:p>
    <w:bookmarkStart w:id="3" w:name="page4"/>
    <w:bookmarkEnd w:id="3"/>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forthcoming Annual Meeting. Because we have elected to utilize the “full set delivery” option, we are delivering to all stockholders paper copies of all of the proxy materials, as well as providing access to those proxy materials on a publicly accessible website. This Proxy Statement and our Annual Report on Form 10-K for the fiscal year ended December 31, 2025 are available to beneficial holders of our common stock at </w:t>
      </w:r>
      <w:r>
        <w:rPr>
          <w:rFonts w:ascii="Times New Roman" w:cs="Times New Roman" w:eastAsia="Times New Roman" w:hAnsi="Times New Roman"/>
          <w:sz w:val="18"/>
          <w:szCs w:val="18"/>
          <w:b w:val="1"/>
          <w:bCs w:val="1"/>
          <w:u w:val="single" w:color="auto"/>
          <w:color w:val="2B7CF4"/>
        </w:rPr>
        <w:t>http://www.edocumentview.com/LRMR</w:t>
      </w:r>
      <w:r>
        <w:rPr>
          <w:rFonts w:ascii="Times New Roman" w:cs="Times New Roman" w:eastAsia="Times New Roman" w:hAnsi="Times New Roman"/>
          <w:sz w:val="18"/>
          <w:szCs w:val="18"/>
          <w:b w:val="1"/>
          <w:bCs w:val="1"/>
          <w:color w:val="auto"/>
        </w:rPr>
        <w:t xml:space="preserve"> and to record holders of our common stock at </w:t>
      </w:r>
      <w:r>
        <w:rPr>
          <w:rFonts w:ascii="Times New Roman" w:cs="Times New Roman" w:eastAsia="Times New Roman" w:hAnsi="Times New Roman"/>
          <w:sz w:val="18"/>
          <w:szCs w:val="18"/>
          <w:b w:val="1"/>
          <w:bCs w:val="1"/>
          <w:u w:val="single" w:color="auto"/>
          <w:color w:val="2B7CF4"/>
        </w:rPr>
        <w:t>http://www.envisionreports.com/LRMR</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594995</wp:posOffset>
            </wp:positionV>
            <wp:extent cx="703770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4" w:name="page5"/>
    <w:bookmarkEnd w:id="4"/>
    <w:p>
      <w:pPr>
        <w:ind w:left="100"/>
        <w:spacing w:after="0"/>
        <w:rPr>
          <w:sz w:val="20"/>
          <w:szCs w:val="20"/>
          <w:color w:val="auto"/>
        </w:rPr>
      </w:pPr>
      <w:r>
        <w:rPr>
          <w:rFonts w:ascii="Times New Roman" w:cs="Times New Roman" w:eastAsia="Times New Roman" w:hAnsi="Times New Roman"/>
          <w:sz w:val="22"/>
          <w:szCs w:val="22"/>
          <w:b w:val="1"/>
          <w:bCs w:val="1"/>
          <w:color w:val="auto"/>
        </w:rPr>
        <w:t>SUMMARY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-140335</wp:posOffset>
            </wp:positionV>
            <wp:extent cx="617220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4DC1E4"/>
        </w:rPr>
        <w:t>To assist you in reviewing this year’s proposals, we call your attention to the following proxy summary. This summary highlights information contained elsewhere in this Proxy Statement and our Annual Report on Form 10-K for the fiscal year ended December 31, 2025 (the “2025 Annual Report”). This summary does not contain all of the information you should consider, and we encourage you to read this Proxy Statement and the 2025 Annual Report carefully before voting.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Annual Meeting of Stockholders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383"/>
        </w:trPr>
        <w:tc>
          <w:tcPr>
            <w:tcW w:w="20" w:type="dxa"/>
            <w:vAlign w:val="bottom"/>
            <w:tcBorders>
              <w:top w:val="single" w:sz="8" w:color="auto"/>
              <w:bottom w:val="single" w:sz="8" w:color="auto"/>
            </w:tcBorders>
            <w:shd w:val="clear" w:color="auto" w:fill="000000"/>
          </w:tcPr>
          <w:p>
            <w:pPr>
              <w:spacing w:after="0"/>
              <w:rPr>
                <w:sz w:val="24"/>
                <w:szCs w:val="24"/>
                <w:color w:val="auto"/>
              </w:rPr>
            </w:pPr>
          </w:p>
        </w:tc>
        <w:tc>
          <w:tcPr>
            <w:tcW w:w="5240" w:type="dxa"/>
            <w:vAlign w:val="bottom"/>
            <w:tcBorders>
              <w:top w:val="single" w:sz="8" w:color="auto"/>
              <w:bottom w:val="single" w:sz="8" w:color="4DC1E4"/>
            </w:tcBorders>
            <w:shd w:val="clear" w:color="auto" w:fill="4DC1E4"/>
          </w:tcPr>
          <w:p>
            <w:pPr>
              <w:ind w:left="140"/>
              <w:spacing w:after="0"/>
              <w:rPr>
                <w:sz w:val="20"/>
                <w:szCs w:val="20"/>
                <w:color w:val="auto"/>
              </w:rPr>
            </w:pPr>
            <w:r>
              <w:rPr>
                <w:rFonts w:ascii="Times New Roman" w:cs="Times New Roman" w:eastAsia="Times New Roman" w:hAnsi="Times New Roman"/>
                <w:sz w:val="18"/>
                <w:szCs w:val="18"/>
                <w:b w:val="1"/>
                <w:bCs w:val="1"/>
                <w:color w:val="FFFFFF"/>
              </w:rPr>
              <w:t>T</w:t>
            </w:r>
            <w:r>
              <w:rPr>
                <w:rFonts w:ascii="Times New Roman" w:cs="Times New Roman" w:eastAsia="Times New Roman" w:hAnsi="Times New Roman"/>
                <w:sz w:val="13"/>
                <w:szCs w:val="13"/>
                <w:b w:val="1"/>
                <w:bCs w:val="1"/>
                <w:color w:val="FFFFFF"/>
              </w:rPr>
              <w:t>IME AND</w:t>
            </w:r>
            <w:r>
              <w:rPr>
                <w:rFonts w:ascii="Times New Roman" w:cs="Times New Roman" w:eastAsia="Times New Roman" w:hAnsi="Times New Roman"/>
                <w:sz w:val="18"/>
                <w:szCs w:val="18"/>
                <w:b w:val="1"/>
                <w:bCs w:val="1"/>
                <w:color w:val="FFFFFF"/>
              </w:rPr>
              <w:t xml:space="preserve"> D</w:t>
            </w:r>
            <w:r>
              <w:rPr>
                <w:rFonts w:ascii="Times New Roman" w:cs="Times New Roman" w:eastAsia="Times New Roman" w:hAnsi="Times New Roman"/>
                <w:sz w:val="13"/>
                <w:szCs w:val="13"/>
                <w:b w:val="1"/>
                <w:bCs w:val="1"/>
                <w:color w:val="FFFFFF"/>
              </w:rPr>
              <w:t>ATE</w:t>
            </w:r>
          </w:p>
        </w:tc>
        <w:tc>
          <w:tcPr>
            <w:tcW w:w="1320" w:type="dxa"/>
            <w:vAlign w:val="bottom"/>
            <w:tcBorders>
              <w:top w:val="single" w:sz="8" w:color="auto"/>
              <w:bottom w:val="single" w:sz="8" w:color="4DC1E4"/>
            </w:tcBorders>
            <w:gridSpan w:val="2"/>
            <w:shd w:val="clear" w:color="auto" w:fill="4DC1E4"/>
          </w:tcPr>
          <w:p>
            <w:pPr>
              <w:ind w:left="40"/>
              <w:spacing w:after="0"/>
              <w:rPr>
                <w:sz w:val="20"/>
                <w:szCs w:val="20"/>
                <w:color w:val="auto"/>
              </w:rPr>
            </w:pPr>
            <w:r>
              <w:rPr>
                <w:rFonts w:ascii="Times New Roman" w:cs="Times New Roman" w:eastAsia="Times New Roman" w:hAnsi="Times New Roman"/>
                <w:sz w:val="18"/>
                <w:szCs w:val="18"/>
                <w:b w:val="1"/>
                <w:bCs w:val="1"/>
                <w:color w:val="FFFFFF"/>
              </w:rPr>
              <w:t>R</w:t>
            </w:r>
            <w:r>
              <w:rPr>
                <w:rFonts w:ascii="Times New Roman" w:cs="Times New Roman" w:eastAsia="Times New Roman" w:hAnsi="Times New Roman"/>
                <w:sz w:val="13"/>
                <w:szCs w:val="13"/>
                <w:b w:val="1"/>
                <w:bCs w:val="1"/>
                <w:color w:val="FFFFFF"/>
              </w:rPr>
              <w:t>ECORD</w:t>
            </w:r>
            <w:r>
              <w:rPr>
                <w:rFonts w:ascii="Times New Roman" w:cs="Times New Roman" w:eastAsia="Times New Roman" w:hAnsi="Times New Roman"/>
                <w:sz w:val="18"/>
                <w:szCs w:val="18"/>
                <w:b w:val="1"/>
                <w:bCs w:val="1"/>
                <w:color w:val="FFFFFF"/>
              </w:rPr>
              <w:t xml:space="preserve"> D</w:t>
            </w:r>
            <w:r>
              <w:rPr>
                <w:rFonts w:ascii="Times New Roman" w:cs="Times New Roman" w:eastAsia="Times New Roman" w:hAnsi="Times New Roman"/>
                <w:sz w:val="13"/>
                <w:szCs w:val="13"/>
                <w:b w:val="1"/>
                <w:bCs w:val="1"/>
                <w:color w:val="FFFFFF"/>
              </w:rPr>
              <w:t>ATE</w:t>
            </w:r>
          </w:p>
        </w:tc>
        <w:tc>
          <w:tcPr>
            <w:tcW w:w="3140" w:type="dxa"/>
            <w:vAlign w:val="bottom"/>
            <w:tcBorders>
              <w:top w:val="single" w:sz="8" w:color="auto"/>
              <w:bottom w:val="single" w:sz="8" w:color="4DC1E4"/>
            </w:tcBorders>
            <w:gridSpan w:val="4"/>
            <w:shd w:val="clear" w:color="auto" w:fill="4DC1E4"/>
          </w:tcPr>
          <w:p>
            <w:pPr>
              <w:ind w:left="20"/>
              <w:spacing w:after="0"/>
              <w:rPr>
                <w:sz w:val="20"/>
                <w:szCs w:val="20"/>
                <w:color w:val="auto"/>
              </w:rPr>
            </w:pPr>
            <w:r>
              <w:rPr>
                <w:rFonts w:ascii="Times New Roman" w:cs="Times New Roman" w:eastAsia="Times New Roman" w:hAnsi="Times New Roman"/>
                <w:sz w:val="18"/>
                <w:szCs w:val="18"/>
                <w:b w:val="1"/>
                <w:bCs w:val="1"/>
                <w:color w:val="FFFFFF"/>
              </w:rPr>
              <w:t>W</w:t>
            </w:r>
            <w:r>
              <w:rPr>
                <w:rFonts w:ascii="Times New Roman" w:cs="Times New Roman" w:eastAsia="Times New Roman" w:hAnsi="Times New Roman"/>
                <w:sz w:val="13"/>
                <w:szCs w:val="13"/>
                <w:b w:val="1"/>
                <w:bCs w:val="1"/>
                <w:color w:val="FFFFFF"/>
              </w:rPr>
              <w:t>EBSITE</w:t>
            </w:r>
            <w:r>
              <w:rPr>
                <w:rFonts w:ascii="Times New Roman" w:cs="Times New Roman" w:eastAsia="Times New Roman" w:hAnsi="Times New Roman"/>
                <w:sz w:val="18"/>
                <w:szCs w:val="18"/>
                <w:b w:val="1"/>
                <w:bCs w:val="1"/>
                <w:color w:val="FFFFFF"/>
              </w:rPr>
              <w:t xml:space="preserve"> A</w:t>
            </w:r>
            <w:r>
              <w:rPr>
                <w:rFonts w:ascii="Times New Roman" w:cs="Times New Roman" w:eastAsia="Times New Roman" w:hAnsi="Times New Roman"/>
                <w:sz w:val="13"/>
                <w:szCs w:val="13"/>
                <w:b w:val="1"/>
                <w:bCs w:val="1"/>
                <w:color w:val="FFFFFF"/>
              </w:rPr>
              <w:t>DDRESS</w:t>
            </w:r>
          </w:p>
        </w:tc>
        <w:tc>
          <w:tcPr>
            <w:tcW w:w="20" w:type="dxa"/>
            <w:vAlign w:val="bottom"/>
            <w:tcBorders>
              <w:top w:val="single" w:sz="8" w:color="auto"/>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Borders>
              <w:top w:val="single" w:sz="8" w:color="auto"/>
            </w:tcBorders>
            <w:shd w:val="clear" w:color="auto" w:fill="000000"/>
          </w:tcPr>
          <w:p>
            <w:pPr>
              <w:spacing w:after="0"/>
              <w:rPr>
                <w:sz w:val="16"/>
                <w:szCs w:val="16"/>
                <w:color w:val="auto"/>
              </w:rPr>
            </w:pPr>
          </w:p>
        </w:tc>
        <w:tc>
          <w:tcPr>
            <w:tcW w:w="5240" w:type="dxa"/>
            <w:vAlign w:val="bottom"/>
            <w:tcBorders>
              <w:top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8:00 a.m., Eastern Time, on Tuesday, May 19, 2026</w:t>
            </w:r>
          </w:p>
        </w:tc>
        <w:tc>
          <w:tcPr>
            <w:tcW w:w="1320" w:type="dxa"/>
            <w:vAlign w:val="bottom"/>
            <w:tcBorders>
              <w:top w:val="single" w:sz="8" w:color="auto"/>
            </w:tcBorders>
            <w:gridSpan w:val="2"/>
          </w:tcPr>
          <w:p>
            <w:pPr>
              <w:ind w:left="40"/>
              <w:spacing w:after="0" w:line="191" w:lineRule="exact"/>
              <w:rPr>
                <w:sz w:val="20"/>
                <w:szCs w:val="20"/>
                <w:color w:val="auto"/>
              </w:rPr>
            </w:pPr>
            <w:r>
              <w:rPr>
                <w:rFonts w:ascii="Times New Roman" w:cs="Times New Roman" w:eastAsia="Times New Roman" w:hAnsi="Times New Roman"/>
                <w:sz w:val="18"/>
                <w:szCs w:val="18"/>
                <w:color w:val="auto"/>
              </w:rPr>
              <w:t>March 25,</w:t>
            </w:r>
          </w:p>
        </w:tc>
        <w:tc>
          <w:tcPr>
            <w:tcW w:w="3140" w:type="dxa"/>
            <w:vAlign w:val="bottom"/>
            <w:tcBorders>
              <w:top w:val="single" w:sz="8" w:color="auto"/>
            </w:tcBorders>
            <w:gridSpan w:val="4"/>
          </w:tcPr>
          <w:p>
            <w:pPr>
              <w:ind w:left="20"/>
              <w:spacing w:after="0" w:line="191" w:lineRule="exact"/>
              <w:rPr>
                <w:sz w:val="20"/>
                <w:szCs w:val="20"/>
                <w:color w:val="auto"/>
              </w:rPr>
            </w:pPr>
            <w:r>
              <w:rPr>
                <w:rFonts w:ascii="Times New Roman" w:cs="Times New Roman" w:eastAsia="Times New Roman" w:hAnsi="Times New Roman"/>
                <w:sz w:val="18"/>
                <w:szCs w:val="18"/>
                <w:color w:val="auto"/>
              </w:rPr>
              <w:t>The meeting can be accessed by visiting</w:t>
            </w:r>
          </w:p>
        </w:tc>
        <w:tc>
          <w:tcPr>
            <w:tcW w:w="20" w:type="dxa"/>
            <w:vAlign w:val="bottom"/>
            <w:tcBorders>
              <w:top w:val="single" w:sz="8" w:color="auto"/>
            </w:tcBorders>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524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2026</w:t>
            </w:r>
          </w:p>
        </w:tc>
        <w:tc>
          <w:tcPr>
            <w:tcW w:w="740" w:type="dxa"/>
            <w:vAlign w:val="bottom"/>
          </w:tcPr>
          <w:p>
            <w:pPr>
              <w:spacing w:after="0"/>
              <w:rPr>
                <w:sz w:val="18"/>
                <w:szCs w:val="18"/>
                <w:color w:val="auto"/>
              </w:rPr>
            </w:pPr>
          </w:p>
        </w:tc>
        <w:tc>
          <w:tcPr>
            <w:tcW w:w="3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meetnow.global/MWXPCMG, where you</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5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will be able to listen to the meeting live,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5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submit questions and vote online. There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5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will be no physical location for</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000000"/>
          </w:tcPr>
          <w:p>
            <w:pPr>
              <w:spacing w:after="0"/>
              <w:rPr>
                <w:sz w:val="20"/>
                <w:szCs w:val="20"/>
                <w:color w:val="auto"/>
              </w:rPr>
            </w:pPr>
          </w:p>
        </w:tc>
        <w:tc>
          <w:tcPr>
            <w:tcW w:w="5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stockholders to attend.</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tcBorders>
              <w:bottom w:val="single" w:sz="8" w:color="auto"/>
            </w:tcBorders>
            <w:shd w:val="clear" w:color="auto" w:fill="000000"/>
          </w:tcPr>
          <w:p>
            <w:pPr>
              <w:spacing w:after="0"/>
              <w:rPr>
                <w:sz w:val="5"/>
                <w:szCs w:val="5"/>
                <w:color w:val="auto"/>
              </w:rPr>
            </w:pPr>
          </w:p>
        </w:tc>
        <w:tc>
          <w:tcPr>
            <w:tcW w:w="52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42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Stockholder Voting Matters</w:t>
            </w: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2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auto"/>
            </w:tcBorders>
            <w:shd w:val="clear" w:color="auto" w:fill="000000"/>
          </w:tcPr>
          <w:p>
            <w:pPr>
              <w:spacing w:after="0"/>
              <w:rPr>
                <w:sz w:val="18"/>
                <w:szCs w:val="18"/>
                <w:color w:val="auto"/>
              </w:rPr>
            </w:pPr>
          </w:p>
        </w:tc>
        <w:tc>
          <w:tcPr>
            <w:tcW w:w="5240" w:type="dxa"/>
            <w:vAlign w:val="bottom"/>
            <w:tcBorders>
              <w:top w:val="single" w:sz="8" w:color="auto"/>
            </w:tcBorders>
            <w:shd w:val="clear" w:color="auto" w:fill="4DC1E4"/>
          </w:tcPr>
          <w:p>
            <w:pPr>
              <w:spacing w:after="0"/>
              <w:rPr>
                <w:sz w:val="18"/>
                <w:szCs w:val="18"/>
                <w:color w:val="auto"/>
              </w:rPr>
            </w:pPr>
          </w:p>
        </w:tc>
        <w:tc>
          <w:tcPr>
            <w:tcW w:w="580" w:type="dxa"/>
            <w:vAlign w:val="bottom"/>
            <w:tcBorders>
              <w:top w:val="single" w:sz="8" w:color="auto"/>
            </w:tcBorders>
            <w:shd w:val="clear" w:color="auto" w:fill="4DC1E4"/>
          </w:tcPr>
          <w:p>
            <w:pPr>
              <w:spacing w:after="0"/>
              <w:rPr>
                <w:sz w:val="18"/>
                <w:szCs w:val="18"/>
                <w:color w:val="auto"/>
              </w:rPr>
            </w:pPr>
          </w:p>
        </w:tc>
        <w:tc>
          <w:tcPr>
            <w:tcW w:w="740" w:type="dxa"/>
            <w:vAlign w:val="bottom"/>
            <w:tcBorders>
              <w:top w:val="single" w:sz="8" w:color="auto"/>
            </w:tcBorders>
            <w:shd w:val="clear" w:color="auto" w:fill="4DC1E4"/>
          </w:tcPr>
          <w:p>
            <w:pPr>
              <w:spacing w:after="0"/>
              <w:rPr>
                <w:sz w:val="18"/>
                <w:szCs w:val="18"/>
                <w:color w:val="auto"/>
              </w:rPr>
            </w:pPr>
          </w:p>
        </w:tc>
        <w:tc>
          <w:tcPr>
            <w:tcW w:w="580" w:type="dxa"/>
            <w:vAlign w:val="bottom"/>
            <w:tcBorders>
              <w:top w:val="single" w:sz="8" w:color="auto"/>
            </w:tcBorders>
            <w:shd w:val="clear" w:color="auto" w:fill="4DC1E4"/>
          </w:tcPr>
          <w:p>
            <w:pPr>
              <w:spacing w:after="0"/>
              <w:rPr>
                <w:sz w:val="18"/>
                <w:szCs w:val="18"/>
                <w:color w:val="auto"/>
              </w:rPr>
            </w:pPr>
          </w:p>
        </w:tc>
        <w:tc>
          <w:tcPr>
            <w:tcW w:w="2300" w:type="dxa"/>
            <w:vAlign w:val="bottom"/>
            <w:tcBorders>
              <w:top w:val="single" w:sz="8" w:color="auto"/>
            </w:tcBorders>
            <w:shd w:val="clear" w:color="auto" w:fill="4DC1E4"/>
          </w:tcPr>
          <w:p>
            <w:pPr>
              <w:ind w:left="320"/>
              <w:spacing w:after="0"/>
              <w:rPr>
                <w:sz w:val="20"/>
                <w:szCs w:val="20"/>
                <w:color w:val="auto"/>
              </w:rPr>
            </w:pPr>
            <w:r>
              <w:rPr>
                <w:rFonts w:ascii="Times New Roman" w:cs="Times New Roman" w:eastAsia="Times New Roman" w:hAnsi="Times New Roman"/>
                <w:sz w:val="18"/>
                <w:szCs w:val="18"/>
                <w:b w:val="1"/>
                <w:bCs w:val="1"/>
                <w:color w:val="FFFFFF"/>
              </w:rPr>
              <w:t>B</w:t>
            </w:r>
            <w:r>
              <w:rPr>
                <w:rFonts w:ascii="Times New Roman" w:cs="Times New Roman" w:eastAsia="Times New Roman" w:hAnsi="Times New Roman"/>
                <w:sz w:val="13"/>
                <w:szCs w:val="13"/>
                <w:b w:val="1"/>
                <w:bCs w:val="1"/>
                <w:color w:val="FFFFFF"/>
              </w:rPr>
              <w:t>OARD OF</w:t>
            </w:r>
          </w:p>
        </w:tc>
        <w:tc>
          <w:tcPr>
            <w:tcW w:w="20" w:type="dxa"/>
            <w:vAlign w:val="bottom"/>
            <w:shd w:val="clear" w:color="auto" w:fill="4DC1E4"/>
          </w:tcPr>
          <w:p>
            <w:pPr>
              <w:spacing w:after="0"/>
              <w:rPr>
                <w:sz w:val="18"/>
                <w:szCs w:val="18"/>
                <w:color w:val="auto"/>
              </w:rPr>
            </w:pPr>
          </w:p>
        </w:tc>
        <w:tc>
          <w:tcPr>
            <w:tcW w:w="240" w:type="dxa"/>
            <w:vAlign w:val="bottom"/>
            <w:tcBorders>
              <w:top w:val="single" w:sz="8" w:color="auto"/>
            </w:tcBorders>
            <w:shd w:val="clear" w:color="auto" w:fill="4DC1E4"/>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5240" w:type="dxa"/>
            <w:vAlign w:val="bottom"/>
            <w:shd w:val="clear" w:color="auto" w:fill="4DC1E4"/>
          </w:tcPr>
          <w:p>
            <w:pPr>
              <w:spacing w:after="0"/>
              <w:rPr>
                <w:sz w:val="18"/>
                <w:szCs w:val="18"/>
                <w:color w:val="auto"/>
              </w:rPr>
            </w:pPr>
          </w:p>
        </w:tc>
        <w:tc>
          <w:tcPr>
            <w:tcW w:w="580" w:type="dxa"/>
            <w:vAlign w:val="bottom"/>
            <w:shd w:val="clear" w:color="auto" w:fill="4DC1E4"/>
          </w:tcPr>
          <w:p>
            <w:pPr>
              <w:spacing w:after="0"/>
              <w:rPr>
                <w:sz w:val="18"/>
                <w:szCs w:val="18"/>
                <w:color w:val="auto"/>
              </w:rPr>
            </w:pPr>
          </w:p>
        </w:tc>
        <w:tc>
          <w:tcPr>
            <w:tcW w:w="1320" w:type="dxa"/>
            <w:vAlign w:val="bottom"/>
            <w:gridSpan w:val="2"/>
            <w:shd w:val="clear" w:color="auto" w:fill="4DC1E4"/>
          </w:tcPr>
          <w:p>
            <w:pPr>
              <w:ind w:left="140"/>
              <w:spacing w:after="0"/>
              <w:rPr>
                <w:sz w:val="20"/>
                <w:szCs w:val="20"/>
                <w:color w:val="auto"/>
              </w:rPr>
            </w:pPr>
            <w:r>
              <w:rPr>
                <w:rFonts w:ascii="Times New Roman" w:cs="Times New Roman" w:eastAsia="Times New Roman" w:hAnsi="Times New Roman"/>
                <w:sz w:val="18"/>
                <w:szCs w:val="18"/>
                <w:b w:val="1"/>
                <w:bCs w:val="1"/>
                <w:color w:val="FFFFFF"/>
              </w:rPr>
              <w:t>F</w:t>
            </w:r>
            <w:r>
              <w:rPr>
                <w:rFonts w:ascii="Times New Roman" w:cs="Times New Roman" w:eastAsia="Times New Roman" w:hAnsi="Times New Roman"/>
                <w:sz w:val="13"/>
                <w:szCs w:val="13"/>
                <w:b w:val="1"/>
                <w:bCs w:val="1"/>
                <w:color w:val="FFFFFF"/>
              </w:rPr>
              <w:t>OR</w:t>
            </w:r>
            <w:r>
              <w:rPr>
                <w:rFonts w:ascii="Times New Roman" w:cs="Times New Roman" w:eastAsia="Times New Roman" w:hAnsi="Times New Roman"/>
                <w:sz w:val="18"/>
                <w:szCs w:val="18"/>
                <w:b w:val="1"/>
                <w:bCs w:val="1"/>
                <w:color w:val="FFFFFF"/>
              </w:rPr>
              <w:t xml:space="preserve"> M</w:t>
            </w:r>
            <w:r>
              <w:rPr>
                <w:rFonts w:ascii="Times New Roman" w:cs="Times New Roman" w:eastAsia="Times New Roman" w:hAnsi="Times New Roman"/>
                <w:sz w:val="13"/>
                <w:szCs w:val="13"/>
                <w:b w:val="1"/>
                <w:bCs w:val="1"/>
                <w:color w:val="FFFFFF"/>
              </w:rPr>
              <w:t>ORE</w:t>
            </w:r>
          </w:p>
        </w:tc>
        <w:tc>
          <w:tcPr>
            <w:tcW w:w="2560" w:type="dxa"/>
            <w:vAlign w:val="bottom"/>
            <w:gridSpan w:val="3"/>
            <w:shd w:val="clear" w:color="auto" w:fill="4DC1E4"/>
          </w:tcPr>
          <w:p>
            <w:pPr>
              <w:ind w:left="320"/>
              <w:spacing w:after="0"/>
              <w:rPr>
                <w:sz w:val="20"/>
                <w:szCs w:val="20"/>
                <w:color w:val="auto"/>
              </w:rPr>
            </w:pPr>
            <w:r>
              <w:rPr>
                <w:rFonts w:ascii="Times New Roman" w:cs="Times New Roman" w:eastAsia="Times New Roman" w:hAnsi="Times New Roman"/>
                <w:sz w:val="18"/>
                <w:szCs w:val="18"/>
                <w:b w:val="1"/>
                <w:bCs w:val="1"/>
                <w:color w:val="FFFFFF"/>
              </w:rPr>
              <w:t>D</w:t>
            </w:r>
            <w:r>
              <w:rPr>
                <w:rFonts w:ascii="Times New Roman" w:cs="Times New Roman" w:eastAsia="Times New Roman" w:hAnsi="Times New Roman"/>
                <w:sz w:val="13"/>
                <w:szCs w:val="13"/>
                <w:b w:val="1"/>
                <w:bCs w:val="1"/>
                <w:color w:val="FFFFFF"/>
              </w:rPr>
              <w:t>IRECTORS</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Borders>
              <w:bottom w:val="single" w:sz="8" w:color="auto"/>
            </w:tcBorders>
            <w:shd w:val="clear" w:color="auto" w:fill="000000"/>
          </w:tcPr>
          <w:p>
            <w:pPr>
              <w:spacing w:after="0"/>
              <w:rPr>
                <w:sz w:val="23"/>
                <w:szCs w:val="23"/>
                <w:color w:val="auto"/>
              </w:rPr>
            </w:pPr>
          </w:p>
        </w:tc>
        <w:tc>
          <w:tcPr>
            <w:tcW w:w="5240" w:type="dxa"/>
            <w:vAlign w:val="bottom"/>
            <w:tcBorders>
              <w:bottom w:val="single" w:sz="8" w:color="4DC1E4"/>
            </w:tcBorders>
            <w:shd w:val="clear" w:color="auto" w:fill="4DC1E4"/>
          </w:tcPr>
          <w:p>
            <w:pPr>
              <w:ind w:left="140"/>
              <w:spacing w:after="0"/>
              <w:rPr>
                <w:sz w:val="20"/>
                <w:szCs w:val="20"/>
                <w:color w:val="auto"/>
              </w:rPr>
            </w:pPr>
            <w:r>
              <w:rPr>
                <w:rFonts w:ascii="Times New Roman" w:cs="Times New Roman" w:eastAsia="Times New Roman" w:hAnsi="Times New Roman"/>
                <w:sz w:val="18"/>
                <w:szCs w:val="18"/>
                <w:b w:val="1"/>
                <w:bCs w:val="1"/>
                <w:color w:val="FFFFFF"/>
              </w:rPr>
              <w:t>V</w:t>
            </w:r>
            <w:r>
              <w:rPr>
                <w:rFonts w:ascii="Times New Roman" w:cs="Times New Roman" w:eastAsia="Times New Roman" w:hAnsi="Times New Roman"/>
                <w:sz w:val="13"/>
                <w:szCs w:val="13"/>
                <w:b w:val="1"/>
                <w:bCs w:val="1"/>
                <w:color w:val="FFFFFF"/>
              </w:rPr>
              <w:t>OTING</w:t>
            </w:r>
            <w:r>
              <w:rPr>
                <w:rFonts w:ascii="Times New Roman" w:cs="Times New Roman" w:eastAsia="Times New Roman" w:hAnsi="Times New Roman"/>
                <w:sz w:val="18"/>
                <w:szCs w:val="18"/>
                <w:b w:val="1"/>
                <w:bCs w:val="1"/>
                <w:color w:val="FFFFFF"/>
              </w:rPr>
              <w:t xml:space="preserve"> M</w:t>
            </w:r>
            <w:r>
              <w:rPr>
                <w:rFonts w:ascii="Times New Roman" w:cs="Times New Roman" w:eastAsia="Times New Roman" w:hAnsi="Times New Roman"/>
                <w:sz w:val="13"/>
                <w:szCs w:val="13"/>
                <w:b w:val="1"/>
                <w:bCs w:val="1"/>
                <w:color w:val="FFFFFF"/>
              </w:rPr>
              <w:t>ATTERS</w:t>
            </w:r>
          </w:p>
        </w:tc>
        <w:tc>
          <w:tcPr>
            <w:tcW w:w="580" w:type="dxa"/>
            <w:vAlign w:val="bottom"/>
            <w:tcBorders>
              <w:bottom w:val="single" w:sz="8" w:color="4DC1E4"/>
            </w:tcBorders>
            <w:shd w:val="clear" w:color="auto" w:fill="4DC1E4"/>
          </w:tcPr>
          <w:p>
            <w:pPr>
              <w:spacing w:after="0"/>
              <w:rPr>
                <w:sz w:val="23"/>
                <w:szCs w:val="23"/>
                <w:color w:val="auto"/>
              </w:rPr>
            </w:pPr>
          </w:p>
        </w:tc>
        <w:tc>
          <w:tcPr>
            <w:tcW w:w="1320" w:type="dxa"/>
            <w:vAlign w:val="bottom"/>
            <w:tcBorders>
              <w:bottom w:val="single" w:sz="8" w:color="4DC1E4"/>
            </w:tcBorders>
            <w:gridSpan w:val="2"/>
            <w:shd w:val="clear" w:color="auto" w:fill="4DC1E4"/>
          </w:tcPr>
          <w:p>
            <w:pPr>
              <w:ind w:left="140"/>
              <w:spacing w:after="0"/>
              <w:rPr>
                <w:sz w:val="20"/>
                <w:szCs w:val="20"/>
                <w:color w:val="auto"/>
              </w:rPr>
            </w:pPr>
            <w:r>
              <w:rPr>
                <w:rFonts w:ascii="Times New Roman" w:cs="Times New Roman" w:eastAsia="Times New Roman" w:hAnsi="Times New Roman"/>
                <w:sz w:val="18"/>
                <w:szCs w:val="18"/>
                <w:b w:val="1"/>
                <w:bCs w:val="1"/>
                <w:color w:val="FFFFFF"/>
              </w:rPr>
              <w:t>I</w:t>
            </w:r>
            <w:r>
              <w:rPr>
                <w:rFonts w:ascii="Times New Roman" w:cs="Times New Roman" w:eastAsia="Times New Roman" w:hAnsi="Times New Roman"/>
                <w:sz w:val="13"/>
                <w:szCs w:val="13"/>
                <w:b w:val="1"/>
                <w:bCs w:val="1"/>
                <w:color w:val="FFFFFF"/>
              </w:rPr>
              <w:t>NFORMATION</w:t>
            </w:r>
          </w:p>
        </w:tc>
        <w:tc>
          <w:tcPr>
            <w:tcW w:w="2560" w:type="dxa"/>
            <w:vAlign w:val="bottom"/>
            <w:tcBorders>
              <w:bottom w:val="single" w:sz="8" w:color="4DC1E4"/>
            </w:tcBorders>
            <w:gridSpan w:val="3"/>
            <w:shd w:val="clear" w:color="auto" w:fill="4DC1E4"/>
          </w:tcPr>
          <w:p>
            <w:pPr>
              <w:ind w:left="320"/>
              <w:spacing w:after="0"/>
              <w:rPr>
                <w:sz w:val="20"/>
                <w:szCs w:val="20"/>
                <w:color w:val="auto"/>
              </w:rPr>
            </w:pPr>
            <w:r>
              <w:rPr>
                <w:rFonts w:ascii="Times New Roman" w:cs="Times New Roman" w:eastAsia="Times New Roman" w:hAnsi="Times New Roman"/>
                <w:sz w:val="18"/>
                <w:szCs w:val="18"/>
                <w:b w:val="1"/>
                <w:bCs w:val="1"/>
                <w:color w:val="FFFFFF"/>
              </w:rPr>
              <w:t>R</w:t>
            </w:r>
            <w:r>
              <w:rPr>
                <w:rFonts w:ascii="Times New Roman" w:cs="Times New Roman" w:eastAsia="Times New Roman" w:hAnsi="Times New Roman"/>
                <w:sz w:val="13"/>
                <w:szCs w:val="13"/>
                <w:b w:val="1"/>
                <w:bCs w:val="1"/>
                <w:color w:val="FFFFFF"/>
              </w:rPr>
              <w:t>ECOMMENDATION</w:t>
            </w:r>
          </w:p>
        </w:tc>
        <w:tc>
          <w:tcPr>
            <w:tcW w:w="20" w:type="dxa"/>
            <w:vAlign w:val="bottom"/>
            <w:tcBorders>
              <w:bottom w:val="single" w:sz="8" w:color="auto"/>
            </w:tcBorders>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auto"/>
            </w:tcBorders>
            <w:shd w:val="clear" w:color="auto" w:fill="000000"/>
          </w:tcPr>
          <w:p>
            <w:pPr>
              <w:spacing w:after="0"/>
              <w:rPr>
                <w:sz w:val="17"/>
                <w:szCs w:val="17"/>
                <w:color w:val="auto"/>
              </w:rPr>
            </w:pPr>
          </w:p>
        </w:tc>
        <w:tc>
          <w:tcPr>
            <w:tcW w:w="5240" w:type="dxa"/>
            <w:vAlign w:val="bottom"/>
            <w:tcBorders>
              <w:top w:val="single" w:sz="8" w:color="auto"/>
            </w:tcBorders>
          </w:tcPr>
          <w:p>
            <w:pPr>
              <w:ind w:left="140"/>
              <w:spacing w:after="0" w:line="205" w:lineRule="exact"/>
              <w:rPr>
                <w:sz w:val="20"/>
                <w:szCs w:val="20"/>
                <w:color w:val="auto"/>
              </w:rPr>
            </w:pPr>
            <w:r>
              <w:rPr>
                <w:rFonts w:ascii="Times New Roman" w:cs="Times New Roman" w:eastAsia="Times New Roman" w:hAnsi="Times New Roman"/>
                <w:sz w:val="18"/>
                <w:szCs w:val="18"/>
                <w:b w:val="1"/>
                <w:bCs w:val="1"/>
                <w:color w:val="4DC1E4"/>
              </w:rPr>
              <w:t>PROPOSAL 1</w:t>
            </w:r>
            <w:r>
              <w:rPr>
                <w:rFonts w:ascii="Times New Roman" w:cs="Times New Roman" w:eastAsia="Times New Roman" w:hAnsi="Times New Roman"/>
                <w:sz w:val="18"/>
                <w:szCs w:val="18"/>
                <w:color w:val="4DC1E4"/>
              </w:rPr>
              <w:t>: Election of Class III Directors for a Three-Year Term</w:t>
            </w:r>
          </w:p>
        </w:tc>
        <w:tc>
          <w:tcPr>
            <w:tcW w:w="5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ind w:left="140"/>
              <w:spacing w:after="0" w:line="205" w:lineRule="exact"/>
              <w:rPr>
                <w:sz w:val="20"/>
                <w:szCs w:val="20"/>
                <w:color w:val="auto"/>
              </w:rPr>
            </w:pPr>
            <w:r>
              <w:rPr>
                <w:rFonts w:ascii="Times New Roman" w:cs="Times New Roman" w:eastAsia="Times New Roman" w:hAnsi="Times New Roman"/>
                <w:sz w:val="18"/>
                <w:szCs w:val="18"/>
                <w:color w:val="auto"/>
              </w:rPr>
              <w:t>Page 41</w:t>
            </w:r>
          </w:p>
        </w:tc>
        <w:tc>
          <w:tcPr>
            <w:tcW w:w="580" w:type="dxa"/>
            <w:vAlign w:val="bottom"/>
            <w:tcBorders>
              <w:top w:val="single" w:sz="8" w:color="auto"/>
            </w:tcBorders>
          </w:tcPr>
          <w:p>
            <w:pPr>
              <w:spacing w:after="0"/>
              <w:rPr>
                <w:sz w:val="17"/>
                <w:szCs w:val="17"/>
                <w:color w:val="auto"/>
              </w:rPr>
            </w:pPr>
          </w:p>
        </w:tc>
        <w:tc>
          <w:tcPr>
            <w:tcW w:w="2560" w:type="dxa"/>
            <w:vAlign w:val="bottom"/>
            <w:tcBorders>
              <w:top w:val="single" w:sz="8" w:color="auto"/>
            </w:tcBorders>
            <w:gridSpan w:val="3"/>
          </w:tcPr>
          <w:p>
            <w:pPr>
              <w:ind w:left="140"/>
              <w:spacing w:after="0" w:line="205" w:lineRule="exact"/>
              <w:rPr>
                <w:sz w:val="20"/>
                <w:szCs w:val="20"/>
                <w:color w:val="auto"/>
              </w:rPr>
            </w:pPr>
            <w:r>
              <w:rPr>
                <w:rFonts w:ascii="MS PGothic" w:cs="MS PGothic" w:eastAsia="MS PGothic" w:hAnsi="MS PGothic"/>
                <w:sz w:val="18"/>
                <w:szCs w:val="18"/>
                <w:color w:val="538135"/>
              </w:rPr>
              <w:t>✓</w:t>
            </w:r>
            <w:r>
              <w:rPr>
                <w:rFonts w:ascii="Times New Roman" w:cs="Times New Roman" w:eastAsia="Times New Roman" w:hAnsi="Times New Roman"/>
                <w:sz w:val="18"/>
                <w:szCs w:val="18"/>
                <w:b w:val="1"/>
                <w:bCs w:val="1"/>
                <w:color w:val="538135"/>
              </w:rPr>
              <w:t xml:space="preserve"> FOR Our Nominees</w:t>
            </w:r>
          </w:p>
        </w:tc>
        <w:tc>
          <w:tcPr>
            <w:tcW w:w="20" w:type="dxa"/>
            <w:vAlign w:val="bottom"/>
            <w:tcBorders>
              <w:top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4DC1E4"/>
              </w:rPr>
              <w:t>Expiring at the 2029 Annual Meeting of Stockholders</w:t>
            </w: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000000"/>
          </w:tcPr>
          <w:p>
            <w:pPr>
              <w:spacing w:after="0"/>
              <w:rPr>
                <w:sz w:val="20"/>
                <w:szCs w:val="20"/>
                <w:color w:val="auto"/>
              </w:rPr>
            </w:pPr>
          </w:p>
        </w:tc>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Frank Thomas   Carole S. Ben-Maimon, M.D.  Joseph Truitt</w:t>
            </w: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auto"/>
            </w:tcBorders>
            <w:shd w:val="clear" w:color="auto" w:fill="000000"/>
          </w:tcPr>
          <w:p>
            <w:pPr>
              <w:spacing w:after="0"/>
              <w:rPr>
                <w:sz w:val="8"/>
                <w:szCs w:val="8"/>
                <w:color w:val="auto"/>
              </w:rPr>
            </w:pPr>
          </w:p>
        </w:tc>
        <w:tc>
          <w:tcPr>
            <w:tcW w:w="5820" w:type="dxa"/>
            <w:vAlign w:val="bottom"/>
            <w:tcBorders>
              <w:bottom w:val="single" w:sz="8" w:color="auto"/>
            </w:tcBorders>
            <w:gridSpan w:val="2"/>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560" w:type="dxa"/>
            <w:vAlign w:val="bottom"/>
            <w:tcBorders>
              <w:bottom w:val="single" w:sz="8" w:color="auto"/>
            </w:tcBorders>
            <w:gridSpan w:val="3"/>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000000"/>
          </w:tcPr>
          <w:p>
            <w:pPr>
              <w:spacing w:after="0"/>
              <w:rPr>
                <w:sz w:val="17"/>
                <w:szCs w:val="17"/>
                <w:color w:val="auto"/>
              </w:rPr>
            </w:pPr>
          </w:p>
        </w:tc>
        <w:tc>
          <w:tcPr>
            <w:tcW w:w="5820" w:type="dxa"/>
            <w:vAlign w:val="bottom"/>
            <w:gridSpan w:val="2"/>
          </w:tcPr>
          <w:p>
            <w:pPr>
              <w:ind w:left="140"/>
              <w:spacing w:after="0" w:line="205" w:lineRule="exact"/>
              <w:rPr>
                <w:sz w:val="20"/>
                <w:szCs w:val="20"/>
                <w:color w:val="auto"/>
              </w:rPr>
            </w:pPr>
            <w:r>
              <w:rPr>
                <w:rFonts w:ascii="Times New Roman" w:cs="Times New Roman" w:eastAsia="Times New Roman" w:hAnsi="Times New Roman"/>
                <w:sz w:val="18"/>
                <w:szCs w:val="18"/>
                <w:b w:val="1"/>
                <w:bCs w:val="1"/>
                <w:color w:val="4DC1E4"/>
              </w:rPr>
              <w:t>PROPOSAL 2</w:t>
            </w:r>
            <w:r>
              <w:rPr>
                <w:rFonts w:ascii="Times New Roman" w:cs="Times New Roman" w:eastAsia="Times New Roman" w:hAnsi="Times New Roman"/>
                <w:sz w:val="18"/>
                <w:szCs w:val="18"/>
                <w:color w:val="4DC1E4"/>
              </w:rPr>
              <w:t>: Approval, on an Advisory Basis, of the Compensation of our</w:t>
            </w:r>
          </w:p>
        </w:tc>
        <w:tc>
          <w:tcPr>
            <w:tcW w:w="740" w:type="dxa"/>
            <w:vAlign w:val="bottom"/>
          </w:tcPr>
          <w:p>
            <w:pPr>
              <w:ind w:left="140"/>
              <w:spacing w:after="0" w:line="205" w:lineRule="exact"/>
              <w:rPr>
                <w:sz w:val="20"/>
                <w:szCs w:val="20"/>
                <w:color w:val="auto"/>
              </w:rPr>
            </w:pPr>
            <w:r>
              <w:rPr>
                <w:rFonts w:ascii="Times New Roman" w:cs="Times New Roman" w:eastAsia="Times New Roman" w:hAnsi="Times New Roman"/>
                <w:sz w:val="18"/>
                <w:szCs w:val="18"/>
                <w:color w:val="auto"/>
              </w:rPr>
              <w:t>Page 42</w:t>
            </w:r>
          </w:p>
        </w:tc>
        <w:tc>
          <w:tcPr>
            <w:tcW w:w="580" w:type="dxa"/>
            <w:vAlign w:val="bottom"/>
          </w:tcPr>
          <w:p>
            <w:pPr>
              <w:spacing w:after="0"/>
              <w:rPr>
                <w:sz w:val="17"/>
                <w:szCs w:val="17"/>
                <w:color w:val="auto"/>
              </w:rPr>
            </w:pPr>
          </w:p>
        </w:tc>
        <w:tc>
          <w:tcPr>
            <w:tcW w:w="2560" w:type="dxa"/>
            <w:vAlign w:val="bottom"/>
            <w:gridSpan w:val="3"/>
          </w:tcPr>
          <w:p>
            <w:pPr>
              <w:ind w:left="140"/>
              <w:spacing w:after="0" w:line="205" w:lineRule="exact"/>
              <w:rPr>
                <w:sz w:val="20"/>
                <w:szCs w:val="20"/>
                <w:color w:val="auto"/>
              </w:rPr>
            </w:pPr>
            <w:r>
              <w:rPr>
                <w:rFonts w:ascii="MS PGothic" w:cs="MS PGothic" w:eastAsia="MS PGothic" w:hAnsi="MS PGothic"/>
                <w:sz w:val="18"/>
                <w:szCs w:val="18"/>
                <w:color w:val="538135"/>
              </w:rPr>
              <w:t>✓</w:t>
            </w:r>
            <w:r>
              <w:rPr>
                <w:rFonts w:ascii="Times New Roman" w:cs="Times New Roman" w:eastAsia="Times New Roman" w:hAnsi="Times New Roman"/>
                <w:sz w:val="18"/>
                <w:szCs w:val="18"/>
                <w:b w:val="1"/>
                <w:bCs w:val="1"/>
                <w:color w:val="538135"/>
              </w:rPr>
              <w:t xml:space="preserve"> FOR</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000000"/>
          </w:tcPr>
          <w:p>
            <w:pPr>
              <w:spacing w:after="0"/>
              <w:rPr>
                <w:sz w:val="20"/>
                <w:szCs w:val="20"/>
                <w:color w:val="auto"/>
              </w:rPr>
            </w:pPr>
          </w:p>
        </w:tc>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4DC1E4"/>
              </w:rPr>
              <w:t>Named Executive Officers</w:t>
            </w: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auto"/>
            </w:tcBorders>
            <w:shd w:val="clear" w:color="auto" w:fill="000000"/>
          </w:tcPr>
          <w:p>
            <w:pPr>
              <w:spacing w:after="0"/>
              <w:rPr>
                <w:sz w:val="7"/>
                <w:szCs w:val="7"/>
                <w:color w:val="auto"/>
              </w:rPr>
            </w:pPr>
          </w:p>
        </w:tc>
        <w:tc>
          <w:tcPr>
            <w:tcW w:w="5820" w:type="dxa"/>
            <w:vAlign w:val="bottom"/>
            <w:tcBorders>
              <w:bottom w:val="single" w:sz="8" w:color="auto"/>
            </w:tcBorders>
            <w:gridSpan w:val="2"/>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560" w:type="dxa"/>
            <w:vAlign w:val="bottom"/>
            <w:tcBorders>
              <w:bottom w:val="single" w:sz="8" w:color="auto"/>
            </w:tcBorders>
            <w:gridSpan w:val="3"/>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000000"/>
          </w:tcPr>
          <w:p>
            <w:pPr>
              <w:spacing w:after="0"/>
              <w:rPr>
                <w:sz w:val="17"/>
                <w:szCs w:val="17"/>
                <w:color w:val="auto"/>
              </w:rPr>
            </w:pPr>
          </w:p>
        </w:tc>
        <w:tc>
          <w:tcPr>
            <w:tcW w:w="5820" w:type="dxa"/>
            <w:vAlign w:val="bottom"/>
            <w:gridSpan w:val="2"/>
          </w:tcPr>
          <w:p>
            <w:pPr>
              <w:ind w:left="140"/>
              <w:spacing w:after="0" w:line="205" w:lineRule="exact"/>
              <w:rPr>
                <w:sz w:val="20"/>
                <w:szCs w:val="20"/>
                <w:color w:val="auto"/>
              </w:rPr>
            </w:pPr>
            <w:r>
              <w:rPr>
                <w:rFonts w:ascii="Times New Roman" w:cs="Times New Roman" w:eastAsia="Times New Roman" w:hAnsi="Times New Roman"/>
                <w:sz w:val="18"/>
                <w:szCs w:val="18"/>
                <w:b w:val="1"/>
                <w:bCs w:val="1"/>
                <w:color w:val="4DC1E4"/>
              </w:rPr>
              <w:t>PROPOSAL 3</w:t>
            </w:r>
            <w:r>
              <w:rPr>
                <w:rFonts w:ascii="Times New Roman" w:cs="Times New Roman" w:eastAsia="Times New Roman" w:hAnsi="Times New Roman"/>
                <w:sz w:val="18"/>
                <w:szCs w:val="18"/>
                <w:color w:val="4DC1E4"/>
              </w:rPr>
              <w:t>: Approval, on an Advisory Basis, of the Preferred Frequency</w:t>
            </w:r>
          </w:p>
        </w:tc>
        <w:tc>
          <w:tcPr>
            <w:tcW w:w="740" w:type="dxa"/>
            <w:vAlign w:val="bottom"/>
          </w:tcPr>
          <w:p>
            <w:pPr>
              <w:ind w:left="140"/>
              <w:spacing w:after="0" w:line="205" w:lineRule="exact"/>
              <w:rPr>
                <w:sz w:val="20"/>
                <w:szCs w:val="20"/>
                <w:color w:val="auto"/>
              </w:rPr>
            </w:pPr>
            <w:r>
              <w:rPr>
                <w:rFonts w:ascii="Times New Roman" w:cs="Times New Roman" w:eastAsia="Times New Roman" w:hAnsi="Times New Roman"/>
                <w:sz w:val="18"/>
                <w:szCs w:val="18"/>
                <w:color w:val="auto"/>
              </w:rPr>
              <w:t>Page 43</w:t>
            </w:r>
          </w:p>
        </w:tc>
        <w:tc>
          <w:tcPr>
            <w:tcW w:w="580" w:type="dxa"/>
            <w:vAlign w:val="bottom"/>
          </w:tcPr>
          <w:p>
            <w:pPr>
              <w:spacing w:after="0"/>
              <w:rPr>
                <w:sz w:val="17"/>
                <w:szCs w:val="17"/>
                <w:color w:val="auto"/>
              </w:rPr>
            </w:pPr>
          </w:p>
        </w:tc>
        <w:tc>
          <w:tcPr>
            <w:tcW w:w="2560" w:type="dxa"/>
            <w:vAlign w:val="bottom"/>
            <w:gridSpan w:val="3"/>
          </w:tcPr>
          <w:p>
            <w:pPr>
              <w:ind w:left="140"/>
              <w:spacing w:after="0" w:line="205" w:lineRule="exact"/>
              <w:rPr>
                <w:sz w:val="20"/>
                <w:szCs w:val="20"/>
                <w:color w:val="auto"/>
              </w:rPr>
            </w:pPr>
            <w:r>
              <w:rPr>
                <w:rFonts w:ascii="MS PGothic" w:cs="MS PGothic" w:eastAsia="MS PGothic" w:hAnsi="MS PGothic"/>
                <w:sz w:val="18"/>
                <w:szCs w:val="18"/>
                <w:color w:val="538135"/>
              </w:rPr>
              <w:t>✓</w:t>
            </w:r>
            <w:r>
              <w:rPr>
                <w:rFonts w:ascii="Times New Roman" w:cs="Times New Roman" w:eastAsia="Times New Roman" w:hAnsi="Times New Roman"/>
                <w:sz w:val="18"/>
                <w:szCs w:val="18"/>
                <w:b w:val="1"/>
                <w:bCs w:val="1"/>
                <w:color w:val="538135"/>
              </w:rPr>
              <w:t xml:space="preserve"> FOR One Year</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5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4DC1E4"/>
              </w:rPr>
              <w:t>of Future Advisory Votes on the Compensation of our Named Executive</w:t>
            </w: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000000"/>
          </w:tcPr>
          <w:p>
            <w:pPr>
              <w:spacing w:after="0"/>
              <w:rPr>
                <w:sz w:val="20"/>
                <w:szCs w:val="20"/>
                <w:color w:val="auto"/>
              </w:rPr>
            </w:pPr>
          </w:p>
        </w:tc>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4DC1E4"/>
              </w:rPr>
              <w:t>Officers</w:t>
            </w: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auto"/>
            </w:tcBorders>
            <w:shd w:val="clear" w:color="auto" w:fill="000000"/>
          </w:tcPr>
          <w:p>
            <w:pPr>
              <w:spacing w:after="0"/>
              <w:rPr>
                <w:sz w:val="8"/>
                <w:szCs w:val="8"/>
                <w:color w:val="auto"/>
              </w:rPr>
            </w:pPr>
          </w:p>
        </w:tc>
        <w:tc>
          <w:tcPr>
            <w:tcW w:w="5820" w:type="dxa"/>
            <w:vAlign w:val="bottom"/>
            <w:tcBorders>
              <w:bottom w:val="single" w:sz="8" w:color="auto"/>
            </w:tcBorders>
            <w:gridSpan w:val="2"/>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560" w:type="dxa"/>
            <w:vAlign w:val="bottom"/>
            <w:tcBorders>
              <w:bottom w:val="single" w:sz="8" w:color="auto"/>
            </w:tcBorders>
            <w:gridSpan w:val="3"/>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4DC1E4"/>
              </w:rPr>
              <w:t>PROPOSAL 4</w:t>
            </w:r>
            <w:r>
              <w:rPr>
                <w:rFonts w:ascii="Times New Roman" w:cs="Times New Roman" w:eastAsia="Times New Roman" w:hAnsi="Times New Roman"/>
                <w:sz w:val="18"/>
                <w:szCs w:val="18"/>
                <w:color w:val="4DC1E4"/>
              </w:rPr>
              <w:t>: Ratification of Appointment of PricewaterhouseCoopers LLP</w:t>
            </w: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Page 44</w:t>
            </w:r>
          </w:p>
        </w:tc>
        <w:tc>
          <w:tcPr>
            <w:tcW w:w="580" w:type="dxa"/>
            <w:vAlign w:val="bottom"/>
          </w:tcPr>
          <w:p>
            <w:pPr>
              <w:spacing w:after="0"/>
              <w:rPr>
                <w:sz w:val="17"/>
                <w:szCs w:val="17"/>
                <w:color w:val="auto"/>
              </w:rPr>
            </w:pPr>
          </w:p>
        </w:tc>
        <w:tc>
          <w:tcPr>
            <w:tcW w:w="2560" w:type="dxa"/>
            <w:vAlign w:val="bottom"/>
            <w:gridSpan w:val="3"/>
            <w:vMerge w:val="restart"/>
          </w:tcPr>
          <w:p>
            <w:pPr>
              <w:ind w:left="140"/>
              <w:spacing w:after="0" w:line="207" w:lineRule="exact"/>
              <w:rPr>
                <w:sz w:val="20"/>
                <w:szCs w:val="20"/>
                <w:color w:val="auto"/>
              </w:rPr>
            </w:pPr>
            <w:r>
              <w:rPr>
                <w:rFonts w:ascii="MS PGothic" w:cs="MS PGothic" w:eastAsia="MS PGothic" w:hAnsi="MS PGothic"/>
                <w:sz w:val="18"/>
                <w:szCs w:val="18"/>
                <w:color w:val="538135"/>
              </w:rPr>
              <w:t>✓</w:t>
            </w:r>
            <w:r>
              <w:rPr>
                <w:rFonts w:ascii="Times New Roman" w:cs="Times New Roman" w:eastAsia="Times New Roman" w:hAnsi="Times New Roman"/>
                <w:sz w:val="18"/>
                <w:szCs w:val="18"/>
                <w:b w:val="1"/>
                <w:bCs w:val="1"/>
                <w:color w:val="538135"/>
              </w:rPr>
              <w:t xml:space="preserve"> FOR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shd w:val="clear" w:color="auto" w:fill="000000"/>
          </w:tcPr>
          <w:p>
            <w:pPr>
              <w:spacing w:after="0"/>
              <w:rPr>
                <w:sz w:val="17"/>
                <w:szCs w:val="17"/>
                <w:color w:val="auto"/>
              </w:rPr>
            </w:pPr>
          </w:p>
        </w:tc>
        <w:tc>
          <w:tcPr>
            <w:tcW w:w="582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2560" w:type="dxa"/>
            <w:vAlign w:val="bottom"/>
            <w:gridSpan w:val="3"/>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5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4DC1E4"/>
              </w:rPr>
              <w:t>as our Independent Registered Public Accounting Firm for the 2026 Fiscal</w:t>
            </w: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000000"/>
          </w:tcPr>
          <w:p>
            <w:pPr>
              <w:spacing w:after="0"/>
              <w:rPr>
                <w:sz w:val="20"/>
                <w:szCs w:val="20"/>
                <w:color w:val="auto"/>
              </w:rPr>
            </w:pPr>
          </w:p>
        </w:tc>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4DC1E4"/>
              </w:rPr>
              <w:t>Year</w:t>
            </w: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auto"/>
            </w:tcBorders>
            <w:shd w:val="clear" w:color="auto" w:fill="000000"/>
          </w:tcPr>
          <w:p>
            <w:pPr>
              <w:spacing w:after="0"/>
              <w:rPr>
                <w:sz w:val="7"/>
                <w:szCs w:val="7"/>
                <w:color w:val="auto"/>
              </w:rPr>
            </w:pPr>
          </w:p>
        </w:tc>
        <w:tc>
          <w:tcPr>
            <w:tcW w:w="5820" w:type="dxa"/>
            <w:vAlign w:val="bottom"/>
            <w:tcBorders>
              <w:bottom w:val="single" w:sz="8" w:color="auto"/>
            </w:tcBorders>
            <w:gridSpan w:val="2"/>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560" w:type="dxa"/>
            <w:vAlign w:val="bottom"/>
            <w:tcBorders>
              <w:bottom w:val="single" w:sz="8" w:color="auto"/>
            </w:tcBorders>
            <w:gridSpan w:val="3"/>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000000"/>
          </w:tcPr>
          <w:p>
            <w:pPr>
              <w:spacing w:after="0"/>
              <w:rPr>
                <w:sz w:val="17"/>
                <w:szCs w:val="17"/>
                <w:color w:val="auto"/>
              </w:rPr>
            </w:pPr>
          </w:p>
        </w:tc>
        <w:tc>
          <w:tcPr>
            <w:tcW w:w="5820" w:type="dxa"/>
            <w:vAlign w:val="bottom"/>
            <w:gridSpan w:val="2"/>
          </w:tcPr>
          <w:p>
            <w:pPr>
              <w:ind w:left="140"/>
              <w:spacing w:after="0" w:line="205" w:lineRule="exact"/>
              <w:rPr>
                <w:sz w:val="20"/>
                <w:szCs w:val="20"/>
                <w:color w:val="auto"/>
              </w:rPr>
            </w:pPr>
            <w:r>
              <w:rPr>
                <w:rFonts w:ascii="Times New Roman" w:cs="Times New Roman" w:eastAsia="Times New Roman" w:hAnsi="Times New Roman"/>
                <w:sz w:val="18"/>
                <w:szCs w:val="18"/>
                <w:b w:val="1"/>
                <w:bCs w:val="1"/>
                <w:color w:val="4DC1E4"/>
              </w:rPr>
              <w:t>PROPOSAL 5</w:t>
            </w:r>
            <w:r>
              <w:rPr>
                <w:rFonts w:ascii="Times New Roman" w:cs="Times New Roman" w:eastAsia="Times New Roman" w:hAnsi="Times New Roman"/>
                <w:sz w:val="18"/>
                <w:szCs w:val="18"/>
                <w:color w:val="4DC1E4"/>
              </w:rPr>
              <w:t>: Approval of an Amendment to our Ninth Amended and</w:t>
            </w:r>
          </w:p>
        </w:tc>
        <w:tc>
          <w:tcPr>
            <w:tcW w:w="740" w:type="dxa"/>
            <w:vAlign w:val="bottom"/>
          </w:tcPr>
          <w:p>
            <w:pPr>
              <w:ind w:left="140"/>
              <w:spacing w:after="0" w:line="205" w:lineRule="exact"/>
              <w:rPr>
                <w:sz w:val="20"/>
                <w:szCs w:val="20"/>
                <w:color w:val="auto"/>
              </w:rPr>
            </w:pPr>
            <w:r>
              <w:rPr>
                <w:rFonts w:ascii="Times New Roman" w:cs="Times New Roman" w:eastAsia="Times New Roman" w:hAnsi="Times New Roman"/>
                <w:sz w:val="18"/>
                <w:szCs w:val="18"/>
                <w:color w:val="auto"/>
              </w:rPr>
              <w:t>Page 45</w:t>
            </w:r>
          </w:p>
        </w:tc>
        <w:tc>
          <w:tcPr>
            <w:tcW w:w="580" w:type="dxa"/>
            <w:vAlign w:val="bottom"/>
          </w:tcPr>
          <w:p>
            <w:pPr>
              <w:spacing w:after="0"/>
              <w:rPr>
                <w:sz w:val="17"/>
                <w:szCs w:val="17"/>
                <w:color w:val="auto"/>
              </w:rPr>
            </w:pPr>
          </w:p>
        </w:tc>
        <w:tc>
          <w:tcPr>
            <w:tcW w:w="2560" w:type="dxa"/>
            <w:vAlign w:val="bottom"/>
            <w:gridSpan w:val="3"/>
          </w:tcPr>
          <w:p>
            <w:pPr>
              <w:ind w:left="140"/>
              <w:spacing w:after="0" w:line="205" w:lineRule="exact"/>
              <w:rPr>
                <w:sz w:val="20"/>
                <w:szCs w:val="20"/>
                <w:color w:val="auto"/>
              </w:rPr>
            </w:pPr>
            <w:r>
              <w:rPr>
                <w:rFonts w:ascii="MS PGothic" w:cs="MS PGothic" w:eastAsia="MS PGothic" w:hAnsi="MS PGothic"/>
                <w:sz w:val="18"/>
                <w:szCs w:val="18"/>
                <w:color w:val="538135"/>
              </w:rPr>
              <w:t>✓</w:t>
            </w:r>
            <w:r>
              <w:rPr>
                <w:rFonts w:ascii="Times New Roman" w:cs="Times New Roman" w:eastAsia="Times New Roman" w:hAnsi="Times New Roman"/>
                <w:sz w:val="18"/>
                <w:szCs w:val="18"/>
                <w:b w:val="1"/>
                <w:bCs w:val="1"/>
                <w:color w:val="538135"/>
              </w:rPr>
              <w:t xml:space="preserve"> FOR</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5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4DC1E4"/>
              </w:rPr>
              <w:t>Restated Certificate of Incorporation, as Amended, to Increase the Number of</w:t>
            </w: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000000"/>
          </w:tcPr>
          <w:p>
            <w:pPr>
              <w:spacing w:after="0"/>
              <w:rPr>
                <w:sz w:val="20"/>
                <w:szCs w:val="20"/>
                <w:color w:val="auto"/>
              </w:rPr>
            </w:pPr>
          </w:p>
        </w:tc>
        <w:tc>
          <w:tcPr>
            <w:tcW w:w="5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4DC1E4"/>
              </w:rPr>
              <w:t>Authorized Shares of our Common Stock from 115,000,000 to 215,000,000</w:t>
            </w: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auto"/>
            </w:tcBorders>
            <w:shd w:val="clear" w:color="auto" w:fill="000000"/>
          </w:tcPr>
          <w:p>
            <w:pPr>
              <w:spacing w:after="0"/>
              <w:rPr>
                <w:sz w:val="7"/>
                <w:szCs w:val="7"/>
                <w:color w:val="auto"/>
              </w:rPr>
            </w:pPr>
          </w:p>
        </w:tc>
        <w:tc>
          <w:tcPr>
            <w:tcW w:w="5820" w:type="dxa"/>
            <w:vAlign w:val="bottom"/>
            <w:tcBorders>
              <w:bottom w:val="single" w:sz="8" w:color="auto"/>
            </w:tcBorders>
            <w:gridSpan w:val="2"/>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560" w:type="dxa"/>
            <w:vAlign w:val="bottom"/>
            <w:tcBorders>
              <w:bottom w:val="single" w:sz="8" w:color="auto"/>
            </w:tcBorders>
            <w:gridSpan w:val="3"/>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4DC1E4"/>
              </w:rPr>
              <w:t>PROPOSAL 6</w:t>
            </w:r>
            <w:r>
              <w:rPr>
                <w:rFonts w:ascii="Times New Roman" w:cs="Times New Roman" w:eastAsia="Times New Roman" w:hAnsi="Times New Roman"/>
                <w:sz w:val="18"/>
                <w:szCs w:val="18"/>
                <w:color w:val="4DC1E4"/>
              </w:rPr>
              <w:t>: Approval of an Adjournment of the Annual Meeting to the</w:t>
            </w: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Page 46</w:t>
            </w:r>
          </w:p>
        </w:tc>
        <w:tc>
          <w:tcPr>
            <w:tcW w:w="580" w:type="dxa"/>
            <w:vAlign w:val="bottom"/>
          </w:tcPr>
          <w:p>
            <w:pPr>
              <w:spacing w:after="0"/>
              <w:rPr>
                <w:sz w:val="18"/>
                <w:szCs w:val="18"/>
                <w:color w:val="auto"/>
              </w:rPr>
            </w:pPr>
          </w:p>
        </w:tc>
        <w:tc>
          <w:tcPr>
            <w:tcW w:w="2560" w:type="dxa"/>
            <w:vAlign w:val="bottom"/>
            <w:gridSpan w:val="3"/>
            <w:vMerge w:val="restart"/>
          </w:tcPr>
          <w:p>
            <w:pPr>
              <w:ind w:left="140"/>
              <w:spacing w:after="0" w:line="207" w:lineRule="exact"/>
              <w:rPr>
                <w:sz w:val="20"/>
                <w:szCs w:val="20"/>
                <w:color w:val="auto"/>
              </w:rPr>
            </w:pPr>
            <w:r>
              <w:rPr>
                <w:rFonts w:ascii="MS PGothic" w:cs="MS PGothic" w:eastAsia="MS PGothic" w:hAnsi="MS PGothic"/>
                <w:sz w:val="18"/>
                <w:szCs w:val="18"/>
                <w:color w:val="538135"/>
              </w:rPr>
              <w:t>✓</w:t>
            </w:r>
            <w:r>
              <w:rPr>
                <w:rFonts w:ascii="Times New Roman" w:cs="Times New Roman" w:eastAsia="Times New Roman" w:hAnsi="Times New Roman"/>
                <w:sz w:val="18"/>
                <w:szCs w:val="18"/>
                <w:b w:val="1"/>
                <w:bCs w:val="1"/>
                <w:color w:val="538135"/>
              </w:rPr>
              <w:t xml:space="preserve"> FOR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shd w:val="clear" w:color="auto" w:fill="000000"/>
          </w:tcPr>
          <w:p>
            <w:pPr>
              <w:spacing w:after="0"/>
              <w:rPr>
                <w:sz w:val="17"/>
                <w:szCs w:val="17"/>
                <w:color w:val="auto"/>
              </w:rPr>
            </w:pPr>
          </w:p>
        </w:tc>
        <w:tc>
          <w:tcPr>
            <w:tcW w:w="582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2560" w:type="dxa"/>
            <w:vAlign w:val="bottom"/>
            <w:gridSpan w:val="3"/>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4DC1E4"/>
              </w:rPr>
              <w:t>Extent There are Insufficient Votes at the Annual Meeting to Approve</w:t>
            </w: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000000"/>
          </w:tcPr>
          <w:p>
            <w:pPr>
              <w:spacing w:after="0"/>
              <w:rPr>
                <w:sz w:val="20"/>
                <w:szCs w:val="20"/>
                <w:color w:val="auto"/>
              </w:rPr>
            </w:pPr>
          </w:p>
        </w:tc>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4DC1E4"/>
              </w:rPr>
              <w:t>Proposal 5</w:t>
            </w: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auto"/>
            </w:tcBorders>
            <w:shd w:val="clear" w:color="auto" w:fill="000000"/>
          </w:tcPr>
          <w:p>
            <w:pPr>
              <w:spacing w:after="0"/>
              <w:rPr>
                <w:sz w:val="7"/>
                <w:szCs w:val="7"/>
                <w:color w:val="auto"/>
              </w:rPr>
            </w:pPr>
          </w:p>
        </w:tc>
        <w:tc>
          <w:tcPr>
            <w:tcW w:w="52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3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6011545</wp:posOffset>
            </wp:positionH>
            <wp:positionV relativeFrom="paragraph">
              <wp:posOffset>-3479800</wp:posOffset>
            </wp:positionV>
            <wp:extent cx="82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Director Nominees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are being asked to vote on the election of Frank Thomas, Carole S. Ben-Maimon, M.D. and Joseph Truitt as Class III directors, each to serve for a three-year term expiring at our 2029 Annual Meeting of Stockholders. The number of members of our Board of Directors (the “Board”) is currently set at six members and is divided into three classes, each of which has a three-year term. Class I consists of two directors, Class II consists of one director and Class III consists of three directors.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 of office of our Class III directors expires at the Annual Meeting. We are nominating Frank Thomas, Carole S. Ben-Maimon, M.D. and Joseph Truitt for at the Annual Meeting to serve until the 2029 Annual Meeting of Stockholders and until their successors, if any, are duly elected and qualified or appointed, or until their earlier death, resignation or removal. Directors are elected</w:t>
      </w:r>
    </w:p>
    <w:p>
      <w:pPr>
        <w:spacing w:after="0" w:line="293" w:lineRule="exact"/>
        <w:rPr>
          <w:sz w:val="20"/>
          <w:szCs w:val="20"/>
          <w:color w:val="auto"/>
        </w:rPr>
      </w:pPr>
    </w:p>
    <w:p>
      <w:pPr>
        <w:jc w:val="right"/>
        <w:spacing w:after="0"/>
        <w:tabs>
          <w:tab w:leader="none" w:pos="2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w:t>
      </w:r>
      <w:r>
        <w:rPr>
          <w:sz w:val="20"/>
          <w:szCs w:val="20"/>
          <w:color w:val="auto"/>
        </w:rPr>
        <w:tab/>
      </w:r>
      <w:r>
        <w:rPr>
          <w:rFonts w:ascii="Times New Roman" w:cs="Times New Roman" w:eastAsia="Times New Roman" w:hAnsi="Times New Roman"/>
          <w:sz w:val="13"/>
          <w:szCs w:val="13"/>
          <w:b w:val="1"/>
          <w:bCs w:val="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067" w:right="1099" w:bottom="1440" w:gutter="0" w:footer="0" w:header="0"/>
        </w:sectPr>
      </w:pPr>
    </w:p>
    <w:bookmarkStart w:id="5" w:name="page6"/>
    <w:bookmarkEnd w:id="5"/>
    <w:p>
      <w:pPr>
        <w:spacing w:after="0" w:line="282" w:lineRule="auto"/>
        <w:rPr>
          <w:sz w:val="20"/>
          <w:szCs w:val="20"/>
          <w:color w:val="auto"/>
        </w:rPr>
      </w:pPr>
      <w:r>
        <w:rPr>
          <w:rFonts w:ascii="Times New Roman" w:cs="Times New Roman" w:eastAsia="Times New Roman" w:hAnsi="Times New Roman"/>
          <w:sz w:val="18"/>
          <w:szCs w:val="18"/>
          <w:color w:val="auto"/>
        </w:rPr>
        <w:t>by a plurality of the votes cast by our stockholders at the Annual Meeting. The nominees receiving the highest number of FOR votes (among votes properly cast online during the Annual Meeting or by proxy) will be elected. If no contrary indication is made, shares</w:t>
      </w:r>
    </w:p>
    <w:p>
      <w:pPr>
        <w:spacing w:after="0" w:line="279" w:lineRule="exact"/>
        <w:rPr>
          <w:sz w:val="20"/>
          <w:szCs w:val="20"/>
          <w:color w:val="auto"/>
        </w:rPr>
      </w:pPr>
    </w:p>
    <w:p>
      <w:pPr>
        <w:jc w:val="right"/>
        <w:spacing w:after="0"/>
        <w:tabs>
          <w:tab w:leader="none" w:pos="8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w:t>
      </w:r>
      <w:r>
        <w:rPr>
          <w:sz w:val="20"/>
          <w:szCs w:val="20"/>
          <w:color w:val="auto"/>
        </w:rPr>
        <w:tab/>
      </w:r>
      <w:r>
        <w:rPr>
          <w:rFonts w:ascii="Times New Roman" w:cs="Times New Roman" w:eastAsia="Times New Roman" w:hAnsi="Times New Roman"/>
          <w:sz w:val="17"/>
          <w:szCs w:val="17"/>
          <w:b w:val="1"/>
          <w:bCs w:val="1"/>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093" w:right="1099" w:bottom="1440" w:gutter="0" w:footer="0" w:header="0"/>
        </w:sectPr>
      </w:pPr>
    </w:p>
    <w:bookmarkStart w:id="6" w:name="page7"/>
    <w:bookmarkEnd w:id="6"/>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SUMMARY INFORMATION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6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represented by executed proxies will be voted FOR the election of Mr. Thomas, Dr. Ben-Maimon and Mr. Truitt. Each nominee has agreed to serve as a director if elected, and we have no reason to believe that any nominee will be unable to serve.</w:t>
      </w:r>
    </w:p>
    <w:p>
      <w:pPr>
        <w:spacing w:after="0" w:line="77"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FFFFFF"/>
        </w:rPr>
        <w:t>C</w:t>
      </w:r>
      <w:r>
        <w:rPr>
          <w:rFonts w:ascii="Times New Roman" w:cs="Times New Roman" w:eastAsia="Times New Roman" w:hAnsi="Times New Roman"/>
          <w:sz w:val="13"/>
          <w:szCs w:val="13"/>
          <w:b w:val="1"/>
          <w:bCs w:val="1"/>
          <w:color w:val="FFFFFF"/>
        </w:rPr>
        <w:t>OMMITTEE</w:t>
      </w:r>
      <w:r>
        <w:rPr>
          <w:rFonts w:ascii="Times New Roman" w:cs="Times New Roman" w:eastAsia="Times New Roman" w:hAnsi="Times New Roman"/>
          <w:sz w:val="18"/>
          <w:szCs w:val="18"/>
          <w:b w:val="1"/>
          <w:bCs w:val="1"/>
          <w:color w:val="FFFFFF"/>
        </w:rPr>
        <w:t xml:space="preserve"> M</w:t>
      </w:r>
      <w:r>
        <w:rPr>
          <w:rFonts w:ascii="Times New Roman" w:cs="Times New Roman" w:eastAsia="Times New Roman" w:hAnsi="Times New Roman"/>
          <w:sz w:val="13"/>
          <w:szCs w:val="13"/>
          <w:b w:val="1"/>
          <w:bCs w:val="1"/>
          <w:color w:val="FFFFFF"/>
        </w:rPr>
        <w:t>EMBERSHIPS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-125095</wp:posOffset>
            </wp:positionV>
            <wp:extent cx="6172200" cy="2297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72200" cy="2297430"/>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7"/>
                <w:szCs w:val="17"/>
                <w:color w:val="auto"/>
              </w:rPr>
            </w:pPr>
          </w:p>
        </w:tc>
        <w:tc>
          <w:tcPr>
            <w:tcW w:w="720" w:type="dxa"/>
            <w:vAlign w:val="bottom"/>
            <w:shd w:val="clear" w:color="auto" w:fill="4DC1E4"/>
          </w:tcPr>
          <w:p>
            <w:pPr>
              <w:spacing w:after="0"/>
              <w:rPr>
                <w:sz w:val="17"/>
                <w:szCs w:val="17"/>
                <w:color w:val="auto"/>
              </w:rPr>
            </w:pPr>
          </w:p>
        </w:tc>
        <w:tc>
          <w:tcPr>
            <w:tcW w:w="860" w:type="dxa"/>
            <w:vAlign w:val="bottom"/>
            <w:shd w:val="clear" w:color="auto" w:fill="4DC1E4"/>
          </w:tcPr>
          <w:p>
            <w:pPr>
              <w:jc w:val="center"/>
              <w:ind w:left="10"/>
              <w:spacing w:after="0"/>
              <w:rPr>
                <w:sz w:val="20"/>
                <w:szCs w:val="20"/>
                <w:color w:val="auto"/>
              </w:rPr>
            </w:pPr>
            <w:r>
              <w:rPr>
                <w:rFonts w:ascii="Times New Roman" w:cs="Times New Roman" w:eastAsia="Times New Roman" w:hAnsi="Times New Roman"/>
                <w:sz w:val="18"/>
                <w:szCs w:val="18"/>
                <w:b w:val="1"/>
                <w:bCs w:val="1"/>
                <w:color w:val="FFFFFF"/>
              </w:rPr>
              <w:t>D</w:t>
            </w:r>
            <w:r>
              <w:rPr>
                <w:rFonts w:ascii="Times New Roman" w:cs="Times New Roman" w:eastAsia="Times New Roman" w:hAnsi="Times New Roman"/>
                <w:sz w:val="13"/>
                <w:szCs w:val="13"/>
                <w:b w:val="1"/>
                <w:bCs w:val="1"/>
                <w:color w:val="FFFFFF"/>
              </w:rPr>
              <w:t>IRECTOR</w:t>
            </w:r>
          </w:p>
        </w:tc>
        <w:tc>
          <w:tcPr>
            <w:tcW w:w="1720" w:type="dxa"/>
            <w:vAlign w:val="bottom"/>
            <w:shd w:val="clear" w:color="auto" w:fill="4DC1E4"/>
          </w:tcPr>
          <w:p>
            <w:pPr>
              <w:spacing w:after="0"/>
              <w:rPr>
                <w:sz w:val="17"/>
                <w:szCs w:val="17"/>
                <w:color w:val="auto"/>
              </w:rPr>
            </w:pPr>
          </w:p>
        </w:tc>
        <w:tc>
          <w:tcPr>
            <w:tcW w:w="1280" w:type="dxa"/>
            <w:vAlign w:val="bottom"/>
            <w:shd w:val="clear" w:color="auto" w:fill="4DC1E4"/>
          </w:tcPr>
          <w:p>
            <w:pPr>
              <w:spacing w:after="0"/>
              <w:rPr>
                <w:sz w:val="17"/>
                <w:szCs w:val="17"/>
                <w:color w:val="auto"/>
              </w:rPr>
            </w:pPr>
          </w:p>
        </w:tc>
        <w:tc>
          <w:tcPr>
            <w:tcW w:w="640" w:type="dxa"/>
            <w:vAlign w:val="bottom"/>
            <w:shd w:val="clear" w:color="auto" w:fill="4DC1E4"/>
          </w:tcPr>
          <w:p>
            <w:pPr>
              <w:spacing w:after="0"/>
              <w:rPr>
                <w:sz w:val="17"/>
                <w:szCs w:val="17"/>
                <w:color w:val="auto"/>
              </w:rPr>
            </w:pPr>
          </w:p>
        </w:tc>
        <w:tc>
          <w:tcPr>
            <w:tcW w:w="680" w:type="dxa"/>
            <w:vAlign w:val="bottom"/>
            <w:shd w:val="clear" w:color="auto" w:fill="4DC1E4"/>
          </w:tcPr>
          <w:p>
            <w:pPr>
              <w:spacing w:after="0"/>
              <w:rPr>
                <w:sz w:val="17"/>
                <w:szCs w:val="17"/>
                <w:color w:val="auto"/>
              </w:rPr>
            </w:pPr>
          </w:p>
        </w:tc>
        <w:tc>
          <w:tcPr>
            <w:tcW w:w="780" w:type="dxa"/>
            <w:vAlign w:val="bottom"/>
            <w:shd w:val="clear" w:color="auto" w:fill="4DC1E4"/>
          </w:tcPr>
          <w:p>
            <w:pPr>
              <w:spacing w:after="0"/>
              <w:rPr>
                <w:sz w:val="17"/>
                <w:szCs w:val="17"/>
                <w:color w:val="auto"/>
              </w:rPr>
            </w:pPr>
          </w:p>
        </w:tc>
      </w:tr>
      <w:tr>
        <w:trPr>
          <w:trHeight w:val="279"/>
        </w:trPr>
        <w:tc>
          <w:tcPr>
            <w:tcW w:w="3040" w:type="dxa"/>
            <w:vAlign w:val="bottom"/>
          </w:tcPr>
          <w:p>
            <w:pPr>
              <w:ind w:left="1380"/>
              <w:spacing w:after="0"/>
              <w:rPr>
                <w:sz w:val="20"/>
                <w:szCs w:val="20"/>
                <w:color w:val="auto"/>
              </w:rPr>
            </w:pPr>
            <w:r>
              <w:rPr>
                <w:rFonts w:ascii="Times New Roman" w:cs="Times New Roman" w:eastAsia="Times New Roman" w:hAnsi="Times New Roman"/>
                <w:sz w:val="18"/>
                <w:szCs w:val="18"/>
                <w:b w:val="1"/>
                <w:bCs w:val="1"/>
                <w:color w:val="FFFFFF"/>
              </w:rPr>
              <w:t>N</w:t>
            </w:r>
            <w:r>
              <w:rPr>
                <w:rFonts w:ascii="Times New Roman" w:cs="Times New Roman" w:eastAsia="Times New Roman" w:hAnsi="Times New Roman"/>
                <w:sz w:val="13"/>
                <w:szCs w:val="13"/>
                <w:b w:val="1"/>
                <w:bCs w:val="1"/>
                <w:color w:val="FFFFFF"/>
              </w:rPr>
              <w:t>AME</w:t>
            </w:r>
          </w:p>
        </w:tc>
        <w:tc>
          <w:tcPr>
            <w:tcW w:w="720" w:type="dxa"/>
            <w:vAlign w:val="bottom"/>
            <w:tcBorders>
              <w:bottom w:val="single" w:sz="8" w:color="4DC1E4"/>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rPr>
              <w:t>A</w:t>
            </w:r>
            <w:r>
              <w:rPr>
                <w:rFonts w:ascii="Times New Roman" w:cs="Times New Roman" w:eastAsia="Times New Roman" w:hAnsi="Times New Roman"/>
                <w:sz w:val="13"/>
                <w:szCs w:val="13"/>
                <w:b w:val="1"/>
                <w:bCs w:val="1"/>
                <w:color w:val="FFFFFF"/>
              </w:rPr>
              <w:t>GE</w:t>
            </w:r>
          </w:p>
        </w:tc>
        <w:tc>
          <w:tcPr>
            <w:tcW w:w="860" w:type="dxa"/>
            <w:vAlign w:val="bottom"/>
            <w:tcBorders>
              <w:bottom w:val="single" w:sz="8" w:color="4DC1E4"/>
            </w:tcBorders>
            <w:shd w:val="clear" w:color="auto" w:fill="4DC1E4"/>
          </w:tcPr>
          <w:p>
            <w:pPr>
              <w:jc w:val="center"/>
              <w:ind w:left="10"/>
              <w:spacing w:after="0"/>
              <w:rPr>
                <w:sz w:val="20"/>
                <w:szCs w:val="20"/>
                <w:color w:val="auto"/>
              </w:rPr>
            </w:pPr>
            <w:r>
              <w:rPr>
                <w:rFonts w:ascii="Times New Roman" w:cs="Times New Roman" w:eastAsia="Times New Roman" w:hAnsi="Times New Roman"/>
                <w:sz w:val="18"/>
                <w:szCs w:val="18"/>
                <w:b w:val="1"/>
                <w:bCs w:val="1"/>
                <w:color w:val="FFFFFF"/>
              </w:rPr>
              <w:t>S</w:t>
            </w:r>
            <w:r>
              <w:rPr>
                <w:rFonts w:ascii="Times New Roman" w:cs="Times New Roman" w:eastAsia="Times New Roman" w:hAnsi="Times New Roman"/>
                <w:sz w:val="13"/>
                <w:szCs w:val="13"/>
                <w:b w:val="1"/>
                <w:bCs w:val="1"/>
                <w:color w:val="FFFFFF"/>
              </w:rPr>
              <w:t>INCE</w:t>
            </w:r>
          </w:p>
        </w:tc>
        <w:tc>
          <w:tcPr>
            <w:tcW w:w="1720" w:type="dxa"/>
            <w:vAlign w:val="bottom"/>
            <w:tcBorders>
              <w:bottom w:val="single" w:sz="8" w:color="4DC1E4"/>
            </w:tcBorders>
            <w:shd w:val="clear" w:color="auto" w:fill="4DC1E4"/>
          </w:tcPr>
          <w:p>
            <w:pPr>
              <w:ind w:left="440"/>
              <w:spacing w:after="0"/>
              <w:rPr>
                <w:sz w:val="20"/>
                <w:szCs w:val="20"/>
                <w:color w:val="auto"/>
              </w:rPr>
            </w:pPr>
            <w:r>
              <w:rPr>
                <w:rFonts w:ascii="Times New Roman" w:cs="Times New Roman" w:eastAsia="Times New Roman" w:hAnsi="Times New Roman"/>
                <w:sz w:val="18"/>
                <w:szCs w:val="18"/>
                <w:b w:val="1"/>
                <w:bCs w:val="1"/>
                <w:color w:val="FFFFFF"/>
              </w:rPr>
              <w:t>O</w:t>
            </w:r>
            <w:r>
              <w:rPr>
                <w:rFonts w:ascii="Times New Roman" w:cs="Times New Roman" w:eastAsia="Times New Roman" w:hAnsi="Times New Roman"/>
                <w:sz w:val="13"/>
                <w:szCs w:val="13"/>
                <w:b w:val="1"/>
                <w:bCs w:val="1"/>
                <w:color w:val="FFFFFF"/>
              </w:rPr>
              <w:t>CCUPATION</w:t>
            </w:r>
          </w:p>
        </w:tc>
        <w:tc>
          <w:tcPr>
            <w:tcW w:w="1280" w:type="dxa"/>
            <w:vAlign w:val="bottom"/>
            <w:tcBorders>
              <w:bottom w:val="single" w:sz="8" w:color="4DC1E4"/>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rPr>
              <w:t>I</w:t>
            </w:r>
            <w:r>
              <w:rPr>
                <w:rFonts w:ascii="Times New Roman" w:cs="Times New Roman" w:eastAsia="Times New Roman" w:hAnsi="Times New Roman"/>
                <w:sz w:val="13"/>
                <w:szCs w:val="13"/>
                <w:b w:val="1"/>
                <w:bCs w:val="1"/>
                <w:color w:val="FFFFFF"/>
              </w:rPr>
              <w:t>NDEPENDENT</w:t>
            </w:r>
          </w:p>
        </w:tc>
        <w:tc>
          <w:tcPr>
            <w:tcW w:w="640" w:type="dxa"/>
            <w:vAlign w:val="bottom"/>
            <w:tcBorders>
              <w:bottom w:val="single" w:sz="8" w:color="4DC1E4"/>
            </w:tcBorders>
            <w:shd w:val="clear" w:color="auto" w:fill="4DC1E4"/>
          </w:tcPr>
          <w:p>
            <w:pPr>
              <w:ind w:left="180"/>
              <w:spacing w:after="0"/>
              <w:rPr>
                <w:sz w:val="20"/>
                <w:szCs w:val="20"/>
                <w:color w:val="auto"/>
              </w:rPr>
            </w:pPr>
            <w:r>
              <w:rPr>
                <w:rFonts w:ascii="Times New Roman" w:cs="Times New Roman" w:eastAsia="Times New Roman" w:hAnsi="Times New Roman"/>
                <w:sz w:val="18"/>
                <w:szCs w:val="18"/>
                <w:b w:val="1"/>
                <w:bCs w:val="1"/>
                <w:color w:val="FFFFFF"/>
              </w:rPr>
              <w:t>AC</w:t>
            </w:r>
          </w:p>
        </w:tc>
        <w:tc>
          <w:tcPr>
            <w:tcW w:w="680" w:type="dxa"/>
            <w:vAlign w:val="bottom"/>
            <w:tcBorders>
              <w:bottom w:val="single" w:sz="8" w:color="4DC1E4"/>
            </w:tcBorders>
            <w:shd w:val="clear" w:color="auto" w:fill="4DC1E4"/>
          </w:tcPr>
          <w:p>
            <w:pPr>
              <w:ind w:left="240"/>
              <w:spacing w:after="0"/>
              <w:rPr>
                <w:sz w:val="20"/>
                <w:szCs w:val="20"/>
                <w:color w:val="auto"/>
              </w:rPr>
            </w:pPr>
            <w:r>
              <w:rPr>
                <w:rFonts w:ascii="Times New Roman" w:cs="Times New Roman" w:eastAsia="Times New Roman" w:hAnsi="Times New Roman"/>
                <w:sz w:val="18"/>
                <w:szCs w:val="18"/>
                <w:b w:val="1"/>
                <w:bCs w:val="1"/>
                <w:color w:val="FFFFFF"/>
              </w:rPr>
              <w:t>CC</w:t>
            </w:r>
          </w:p>
        </w:tc>
        <w:tc>
          <w:tcPr>
            <w:tcW w:w="780" w:type="dxa"/>
            <w:vAlign w:val="bottom"/>
            <w:tcBorders>
              <w:bottom w:val="single" w:sz="8" w:color="4DC1E4"/>
            </w:tcBorders>
            <w:shd w:val="clear" w:color="auto" w:fill="4DC1E4"/>
          </w:tcPr>
          <w:p>
            <w:pPr>
              <w:ind w:left="180"/>
              <w:spacing w:after="0"/>
              <w:rPr>
                <w:sz w:val="20"/>
                <w:szCs w:val="20"/>
                <w:color w:val="auto"/>
              </w:rPr>
            </w:pPr>
            <w:r>
              <w:rPr>
                <w:rFonts w:ascii="Times New Roman" w:cs="Times New Roman" w:eastAsia="Times New Roman" w:hAnsi="Times New Roman"/>
                <w:sz w:val="18"/>
                <w:szCs w:val="18"/>
                <w:b w:val="1"/>
                <w:bCs w:val="1"/>
                <w:color w:val="FFFFFF"/>
              </w:rPr>
              <w:t>NCGC</w:t>
            </w:r>
          </w:p>
        </w:tc>
      </w:tr>
      <w:tr>
        <w:trPr>
          <w:trHeight w:val="191"/>
        </w:trPr>
        <w:tc>
          <w:tcPr>
            <w:tcW w:w="3040" w:type="dxa"/>
            <w:vAlign w:val="bottom"/>
            <w:tcBorders>
              <w:top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b w:val="1"/>
                <w:bCs w:val="1"/>
                <w:color w:val="auto"/>
              </w:rPr>
              <w:t>Frank Thomas</w:t>
            </w:r>
          </w:p>
        </w:tc>
        <w:tc>
          <w:tcPr>
            <w:tcW w:w="7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56</w:t>
            </w:r>
          </w:p>
        </w:tc>
        <w:tc>
          <w:tcPr>
            <w:tcW w:w="860" w:type="dxa"/>
            <w:vAlign w:val="bottom"/>
            <w:tcBorders>
              <w:top w:val="single" w:sz="8" w:color="auto"/>
            </w:tcBorders>
          </w:tcPr>
          <w:p>
            <w:pPr>
              <w:jc w:val="center"/>
              <w:ind w:left="10"/>
              <w:spacing w:after="0" w:line="191" w:lineRule="exact"/>
              <w:rPr>
                <w:sz w:val="20"/>
                <w:szCs w:val="20"/>
                <w:color w:val="auto"/>
              </w:rPr>
            </w:pPr>
            <w:r>
              <w:rPr>
                <w:rFonts w:ascii="Times New Roman" w:cs="Times New Roman" w:eastAsia="Times New Roman" w:hAnsi="Times New Roman"/>
                <w:sz w:val="18"/>
                <w:szCs w:val="18"/>
                <w:color w:val="auto"/>
                <w:w w:val="99"/>
              </w:rPr>
              <w:t>2014</w:t>
            </w:r>
          </w:p>
        </w:tc>
        <w:tc>
          <w:tcPr>
            <w:tcW w:w="172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President and Chief</w:t>
            </w:r>
          </w:p>
        </w:tc>
        <w:tc>
          <w:tcPr>
            <w:tcW w:w="12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Yes</w:t>
            </w:r>
          </w:p>
        </w:tc>
        <w:tc>
          <w:tcPr>
            <w:tcW w:w="640" w:type="dxa"/>
            <w:vAlign w:val="bottom"/>
            <w:tcBorders>
              <w:top w:val="single" w:sz="8" w:color="auto"/>
            </w:tcBorders>
          </w:tcPr>
          <w:p>
            <w:pPr>
              <w:ind w:left="200"/>
              <w:spacing w:after="0" w:line="191" w:lineRule="exact"/>
              <w:rPr>
                <w:sz w:val="20"/>
                <w:szCs w:val="20"/>
                <w:color w:val="auto"/>
              </w:rPr>
            </w:pPr>
            <w:r>
              <w:rPr>
                <w:rFonts w:ascii="Times New Roman" w:cs="Times New Roman" w:eastAsia="Times New Roman" w:hAnsi="Times New Roman"/>
                <w:sz w:val="18"/>
                <w:szCs w:val="18"/>
                <w:color w:val="auto"/>
              </w:rPr>
              <w:t>C</w:t>
            </w:r>
          </w:p>
        </w:tc>
        <w:tc>
          <w:tcPr>
            <w:tcW w:w="680" w:type="dxa"/>
            <w:vAlign w:val="bottom"/>
            <w:tcBorders>
              <w:top w:val="single" w:sz="8" w:color="auto"/>
            </w:tcBorders>
          </w:tcPr>
          <w:p>
            <w:pPr>
              <w:ind w:left="220"/>
              <w:spacing w:after="0" w:line="191" w:lineRule="exact"/>
              <w:rPr>
                <w:sz w:val="20"/>
                <w:szCs w:val="20"/>
                <w:color w:val="auto"/>
              </w:rPr>
            </w:pPr>
            <w:r>
              <w:rPr>
                <w:rFonts w:ascii="Times New Roman" w:cs="Times New Roman" w:eastAsia="Times New Roman" w:hAnsi="Times New Roman"/>
                <w:sz w:val="18"/>
                <w:szCs w:val="18"/>
                <w:color w:val="auto"/>
              </w:rPr>
              <w:t>M</w:t>
            </w:r>
          </w:p>
        </w:tc>
        <w:tc>
          <w:tcPr>
            <w:tcW w:w="780" w:type="dxa"/>
            <w:vAlign w:val="bottom"/>
            <w:tcBorders>
              <w:top w:val="single" w:sz="8" w:color="auto"/>
            </w:tcBorders>
          </w:tcPr>
          <w:p>
            <w:pPr>
              <w:spacing w:after="0"/>
              <w:rPr>
                <w:sz w:val="16"/>
                <w:szCs w:val="16"/>
                <w:color w:val="auto"/>
              </w:rPr>
            </w:pPr>
          </w:p>
        </w:tc>
      </w:tr>
      <w:tr>
        <w:trPr>
          <w:trHeight w:val="216"/>
        </w:trPr>
        <w:tc>
          <w:tcPr>
            <w:tcW w:w="3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Officer of</w:t>
            </w: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Orchard Therapeutics</w:t>
            </w: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4"/>
        </w:trPr>
        <w:tc>
          <w:tcPr>
            <w:tcW w:w="30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plc</w:t>
            </w:r>
          </w:p>
        </w:tc>
        <w:tc>
          <w:tcPr>
            <w:tcW w:w="1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r>
      <w:tr>
        <w:trPr>
          <w:trHeight w:val="191"/>
        </w:trPr>
        <w:tc>
          <w:tcPr>
            <w:tcW w:w="304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b w:val="1"/>
                <w:bCs w:val="1"/>
                <w:color w:val="auto"/>
              </w:rPr>
              <w:t>Carole S. Ben-Maimon, M.D.</w:t>
            </w:r>
          </w:p>
        </w:tc>
        <w:tc>
          <w:tcPr>
            <w:tcW w:w="7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67</w:t>
            </w:r>
          </w:p>
        </w:tc>
        <w:tc>
          <w:tcPr>
            <w:tcW w:w="860" w:type="dxa"/>
            <w:vAlign w:val="bottom"/>
          </w:tcPr>
          <w:p>
            <w:pPr>
              <w:jc w:val="center"/>
              <w:ind w:left="10"/>
              <w:spacing w:after="0" w:line="191" w:lineRule="exact"/>
              <w:rPr>
                <w:sz w:val="20"/>
                <w:szCs w:val="20"/>
                <w:color w:val="auto"/>
              </w:rPr>
            </w:pPr>
            <w:r>
              <w:rPr>
                <w:rFonts w:ascii="Times New Roman" w:cs="Times New Roman" w:eastAsia="Times New Roman" w:hAnsi="Times New Roman"/>
                <w:sz w:val="18"/>
                <w:szCs w:val="18"/>
                <w:color w:val="auto"/>
                <w:w w:val="99"/>
              </w:rPr>
              <w:t>2020</w:t>
            </w:r>
          </w:p>
        </w:tc>
        <w:tc>
          <w:tcPr>
            <w:tcW w:w="17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President and Chief</w:t>
            </w:r>
          </w:p>
        </w:tc>
        <w:tc>
          <w:tcPr>
            <w:tcW w:w="1280" w:type="dxa"/>
            <w:vAlign w:val="bottom"/>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w w:val="99"/>
              </w:rPr>
              <w:t>No</w:t>
            </w: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6"/>
        </w:trPr>
        <w:tc>
          <w:tcPr>
            <w:tcW w:w="3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Officer of</w:t>
            </w: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Larimar Therapeutics,</w:t>
            </w: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4"/>
        </w:trPr>
        <w:tc>
          <w:tcPr>
            <w:tcW w:w="3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w:t>
            </w:r>
          </w:p>
        </w:tc>
        <w:tc>
          <w:tcPr>
            <w:tcW w:w="1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16"/>
        </w:trPr>
        <w:tc>
          <w:tcPr>
            <w:tcW w:w="3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191"/>
        </w:trPr>
        <w:tc>
          <w:tcPr>
            <w:tcW w:w="304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b w:val="1"/>
                <w:bCs w:val="1"/>
                <w:color w:val="auto"/>
              </w:rPr>
              <w:t>Joseph Truitt</w:t>
            </w:r>
          </w:p>
        </w:tc>
        <w:tc>
          <w:tcPr>
            <w:tcW w:w="7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61</w:t>
            </w:r>
          </w:p>
        </w:tc>
        <w:tc>
          <w:tcPr>
            <w:tcW w:w="860" w:type="dxa"/>
            <w:vAlign w:val="bottom"/>
          </w:tcPr>
          <w:p>
            <w:pPr>
              <w:jc w:val="center"/>
              <w:ind w:left="10"/>
              <w:spacing w:after="0" w:line="191" w:lineRule="exact"/>
              <w:rPr>
                <w:sz w:val="20"/>
                <w:szCs w:val="20"/>
                <w:color w:val="auto"/>
              </w:rPr>
            </w:pPr>
            <w:r>
              <w:rPr>
                <w:rFonts w:ascii="Times New Roman" w:cs="Times New Roman" w:eastAsia="Times New Roman" w:hAnsi="Times New Roman"/>
                <w:sz w:val="18"/>
                <w:szCs w:val="18"/>
                <w:color w:val="auto"/>
                <w:w w:val="99"/>
              </w:rPr>
              <w:t>2020</w:t>
            </w:r>
          </w:p>
        </w:tc>
        <w:tc>
          <w:tcPr>
            <w:tcW w:w="17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Chief Executive</w:t>
            </w:r>
          </w:p>
        </w:tc>
        <w:tc>
          <w:tcPr>
            <w:tcW w:w="1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Yes</w:t>
            </w:r>
          </w:p>
        </w:tc>
        <w:tc>
          <w:tcPr>
            <w:tcW w:w="640" w:type="dxa"/>
            <w:vAlign w:val="bottom"/>
          </w:tcPr>
          <w:p>
            <w:pPr>
              <w:ind w:left="180"/>
              <w:spacing w:after="0" w:line="191" w:lineRule="exact"/>
              <w:rPr>
                <w:sz w:val="20"/>
                <w:szCs w:val="20"/>
                <w:color w:val="auto"/>
              </w:rPr>
            </w:pPr>
            <w:r>
              <w:rPr>
                <w:rFonts w:ascii="Times New Roman" w:cs="Times New Roman" w:eastAsia="Times New Roman" w:hAnsi="Times New Roman"/>
                <w:sz w:val="18"/>
                <w:szCs w:val="18"/>
                <w:color w:val="auto"/>
              </w:rPr>
              <w:t>M</w:t>
            </w:r>
          </w:p>
        </w:tc>
        <w:tc>
          <w:tcPr>
            <w:tcW w:w="680" w:type="dxa"/>
            <w:vAlign w:val="bottom"/>
          </w:tcPr>
          <w:p>
            <w:pPr>
              <w:ind w:left="240"/>
              <w:spacing w:after="0" w:line="191" w:lineRule="exact"/>
              <w:rPr>
                <w:sz w:val="20"/>
                <w:szCs w:val="20"/>
                <w:color w:val="auto"/>
              </w:rPr>
            </w:pPr>
            <w:r>
              <w:rPr>
                <w:rFonts w:ascii="Times New Roman" w:cs="Times New Roman" w:eastAsia="Times New Roman" w:hAnsi="Times New Roman"/>
                <w:sz w:val="18"/>
                <w:szCs w:val="18"/>
                <w:color w:val="auto"/>
              </w:rPr>
              <w:t>C</w:t>
            </w:r>
          </w:p>
        </w:tc>
        <w:tc>
          <w:tcPr>
            <w:tcW w:w="780" w:type="dxa"/>
            <w:vAlign w:val="bottom"/>
          </w:tcPr>
          <w:p>
            <w:pPr>
              <w:spacing w:after="0"/>
              <w:rPr>
                <w:sz w:val="16"/>
                <w:szCs w:val="16"/>
                <w:color w:val="auto"/>
              </w:rPr>
            </w:pPr>
          </w:p>
        </w:tc>
      </w:tr>
      <w:tr>
        <w:trPr>
          <w:trHeight w:val="216"/>
        </w:trPr>
        <w:tc>
          <w:tcPr>
            <w:tcW w:w="3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 of iECURE,</w:t>
            </w: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4"/>
        </w:trPr>
        <w:tc>
          <w:tcPr>
            <w:tcW w:w="3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w:t>
            </w:r>
          </w:p>
        </w:tc>
        <w:tc>
          <w:tcPr>
            <w:tcW w:w="1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16"/>
        </w:trPr>
        <w:tc>
          <w:tcPr>
            <w:tcW w:w="3760" w:type="dxa"/>
            <w:vAlign w:val="bottom"/>
            <w:tcBorders>
              <w:bottom w:val="single" w:sz="8" w:color="auto"/>
            </w:tcBorders>
            <w:gridSpan w:val="2"/>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spacing w:after="0"/>
              <w:rPr>
                <w:sz w:val="18"/>
                <w:szCs w:val="18"/>
                <w:color w:val="auto"/>
              </w:rPr>
            </w:pPr>
          </w:p>
        </w:tc>
      </w:tr>
      <w:tr>
        <w:trPr>
          <w:trHeight w:val="160"/>
        </w:trPr>
        <w:tc>
          <w:tcPr>
            <w:tcW w:w="3760" w:type="dxa"/>
            <w:vAlign w:val="bottom"/>
            <w:gridSpan w:val="2"/>
          </w:tcPr>
          <w:p>
            <w:pPr>
              <w:jc w:val="center"/>
              <w:ind w:left="1638"/>
              <w:spacing w:after="0" w:line="160" w:lineRule="exact"/>
              <w:rPr>
                <w:sz w:val="20"/>
                <w:szCs w:val="20"/>
                <w:color w:val="auto"/>
              </w:rPr>
            </w:pPr>
            <w:r>
              <w:rPr>
                <w:rFonts w:ascii="Times New Roman" w:cs="Times New Roman" w:eastAsia="Times New Roman" w:hAnsi="Times New Roman"/>
                <w:sz w:val="14"/>
                <w:szCs w:val="14"/>
                <w:color w:val="auto"/>
              </w:rPr>
              <w:t>AC = Audit Committee</w:t>
            </w:r>
          </w:p>
        </w:tc>
        <w:tc>
          <w:tcPr>
            <w:tcW w:w="8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60" w:type="dxa"/>
            <w:vAlign w:val="bottom"/>
            <w:gridSpan w:val="2"/>
          </w:tcPr>
          <w:p>
            <w:pPr>
              <w:jc w:val="center"/>
              <w:ind w:right="210"/>
              <w:spacing w:after="0" w:line="160" w:lineRule="exact"/>
              <w:rPr>
                <w:sz w:val="20"/>
                <w:szCs w:val="20"/>
                <w:color w:val="auto"/>
              </w:rPr>
            </w:pPr>
            <w:r>
              <w:rPr>
                <w:rFonts w:ascii="Times New Roman" w:cs="Times New Roman" w:eastAsia="Times New Roman" w:hAnsi="Times New Roman"/>
                <w:sz w:val="14"/>
                <w:szCs w:val="14"/>
                <w:color w:val="auto"/>
              </w:rPr>
              <w:t>M = Member</w:t>
            </w:r>
          </w:p>
        </w:tc>
      </w:tr>
      <w:tr>
        <w:trPr>
          <w:trHeight w:val="148"/>
        </w:trPr>
        <w:tc>
          <w:tcPr>
            <w:tcW w:w="3760" w:type="dxa"/>
            <w:vAlign w:val="bottom"/>
            <w:gridSpan w:val="2"/>
          </w:tcPr>
          <w:p>
            <w:pPr>
              <w:jc w:val="center"/>
              <w:ind w:left="1658"/>
              <w:spacing w:after="0" w:line="149" w:lineRule="exact"/>
              <w:rPr>
                <w:sz w:val="20"/>
                <w:szCs w:val="20"/>
                <w:color w:val="auto"/>
              </w:rPr>
            </w:pPr>
            <w:r>
              <w:rPr>
                <w:rFonts w:ascii="Times New Roman" w:cs="Times New Roman" w:eastAsia="Times New Roman" w:hAnsi="Times New Roman"/>
                <w:sz w:val="14"/>
                <w:szCs w:val="14"/>
                <w:color w:val="auto"/>
              </w:rPr>
              <w:t>CC = Compensation Committee</w:t>
            </w:r>
          </w:p>
        </w:tc>
        <w:tc>
          <w:tcPr>
            <w:tcW w:w="8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60" w:type="dxa"/>
            <w:vAlign w:val="bottom"/>
            <w:gridSpan w:val="2"/>
          </w:tcPr>
          <w:p>
            <w:pPr>
              <w:jc w:val="center"/>
              <w:ind w:right="210"/>
              <w:spacing w:after="0" w:line="149" w:lineRule="exact"/>
              <w:rPr>
                <w:sz w:val="20"/>
                <w:szCs w:val="20"/>
                <w:color w:val="auto"/>
              </w:rPr>
            </w:pPr>
            <w:r>
              <w:rPr>
                <w:rFonts w:ascii="Times New Roman" w:cs="Times New Roman" w:eastAsia="Times New Roman" w:hAnsi="Times New Roman"/>
                <w:sz w:val="14"/>
                <w:szCs w:val="14"/>
                <w:color w:val="auto"/>
              </w:rPr>
              <w:t>C = Chair</w:t>
            </w:r>
          </w:p>
        </w:tc>
      </w:tr>
      <w:tr>
        <w:trPr>
          <w:trHeight w:val="188"/>
        </w:trPr>
        <w:tc>
          <w:tcPr>
            <w:tcW w:w="4620" w:type="dxa"/>
            <w:vAlign w:val="bottom"/>
            <w:gridSpan w:val="3"/>
          </w:tcPr>
          <w:p>
            <w:pPr>
              <w:jc w:val="center"/>
              <w:ind w:left="798"/>
              <w:spacing w:after="0"/>
              <w:rPr>
                <w:sz w:val="20"/>
                <w:szCs w:val="20"/>
                <w:color w:val="auto"/>
              </w:rPr>
            </w:pPr>
            <w:r>
              <w:rPr>
                <w:rFonts w:ascii="Times New Roman" w:cs="Times New Roman" w:eastAsia="Times New Roman" w:hAnsi="Times New Roman"/>
                <w:sz w:val="14"/>
                <w:szCs w:val="14"/>
                <w:color w:val="auto"/>
              </w:rPr>
              <w:t>NCGC = Nominating and Corporate Governance Committee</w:t>
            </w:r>
          </w:p>
        </w:tc>
        <w:tc>
          <w:tcPr>
            <w:tcW w:w="17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r>
    </w:tbl>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7" w:name="page8"/>
    <w:bookmarkEnd w:id="7"/>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SUMMARY INFORMATION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34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CORPORATE GOVERNANCE HIGHLIGHTS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current Board structure and key elements of our corporate governance framework:</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620" w:type="dxa"/>
            <w:vAlign w:val="bottom"/>
            <w:tcBorders>
              <w:top w:val="single" w:sz="8" w:color="auto"/>
              <w:left w:val="single" w:sz="8" w:color="auto"/>
              <w:bottom w:val="single" w:sz="8" w:color="auto"/>
              <w:right w:val="single" w:sz="8" w:color="4DC1E4"/>
            </w:tcBorders>
            <w:shd w:val="clear" w:color="auto" w:fill="4DC1E4"/>
          </w:tcPr>
          <w:p>
            <w:pPr>
              <w:ind w:left="4200"/>
              <w:spacing w:after="0"/>
              <w:rPr>
                <w:sz w:val="20"/>
                <w:szCs w:val="20"/>
                <w:color w:val="auto"/>
              </w:rPr>
            </w:pPr>
            <w:r>
              <w:rPr>
                <w:rFonts w:ascii="Times New Roman" w:cs="Times New Roman" w:eastAsia="Times New Roman" w:hAnsi="Times New Roman"/>
                <w:sz w:val="18"/>
                <w:szCs w:val="18"/>
                <w:b w:val="1"/>
                <w:bCs w:val="1"/>
                <w:color w:val="FFFFFF"/>
              </w:rPr>
              <w:t>G</w:t>
            </w:r>
            <w:r>
              <w:rPr>
                <w:rFonts w:ascii="Times New Roman" w:cs="Times New Roman" w:eastAsia="Times New Roman" w:hAnsi="Times New Roman"/>
                <w:sz w:val="13"/>
                <w:szCs w:val="13"/>
                <w:b w:val="1"/>
                <w:bCs w:val="1"/>
                <w:color w:val="FFFFFF"/>
              </w:rPr>
              <w:t>OVERNANCE ITEMS</w:t>
            </w:r>
          </w:p>
        </w:tc>
        <w:tc>
          <w:tcPr>
            <w:tcW w:w="2120" w:type="dxa"/>
            <w:vAlign w:val="bottom"/>
            <w:tcBorders>
              <w:top w:val="single" w:sz="8" w:color="auto"/>
              <w:bottom w:val="single" w:sz="8" w:color="auto"/>
              <w:right w:val="single" w:sz="8" w:color="auto"/>
            </w:tcBorders>
            <w:shd w:val="clear" w:color="auto" w:fill="4DC1E4"/>
          </w:tcPr>
          <w:p>
            <w:pPr>
              <w:spacing w:after="0"/>
              <w:rPr>
                <w:sz w:val="23"/>
                <w:szCs w:val="23"/>
                <w:color w:val="auto"/>
              </w:rPr>
            </w:pPr>
          </w:p>
        </w:tc>
      </w:tr>
      <w:tr>
        <w:trPr>
          <w:trHeight w:val="226"/>
        </w:trPr>
        <w:tc>
          <w:tcPr>
            <w:tcW w:w="76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Size of Board (set by the Board)</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223"/>
        </w:trPr>
        <w:tc>
          <w:tcPr>
            <w:tcW w:w="76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Number of Independent Directors</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23"/>
        </w:trPr>
        <w:tc>
          <w:tcPr>
            <w:tcW w:w="76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Independent Chairperson of the Board</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r>
      <w:tr>
        <w:trPr>
          <w:trHeight w:val="223"/>
        </w:trPr>
        <w:tc>
          <w:tcPr>
            <w:tcW w:w="76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Board Self-Evaluation</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Annual</w:t>
            </w:r>
          </w:p>
        </w:tc>
      </w:tr>
      <w:tr>
        <w:trPr>
          <w:trHeight w:val="223"/>
        </w:trPr>
        <w:tc>
          <w:tcPr>
            <w:tcW w:w="76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Review of Independence of Board</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Annual</w:t>
            </w:r>
          </w:p>
        </w:tc>
      </w:tr>
      <w:tr>
        <w:trPr>
          <w:trHeight w:val="223"/>
        </w:trPr>
        <w:tc>
          <w:tcPr>
            <w:tcW w:w="76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Independent Directors Meet Without Management Present</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r>
      <w:tr>
        <w:trPr>
          <w:trHeight w:val="230"/>
        </w:trPr>
        <w:tc>
          <w:tcPr>
            <w:tcW w:w="76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Voting Standard for Election of Directors in Uncontested Elections</w:t>
            </w:r>
          </w:p>
        </w:tc>
        <w:tc>
          <w:tcPr>
            <w:tcW w:w="212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Plurality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4828540</wp:posOffset>
            </wp:positionH>
            <wp:positionV relativeFrom="paragraph">
              <wp:posOffset>-1087755</wp:posOffset>
            </wp:positionV>
            <wp:extent cx="88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RECENT CORPORATE HIGHLIGHTS</w:t>
      </w:r>
    </w:p>
    <w:p>
      <w:pPr>
        <w:spacing w:after="0" w:line="229" w:lineRule="exact"/>
        <w:rPr>
          <w:sz w:val="20"/>
          <w:szCs w:val="20"/>
          <w:color w:val="auto"/>
        </w:rPr>
      </w:pPr>
    </w:p>
    <w:p>
      <w:pPr>
        <w:jc w:val="both"/>
        <w:ind w:left="1320" w:hanging="655"/>
        <w:spacing w:after="0" w:line="255" w:lineRule="auto"/>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2025, we announced FDA safety database recommendations and refined timeline for Biologics License Application ("BLA") submission to allow for the inclusion of the recommended safety data from adults and children with Friedreich’s Ataxia ("FA"). This comes following written responses from the FDA based on discussions under the START pilot program.</w:t>
      </w:r>
    </w:p>
    <w:p>
      <w:pPr>
        <w:spacing w:after="0" w:line="2" w:lineRule="exact"/>
        <w:rPr>
          <w:rFonts w:ascii="Times New Roman" w:cs="Times New Roman" w:eastAsia="Times New Roman" w:hAnsi="Times New Roman"/>
          <w:sz w:val="18"/>
          <w:szCs w:val="18"/>
          <w:color w:val="auto"/>
        </w:rPr>
      </w:pPr>
    </w:p>
    <w:p>
      <w:pPr>
        <w:jc w:val="both"/>
        <w:ind w:left="1320" w:hanging="655"/>
        <w:spacing w:after="0" w:line="250" w:lineRule="auto"/>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2025, we announced the publication of two peer-reviewed articles highlighting nonclinical data on the therapeutic potential, pharmacology, and mechanism of action of FXN protein replacement therapy designed to address the underlying cause of FA. These data were included in the briefing package reviewed by the FDA in support of potentially using skin FXN concentrations as a reasonably likely surrogate endpoint for our registrational program seeking accelerated approval for nomlabofusp.</w:t>
      </w:r>
    </w:p>
    <w:p>
      <w:pPr>
        <w:spacing w:after="0" w:line="1" w:lineRule="exact"/>
        <w:rPr>
          <w:rFonts w:ascii="Times New Roman" w:cs="Times New Roman" w:eastAsia="Times New Roman" w:hAnsi="Times New Roman"/>
          <w:sz w:val="18"/>
          <w:szCs w:val="18"/>
          <w:color w:val="auto"/>
        </w:rPr>
      </w:pPr>
    </w:p>
    <w:p>
      <w:pPr>
        <w:ind w:left="1320" w:hanging="655"/>
        <w:spacing w:after="0" w:line="250" w:lineRule="auto"/>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2025, we closed an underwritten public offering of the sale of 21,562,500 shares of our common stock for net proceeds of approximately $65.0 million.</w:t>
      </w:r>
    </w:p>
    <w:p>
      <w:pPr>
        <w:jc w:val="both"/>
        <w:ind w:left="1320" w:hanging="655"/>
        <w:spacing w:after="0" w:line="250" w:lineRule="auto"/>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2025, we announced positive 25 mg and 50 mg data from our ongoing long-term open label ("OL") study evaluating daily subcutaneous injections of nomlabofusp self-administered or administered by a caregiver in participants with FA. Trends towards improvement were observed in modified Friedreich Ataxia Rating Scale (mFARS), FARS-Activities of Daily Living (ADL), 9 Hole Peg Test (9-HPT), and Modified Fatigue Impact Scale (MFIS) at 1 year relative to baseline.</w:t>
      </w:r>
    </w:p>
    <w:p>
      <w:pPr>
        <w:spacing w:after="0" w:line="1" w:lineRule="exact"/>
        <w:rPr>
          <w:rFonts w:ascii="Times New Roman" w:cs="Times New Roman" w:eastAsia="Times New Roman" w:hAnsi="Times New Roman"/>
          <w:sz w:val="18"/>
          <w:szCs w:val="18"/>
          <w:color w:val="auto"/>
        </w:rPr>
      </w:pPr>
    </w:p>
    <w:p>
      <w:pPr>
        <w:ind w:left="1320" w:hanging="655"/>
        <w:spacing w:after="0" w:line="250" w:lineRule="auto"/>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2026, we announced the FDA granted Breakthrough Therapy Designation to nomlabofusp for the treatment of adults and children with FA.</w:t>
      </w:r>
    </w:p>
    <w:p>
      <w:pPr>
        <w:jc w:val="both"/>
        <w:ind w:left="1320" w:hanging="655"/>
        <w:spacing w:after="0" w:line="250" w:lineRule="auto"/>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2026, after a recent START pilot program meeting with the FDA, we announced continued alignment with the FDA to consider the use of skin FXN as a novel surrogate endpoint reasonably likely to predict clinical benefit to support a planned BLA submission seeking accelerated approval. There was also agreement on the relevant clinical outcomes with consistent directional improvement in all four clinical outcomes assessed and the type of analyses required to support the exposure response relationships for the nomlabofusp program. The FDA stated that the adequacy of the safety database will be a matter of review at the time of BLA submission.</w:t>
      </w:r>
    </w:p>
    <w:p>
      <w:pPr>
        <w:spacing w:after="0" w:line="2" w:lineRule="exact"/>
        <w:rPr>
          <w:rFonts w:ascii="Times New Roman" w:cs="Times New Roman" w:eastAsia="Times New Roman" w:hAnsi="Times New Roman"/>
          <w:sz w:val="18"/>
          <w:szCs w:val="18"/>
          <w:color w:val="auto"/>
        </w:rPr>
      </w:pPr>
    </w:p>
    <w:p>
      <w:pPr>
        <w:ind w:left="1320" w:hanging="655"/>
        <w:spacing w:after="0" w:line="260" w:lineRule="auto"/>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2026, we closed an underwritten public offering of the sale of 23,000,000 shares of our common stock for net proceeds of approximately $107.6 million.</w:t>
      </w:r>
    </w:p>
    <w:p>
      <w:pPr>
        <w:spacing w:after="0" w:line="200" w:lineRule="exact"/>
        <w:rPr>
          <w:sz w:val="20"/>
          <w:szCs w:val="20"/>
          <w:color w:val="auto"/>
        </w:rPr>
      </w:pPr>
    </w:p>
    <w:p>
      <w:pPr>
        <w:spacing w:after="0" w:line="315" w:lineRule="exact"/>
        <w:rPr>
          <w:sz w:val="20"/>
          <w:szCs w:val="20"/>
          <w:color w:val="auto"/>
        </w:rPr>
      </w:pPr>
    </w:p>
    <w:p>
      <w:pPr>
        <w:jc w:val="right"/>
        <w:spacing w:after="0"/>
        <w:tabs>
          <w:tab w:leader="none" w:pos="12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w:t>
      </w:r>
      <w:r>
        <w:rPr>
          <w:sz w:val="20"/>
          <w:szCs w:val="20"/>
          <w:color w:val="auto"/>
        </w:rPr>
        <w:tab/>
      </w:r>
      <w:r>
        <w:rPr>
          <w:rFonts w:ascii="Times New Roman" w:cs="Times New Roman" w:eastAsia="Times New Roman" w:hAnsi="Times New Roman"/>
          <w:sz w:val="17"/>
          <w:szCs w:val="17"/>
          <w:b w:val="1"/>
          <w:bCs w:val="1"/>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8" w:name="page9"/>
    <w:bookmarkEnd w:id="8"/>
    <w:p>
      <w:pPr>
        <w:ind w:left="10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-140335</wp:posOffset>
            </wp:positionV>
            <wp:extent cx="617220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SUMMARY INFORMATION</w:t>
            </w:r>
          </w:p>
        </w:tc>
        <w:tc>
          <w:tcPr>
            <w:tcW w:w="6980" w:type="dxa"/>
            <w:vAlign w:val="bottom"/>
            <w:gridSpan w:val="49"/>
          </w:tcPr>
          <w:p>
            <w:pPr>
              <w:spacing w:after="0"/>
              <w:rPr>
                <w:sz w:val="17"/>
                <w:szCs w:val="17"/>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w:t>
            </w:r>
          </w:p>
        </w:tc>
        <w:tc>
          <w:tcPr>
            <w:tcW w:w="0" w:type="dxa"/>
            <w:vAlign w:val="bottom"/>
          </w:tcPr>
          <w:p>
            <w:pPr>
              <w:spacing w:after="0"/>
              <w:rPr>
                <w:sz w:val="1"/>
                <w:szCs w:val="1"/>
                <w:color w:val="auto"/>
              </w:rPr>
            </w:pPr>
          </w:p>
        </w:tc>
      </w:tr>
      <w:tr>
        <w:trPr>
          <w:trHeight w:val="344"/>
        </w:trPr>
        <w:tc>
          <w:tcPr>
            <w:tcW w:w="9220" w:type="dxa"/>
            <w:vAlign w:val="bottom"/>
            <w:gridSpan w:val="58"/>
          </w:tcPr>
          <w:p>
            <w:pPr>
              <w:spacing w:after="0"/>
              <w:rPr>
                <w:sz w:val="20"/>
                <w:szCs w:val="20"/>
                <w:color w:val="auto"/>
              </w:rPr>
            </w:pPr>
            <w:r>
              <w:rPr>
                <w:rFonts w:ascii="Times New Roman" w:cs="Times New Roman" w:eastAsia="Times New Roman" w:hAnsi="Times New Roman"/>
                <w:sz w:val="18"/>
                <w:szCs w:val="18"/>
                <w:color w:val="0000FF"/>
              </w:rPr>
              <w:t>PROXY STATEMENT</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4"/>
              </w:rPr>
              <w:t>vii</w:t>
            </w:r>
          </w:p>
        </w:tc>
        <w:tc>
          <w:tcPr>
            <w:tcW w:w="0" w:type="dxa"/>
            <w:vAlign w:val="bottom"/>
          </w:tcPr>
          <w:p>
            <w:pPr>
              <w:spacing w:after="0"/>
              <w:rPr>
                <w:sz w:val="1"/>
                <w:szCs w:val="1"/>
                <w:color w:val="auto"/>
              </w:rPr>
            </w:pPr>
          </w:p>
        </w:tc>
      </w:tr>
      <w:tr>
        <w:trPr>
          <w:trHeight w:val="20"/>
        </w:trPr>
        <w:tc>
          <w:tcPr>
            <w:tcW w:w="1740" w:type="dxa"/>
            <w:vAlign w:val="bottom"/>
            <w:tcBorders>
              <w:right w:val="single" w:sz="8" w:color="0000EE"/>
            </w:tcBorders>
            <w:gridSpan w:val="4"/>
            <w:shd w:val="clear" w:color="auto" w:fill="0000FF"/>
          </w:tcPr>
          <w:p>
            <w:pPr>
              <w:spacing w:after="0" w:line="20" w:lineRule="exact"/>
              <w:rPr>
                <w:sz w:val="1"/>
                <w:szCs w:val="1"/>
                <w:color w:val="auto"/>
              </w:rPr>
            </w:pPr>
          </w:p>
        </w:tc>
        <w:tc>
          <w:tcPr>
            <w:tcW w:w="7800" w:type="dxa"/>
            <w:vAlign w:val="bottom"/>
            <w:gridSpan w:val="5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9220" w:type="dxa"/>
            <w:vAlign w:val="bottom"/>
            <w:gridSpan w:val="58"/>
          </w:tcPr>
          <w:p>
            <w:pPr>
              <w:spacing w:after="0"/>
              <w:rPr>
                <w:sz w:val="20"/>
                <w:szCs w:val="20"/>
                <w:color w:val="auto"/>
              </w:rPr>
            </w:pPr>
            <w:r>
              <w:rPr>
                <w:rFonts w:ascii="Times New Roman" w:cs="Times New Roman" w:eastAsia="Times New Roman" w:hAnsi="Times New Roman"/>
                <w:sz w:val="18"/>
                <w:szCs w:val="18"/>
                <w:color w:val="0000FF"/>
              </w:rPr>
              <w:t>GENERAL INFORMATION ABOUT THE MEETING</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44"/>
        </w:trPr>
        <w:tc>
          <w:tcPr>
            <w:tcW w:w="196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BOARD OF DIRECTORS</w:t>
            </w:r>
          </w:p>
        </w:tc>
        <w:tc>
          <w:tcPr>
            <w:tcW w:w="20" w:type="dxa"/>
            <w:vAlign w:val="bottom"/>
            <w:tcBorders>
              <w:top w:val="single" w:sz="8" w:color="0000FF"/>
              <w:bottom w:val="single" w:sz="8" w:color="0000EE"/>
            </w:tcBorders>
          </w:tcPr>
          <w:p>
            <w:pPr>
              <w:spacing w:after="0"/>
              <w:rPr>
                <w:sz w:val="24"/>
                <w:szCs w:val="24"/>
                <w:color w:val="auto"/>
              </w:rPr>
            </w:pPr>
          </w:p>
        </w:tc>
        <w:tc>
          <w:tcPr>
            <w:tcW w:w="2080" w:type="dxa"/>
            <w:vAlign w:val="bottom"/>
            <w:tcBorders>
              <w:top w:val="single" w:sz="8" w:color="0000FF"/>
            </w:tcBorders>
            <w:gridSpan w:val="32"/>
          </w:tcPr>
          <w:p>
            <w:pPr>
              <w:spacing w:after="0"/>
              <w:rPr>
                <w:sz w:val="24"/>
                <w:szCs w:val="24"/>
                <w:color w:val="auto"/>
              </w:rPr>
            </w:pPr>
          </w:p>
        </w:tc>
        <w:tc>
          <w:tcPr>
            <w:tcW w:w="5160" w:type="dxa"/>
            <w:vAlign w:val="bottom"/>
            <w:gridSpan w:val="18"/>
          </w:tcPr>
          <w:p>
            <w:pPr>
              <w:spacing w:after="0"/>
              <w:rPr>
                <w:sz w:val="24"/>
                <w:szCs w:val="24"/>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440" w:type="dxa"/>
            <w:vAlign w:val="bottom"/>
            <w:tcBorders>
              <w:bottom w:val="single" w:sz="8" w:color="0000FF"/>
            </w:tcBorders>
            <w:gridSpan w:val="41"/>
          </w:tcPr>
          <w:p>
            <w:pPr>
              <w:spacing w:after="0"/>
              <w:rPr>
                <w:sz w:val="20"/>
                <w:szCs w:val="20"/>
                <w:color w:val="auto"/>
              </w:rPr>
            </w:pPr>
            <w:r>
              <w:rPr>
                <w:rFonts w:ascii="Times New Roman" w:cs="Times New Roman" w:eastAsia="Times New Roman" w:hAnsi="Times New Roman"/>
                <w:sz w:val="18"/>
                <w:szCs w:val="18"/>
                <w:color w:val="0000FF"/>
                <w:w w:val="99"/>
              </w:rPr>
              <w:t>BOARD STRUCTURE AND COMPOSITION</w:t>
            </w:r>
          </w:p>
        </w:tc>
        <w:tc>
          <w:tcPr>
            <w:tcW w:w="5020" w:type="dxa"/>
            <w:vAlign w:val="bottom"/>
            <w:gridSpan w:val="16"/>
          </w:tcPr>
          <w:p>
            <w:pPr>
              <w:spacing w:after="0"/>
              <w:rPr>
                <w:sz w:val="18"/>
                <w:szCs w:val="18"/>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120" w:type="dxa"/>
            <w:vAlign w:val="bottom"/>
            <w:tcBorders>
              <w:bottom w:val="single" w:sz="8" w:color="0000FF"/>
            </w:tcBorders>
            <w:gridSpan w:val="36"/>
          </w:tcPr>
          <w:p>
            <w:pPr>
              <w:spacing w:after="0"/>
              <w:rPr>
                <w:sz w:val="20"/>
                <w:szCs w:val="20"/>
                <w:color w:val="auto"/>
              </w:rPr>
            </w:pPr>
            <w:r>
              <w:rPr>
                <w:rFonts w:ascii="Times New Roman" w:cs="Times New Roman" w:eastAsia="Times New Roman" w:hAnsi="Times New Roman"/>
                <w:sz w:val="18"/>
                <w:szCs w:val="18"/>
                <w:color w:val="0000FF"/>
                <w:w w:val="99"/>
              </w:rPr>
              <w:t>CRITERIA FOR BOARD MEMBERSHIP</w:t>
            </w:r>
          </w:p>
        </w:tc>
        <w:tc>
          <w:tcPr>
            <w:tcW w:w="20" w:type="dxa"/>
            <w:vAlign w:val="bottom"/>
            <w:tcBorders>
              <w:bottom w:val="single" w:sz="8" w:color="0000EE"/>
            </w:tcBorders>
          </w:tcPr>
          <w:p>
            <w:pPr>
              <w:spacing w:after="0"/>
              <w:rPr>
                <w:sz w:val="18"/>
                <w:szCs w:val="18"/>
                <w:color w:val="auto"/>
              </w:rPr>
            </w:pPr>
          </w:p>
        </w:tc>
        <w:tc>
          <w:tcPr>
            <w:tcW w:w="5320" w:type="dxa"/>
            <w:vAlign w:val="bottom"/>
            <w:gridSpan w:val="20"/>
          </w:tcPr>
          <w:p>
            <w:pPr>
              <w:spacing w:after="0"/>
              <w:rPr>
                <w:sz w:val="18"/>
                <w:szCs w:val="18"/>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8340" w:type="dxa"/>
            <w:vAlign w:val="bottom"/>
            <w:tcBorders>
              <w:bottom w:val="single" w:sz="8" w:color="0000FF"/>
            </w:tcBorders>
            <w:gridSpan w:val="56"/>
          </w:tcPr>
          <w:p>
            <w:pPr>
              <w:spacing w:after="0"/>
              <w:rPr>
                <w:sz w:val="20"/>
                <w:szCs w:val="20"/>
                <w:color w:val="auto"/>
              </w:rPr>
            </w:pPr>
            <w:r>
              <w:rPr>
                <w:rFonts w:ascii="Times New Roman" w:cs="Times New Roman" w:eastAsia="Times New Roman" w:hAnsi="Times New Roman"/>
                <w:sz w:val="18"/>
                <w:szCs w:val="18"/>
                <w:color w:val="0000FF"/>
              </w:rPr>
              <w:t>BOARD OVERSIGHT OF COMPANY CULTURE AND ENVIRONMENTAL, SOCIAL AND GOVERNANCE</w:t>
            </w:r>
          </w:p>
        </w:tc>
        <w:tc>
          <w:tcPr>
            <w:tcW w:w="120" w:type="dxa"/>
            <w:vAlign w:val="bottom"/>
          </w:tcPr>
          <w:p>
            <w:pPr>
              <w:spacing w:after="0"/>
              <w:rPr>
                <w:sz w:val="18"/>
                <w:szCs w:val="18"/>
                <w:color w:val="auto"/>
              </w:rPr>
            </w:pP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HIGHLIGHTS</w:t>
            </w:r>
          </w:p>
        </w:tc>
        <w:tc>
          <w:tcPr>
            <w:tcW w:w="40" w:type="dxa"/>
            <w:vAlign w:val="bottom"/>
            <w:tcBorders>
              <w:bottom w:val="single" w:sz="8" w:color="0000EE"/>
            </w:tcBorders>
          </w:tcPr>
          <w:p>
            <w:pPr>
              <w:spacing w:after="0"/>
              <w:rPr>
                <w:sz w:val="17"/>
                <w:szCs w:val="17"/>
                <w:color w:val="auto"/>
              </w:rPr>
            </w:pPr>
          </w:p>
        </w:tc>
        <w:tc>
          <w:tcPr>
            <w:tcW w:w="6460" w:type="dxa"/>
            <w:vAlign w:val="bottom"/>
            <w:gridSpan w:val="37"/>
          </w:tcPr>
          <w:p>
            <w:pPr>
              <w:spacing w:after="0"/>
              <w:rPr>
                <w:sz w:val="17"/>
                <w:szCs w:val="17"/>
                <w:color w:val="auto"/>
              </w:rPr>
            </w:pP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8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DIRECTOR NOMINEES</w:t>
            </w:r>
          </w:p>
        </w:tc>
        <w:tc>
          <w:tcPr>
            <w:tcW w:w="20" w:type="dxa"/>
            <w:vAlign w:val="bottom"/>
            <w:tcBorders>
              <w:bottom w:val="single" w:sz="8" w:color="0000EE"/>
            </w:tcBorders>
          </w:tcPr>
          <w:p>
            <w:pPr>
              <w:spacing w:after="0"/>
              <w:rPr>
                <w:sz w:val="17"/>
                <w:szCs w:val="17"/>
                <w:color w:val="auto"/>
              </w:rPr>
            </w:pPr>
          </w:p>
        </w:tc>
        <w:tc>
          <w:tcPr>
            <w:tcW w:w="6560" w:type="dxa"/>
            <w:vAlign w:val="bottom"/>
            <w:gridSpan w:val="39"/>
          </w:tcPr>
          <w:p>
            <w:pPr>
              <w:spacing w:after="0"/>
              <w:rPr>
                <w:sz w:val="17"/>
                <w:szCs w:val="17"/>
                <w:color w:val="auto"/>
              </w:rPr>
            </w:pPr>
          </w:p>
        </w:tc>
        <w:tc>
          <w:tcPr>
            <w:tcW w:w="32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218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CONTINUING DIRECTORS</w:t>
            </w:r>
          </w:p>
        </w:tc>
        <w:tc>
          <w:tcPr>
            <w:tcW w:w="20" w:type="dxa"/>
            <w:vAlign w:val="bottom"/>
            <w:tcBorders>
              <w:bottom w:val="single" w:sz="8" w:color="0000EE"/>
            </w:tcBorders>
          </w:tcPr>
          <w:p>
            <w:pPr>
              <w:spacing w:after="0"/>
              <w:rPr>
                <w:sz w:val="18"/>
                <w:szCs w:val="18"/>
                <w:color w:val="auto"/>
              </w:rPr>
            </w:pPr>
          </w:p>
        </w:tc>
        <w:tc>
          <w:tcPr>
            <w:tcW w:w="6260" w:type="dxa"/>
            <w:vAlign w:val="bottom"/>
            <w:gridSpan w:val="33"/>
          </w:tcPr>
          <w:p>
            <w:pPr>
              <w:spacing w:after="0"/>
              <w:rPr>
                <w:sz w:val="18"/>
                <w:szCs w:val="18"/>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44"/>
        </w:trPr>
        <w:tc>
          <w:tcPr>
            <w:tcW w:w="4600" w:type="dxa"/>
            <w:vAlign w:val="bottom"/>
            <w:tcBorders>
              <w:bottom w:val="single" w:sz="8" w:color="0000FF"/>
            </w:tcBorders>
            <w:gridSpan w:val="44"/>
          </w:tcPr>
          <w:p>
            <w:pPr>
              <w:spacing w:after="0"/>
              <w:rPr>
                <w:sz w:val="20"/>
                <w:szCs w:val="20"/>
                <w:color w:val="auto"/>
              </w:rPr>
            </w:pPr>
            <w:r>
              <w:rPr>
                <w:rFonts w:ascii="Times New Roman" w:cs="Times New Roman" w:eastAsia="Times New Roman" w:hAnsi="Times New Roman"/>
                <w:sz w:val="18"/>
                <w:szCs w:val="18"/>
                <w:color w:val="0000FF"/>
                <w:w w:val="99"/>
              </w:rPr>
              <w:t>CORPORATE GOVERNANCE AND RISK MANAGEMENT</w:t>
            </w:r>
          </w:p>
        </w:tc>
        <w:tc>
          <w:tcPr>
            <w:tcW w:w="4620" w:type="dxa"/>
            <w:vAlign w:val="bottom"/>
            <w:gridSpan w:val="14"/>
          </w:tcPr>
          <w:p>
            <w:pPr>
              <w:spacing w:after="0"/>
              <w:rPr>
                <w:sz w:val="24"/>
                <w:szCs w:val="24"/>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11</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8460" w:type="dxa"/>
            <w:vAlign w:val="bottom"/>
            <w:gridSpan w:val="57"/>
          </w:tcPr>
          <w:p>
            <w:pPr>
              <w:spacing w:after="0"/>
              <w:rPr>
                <w:sz w:val="20"/>
                <w:szCs w:val="20"/>
                <w:color w:val="auto"/>
              </w:rPr>
            </w:pPr>
            <w:r>
              <w:rPr>
                <w:rFonts w:ascii="Times New Roman" w:cs="Times New Roman" w:eastAsia="Times New Roman" w:hAnsi="Times New Roman"/>
                <w:sz w:val="18"/>
                <w:szCs w:val="18"/>
                <w:color w:val="0000FF"/>
              </w:rPr>
              <w:t>BOARD INDEPENDENCE</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11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gridSpan w:val="5"/>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8460" w:type="dxa"/>
            <w:vAlign w:val="bottom"/>
            <w:gridSpan w:val="57"/>
          </w:tcPr>
          <w:p>
            <w:pPr>
              <w:spacing w:after="0"/>
              <w:rPr>
                <w:sz w:val="20"/>
                <w:szCs w:val="20"/>
                <w:color w:val="auto"/>
              </w:rPr>
            </w:pPr>
            <w:r>
              <w:rPr>
                <w:rFonts w:ascii="Times New Roman" w:cs="Times New Roman" w:eastAsia="Times New Roman" w:hAnsi="Times New Roman"/>
                <w:sz w:val="18"/>
                <w:szCs w:val="18"/>
                <w:color w:val="0000FF"/>
              </w:rPr>
              <w:t>BOARD LEADERSHIP STRUCTURE</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11</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2860" w:type="dxa"/>
            <w:vAlign w:val="bottom"/>
            <w:tcBorders>
              <w:top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rPr>
              <w:t>BOARD COMMITTEES</w:t>
            </w:r>
          </w:p>
        </w:tc>
        <w:tc>
          <w:tcPr>
            <w:tcW w:w="5600" w:type="dxa"/>
            <w:vAlign w:val="bottom"/>
            <w:gridSpan w:val="26"/>
          </w:tcPr>
          <w:p>
            <w:pPr>
              <w:spacing w:after="0"/>
              <w:rPr>
                <w:sz w:val="18"/>
                <w:szCs w:val="18"/>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11</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76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RISK MANAGEMENT</w:t>
            </w:r>
          </w:p>
        </w:tc>
        <w:tc>
          <w:tcPr>
            <w:tcW w:w="20" w:type="dxa"/>
            <w:vAlign w:val="bottom"/>
            <w:tcBorders>
              <w:top w:val="single" w:sz="8" w:color="0000FF"/>
              <w:bottom w:val="single" w:sz="8" w:color="0000EE"/>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620" w:type="dxa"/>
            <w:vAlign w:val="bottom"/>
            <w:gridSpan w:val="41"/>
          </w:tcPr>
          <w:p>
            <w:pPr>
              <w:spacing w:after="0"/>
              <w:rPr>
                <w:sz w:val="18"/>
                <w:szCs w:val="18"/>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11</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280" w:type="dxa"/>
            <w:vAlign w:val="bottom"/>
            <w:tcBorders>
              <w:bottom w:val="single" w:sz="8" w:color="0000FF"/>
            </w:tcBorders>
            <w:gridSpan w:val="38"/>
          </w:tcPr>
          <w:p>
            <w:pPr>
              <w:spacing w:after="0"/>
              <w:rPr>
                <w:sz w:val="20"/>
                <w:szCs w:val="20"/>
                <w:color w:val="auto"/>
              </w:rPr>
            </w:pPr>
            <w:r>
              <w:rPr>
                <w:rFonts w:ascii="Times New Roman" w:cs="Times New Roman" w:eastAsia="Times New Roman" w:hAnsi="Times New Roman"/>
                <w:sz w:val="18"/>
                <w:szCs w:val="18"/>
                <w:color w:val="0000FF"/>
                <w:w w:val="99"/>
              </w:rPr>
              <w:t>EVALUATING BOARD EFFECTIVENESS</w:t>
            </w:r>
          </w:p>
        </w:tc>
        <w:tc>
          <w:tcPr>
            <w:tcW w:w="5180" w:type="dxa"/>
            <w:vAlign w:val="bottom"/>
            <w:gridSpan w:val="19"/>
          </w:tcPr>
          <w:p>
            <w:pPr>
              <w:spacing w:after="0"/>
              <w:rPr>
                <w:sz w:val="18"/>
                <w:szCs w:val="18"/>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6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CODE OF CONDUCT</w:t>
            </w:r>
          </w:p>
        </w:tc>
        <w:tc>
          <w:tcPr>
            <w:tcW w:w="40" w:type="dxa"/>
            <w:vAlign w:val="bottom"/>
            <w:tcBorders>
              <w:bottom w:val="single" w:sz="8" w:color="0000EE"/>
            </w:tcBorders>
          </w:tcPr>
          <w:p>
            <w:pPr>
              <w:spacing w:after="0"/>
              <w:rPr>
                <w:sz w:val="18"/>
                <w:szCs w:val="18"/>
                <w:color w:val="auto"/>
              </w:rPr>
            </w:pPr>
          </w:p>
        </w:tc>
        <w:tc>
          <w:tcPr>
            <w:tcW w:w="6740" w:type="dxa"/>
            <w:vAlign w:val="bottom"/>
            <w:gridSpan w:val="44"/>
          </w:tcPr>
          <w:p>
            <w:pPr>
              <w:spacing w:after="0"/>
              <w:rPr>
                <w:sz w:val="18"/>
                <w:szCs w:val="18"/>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226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INSIDER TRADING POLICY</w:t>
            </w:r>
          </w:p>
        </w:tc>
        <w:tc>
          <w:tcPr>
            <w:tcW w:w="20" w:type="dxa"/>
            <w:vAlign w:val="bottom"/>
            <w:tcBorders>
              <w:bottom w:val="single" w:sz="8" w:color="0000EE"/>
            </w:tcBorders>
          </w:tcPr>
          <w:p>
            <w:pPr>
              <w:spacing w:after="0"/>
              <w:rPr>
                <w:sz w:val="18"/>
                <w:szCs w:val="18"/>
                <w:color w:val="auto"/>
              </w:rPr>
            </w:pPr>
          </w:p>
        </w:tc>
        <w:tc>
          <w:tcPr>
            <w:tcW w:w="6180" w:type="dxa"/>
            <w:vAlign w:val="bottom"/>
            <w:gridSpan w:val="31"/>
          </w:tcPr>
          <w:p>
            <w:pPr>
              <w:spacing w:after="0"/>
              <w:rPr>
                <w:sz w:val="18"/>
                <w:szCs w:val="18"/>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8460" w:type="dxa"/>
            <w:vAlign w:val="bottom"/>
            <w:gridSpan w:val="57"/>
          </w:tcPr>
          <w:p>
            <w:pPr>
              <w:spacing w:after="0"/>
              <w:rPr>
                <w:sz w:val="20"/>
                <w:szCs w:val="20"/>
                <w:color w:val="auto"/>
              </w:rPr>
            </w:pPr>
            <w:r>
              <w:rPr>
                <w:rFonts w:ascii="Times New Roman" w:cs="Times New Roman" w:eastAsia="Times New Roman" w:hAnsi="Times New Roman"/>
                <w:sz w:val="18"/>
                <w:szCs w:val="18"/>
                <w:color w:val="0000FF"/>
              </w:rPr>
              <w:t>DIRECTOR ORIENTATION AND CONTINUING EDUCATION</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860" w:type="dxa"/>
            <w:vAlign w:val="bottom"/>
            <w:tcBorders>
              <w:top w:val="single" w:sz="8" w:color="0000FF"/>
            </w:tcBorders>
            <w:gridSpan w:val="47"/>
          </w:tcPr>
          <w:p>
            <w:pPr>
              <w:spacing w:after="0"/>
              <w:rPr>
                <w:sz w:val="20"/>
                <w:szCs w:val="20"/>
                <w:color w:val="auto"/>
              </w:rPr>
            </w:pPr>
            <w:r>
              <w:rPr>
                <w:rFonts w:ascii="Times New Roman" w:cs="Times New Roman" w:eastAsia="Times New Roman" w:hAnsi="Times New Roman"/>
                <w:sz w:val="18"/>
                <w:szCs w:val="18"/>
                <w:color w:val="0000FF"/>
              </w:rPr>
              <w:t>CORPORATE GOVERNANCE GUIDELINES</w:t>
            </w:r>
          </w:p>
        </w:tc>
        <w:tc>
          <w:tcPr>
            <w:tcW w:w="60" w:type="dxa"/>
            <w:vAlign w:val="bottom"/>
            <w:tcBorders>
              <w:top w:val="single" w:sz="8" w:color="0000EE"/>
            </w:tcBorders>
          </w:tcPr>
          <w:p>
            <w:pPr>
              <w:spacing w:after="0"/>
              <w:rPr>
                <w:sz w:val="18"/>
                <w:szCs w:val="18"/>
                <w:color w:val="auto"/>
              </w:rPr>
            </w:pPr>
          </w:p>
        </w:tc>
        <w:tc>
          <w:tcPr>
            <w:tcW w:w="3540" w:type="dxa"/>
            <w:vAlign w:val="bottom"/>
            <w:gridSpan w:val="9"/>
          </w:tcPr>
          <w:p>
            <w:pPr>
              <w:spacing w:after="0"/>
              <w:rPr>
                <w:sz w:val="18"/>
                <w:szCs w:val="18"/>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13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6"/>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5"/>
            <w:shd w:val="clear" w:color="auto" w:fill="0000FF"/>
          </w:tcPr>
          <w:p>
            <w:pPr>
              <w:spacing w:after="0" w:line="20" w:lineRule="exact"/>
              <w:rPr>
                <w:sz w:val="1"/>
                <w:szCs w:val="1"/>
                <w:color w:val="auto"/>
              </w:rPr>
            </w:pPr>
          </w:p>
        </w:tc>
        <w:tc>
          <w:tcPr>
            <w:tcW w:w="60" w:type="dxa"/>
            <w:vAlign w:val="bottom"/>
            <w:tcBorders>
              <w:right w:val="single" w:sz="8" w:color="0000EE"/>
            </w:tcBorders>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8460" w:type="dxa"/>
            <w:vAlign w:val="bottom"/>
            <w:gridSpan w:val="57"/>
          </w:tcPr>
          <w:p>
            <w:pPr>
              <w:spacing w:after="0"/>
              <w:rPr>
                <w:sz w:val="20"/>
                <w:szCs w:val="20"/>
                <w:color w:val="auto"/>
              </w:rPr>
            </w:pPr>
            <w:r>
              <w:rPr>
                <w:rFonts w:ascii="Times New Roman" w:cs="Times New Roman" w:eastAsia="Times New Roman" w:hAnsi="Times New Roman"/>
                <w:sz w:val="18"/>
                <w:szCs w:val="18"/>
                <w:color w:val="0000FF"/>
              </w:rPr>
              <w:t>BOARD ATTENDANCE, COMMITTEE MEETINGS AND COMMITTEE MEMBERSHIP</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13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6760" w:type="dxa"/>
            <w:vAlign w:val="bottom"/>
            <w:tcBorders>
              <w:top w:val="single" w:sz="8" w:color="0000FF"/>
            </w:tcBorders>
            <w:gridSpan w:val="55"/>
          </w:tcPr>
          <w:p>
            <w:pPr>
              <w:spacing w:after="0"/>
              <w:rPr>
                <w:sz w:val="20"/>
                <w:szCs w:val="20"/>
                <w:color w:val="auto"/>
              </w:rPr>
            </w:pPr>
            <w:r>
              <w:rPr>
                <w:rFonts w:ascii="Times New Roman" w:cs="Times New Roman" w:eastAsia="Times New Roman" w:hAnsi="Times New Roman"/>
                <w:sz w:val="18"/>
                <w:szCs w:val="18"/>
                <w:color w:val="0000FF"/>
              </w:rPr>
              <w:t>FAMILY RELATIONSHIPS</w:t>
            </w:r>
          </w:p>
        </w:tc>
        <w:tc>
          <w:tcPr>
            <w:tcW w:w="1700" w:type="dxa"/>
            <w:vAlign w:val="bottom"/>
            <w:gridSpan w:val="2"/>
          </w:tcPr>
          <w:p>
            <w:pPr>
              <w:spacing w:after="0"/>
              <w:rPr>
                <w:sz w:val="18"/>
                <w:szCs w:val="18"/>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6"/>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8460" w:type="dxa"/>
            <w:vAlign w:val="bottom"/>
            <w:gridSpan w:val="57"/>
          </w:tcPr>
          <w:p>
            <w:pPr>
              <w:spacing w:after="0"/>
              <w:rPr>
                <w:sz w:val="20"/>
                <w:szCs w:val="20"/>
                <w:color w:val="auto"/>
              </w:rPr>
            </w:pPr>
            <w:r>
              <w:rPr>
                <w:rFonts w:ascii="Times New Roman" w:cs="Times New Roman" w:eastAsia="Times New Roman" w:hAnsi="Times New Roman"/>
                <w:sz w:val="18"/>
                <w:szCs w:val="18"/>
                <w:color w:val="0000FF"/>
              </w:rPr>
              <w:t>COMPENSATION COMMITTEE INTERLOCKS AND INSIDER PARTICIPATION</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2620" w:type="dxa"/>
            <w:vAlign w:val="bottom"/>
            <w:tcBorders>
              <w:top w:val="single" w:sz="8" w:color="0000FF"/>
              <w:bottom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w w:val="99"/>
              </w:rPr>
              <w:t>STOCKHOLDER ENGAGEMENT</w:t>
            </w:r>
          </w:p>
        </w:tc>
        <w:tc>
          <w:tcPr>
            <w:tcW w:w="3660" w:type="dxa"/>
            <w:vAlign w:val="bottom"/>
            <w:tcBorders>
              <w:top w:val="single" w:sz="8" w:color="0000FF"/>
            </w:tcBorders>
            <w:gridSpan w:val="24"/>
          </w:tcPr>
          <w:p>
            <w:pPr>
              <w:spacing w:after="0"/>
              <w:rPr>
                <w:sz w:val="18"/>
                <w:szCs w:val="18"/>
                <w:color w:val="auto"/>
              </w:rPr>
            </w:pPr>
          </w:p>
        </w:tc>
        <w:tc>
          <w:tcPr>
            <w:tcW w:w="2180" w:type="dxa"/>
            <w:vAlign w:val="bottom"/>
            <w:gridSpan w:val="3"/>
          </w:tcPr>
          <w:p>
            <w:pPr>
              <w:spacing w:after="0"/>
              <w:rPr>
                <w:sz w:val="18"/>
                <w:szCs w:val="18"/>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345"/>
        </w:trPr>
        <w:tc>
          <w:tcPr>
            <w:tcW w:w="23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DIRECTOR COMPENSATION</w:t>
            </w:r>
          </w:p>
        </w:tc>
        <w:tc>
          <w:tcPr>
            <w:tcW w:w="20" w:type="dxa"/>
            <w:vAlign w:val="bottom"/>
            <w:tcBorders>
              <w:bottom w:val="single" w:sz="8" w:color="0000EE"/>
            </w:tcBorders>
          </w:tcPr>
          <w:p>
            <w:pPr>
              <w:spacing w:after="0"/>
              <w:rPr>
                <w:sz w:val="24"/>
                <w:szCs w:val="24"/>
                <w:color w:val="auto"/>
              </w:rPr>
            </w:pPr>
          </w:p>
        </w:tc>
        <w:tc>
          <w:tcPr>
            <w:tcW w:w="6840" w:type="dxa"/>
            <w:vAlign w:val="bottom"/>
            <w:gridSpan w:val="47"/>
          </w:tcPr>
          <w:p>
            <w:pPr>
              <w:spacing w:after="0"/>
              <w:rPr>
                <w:sz w:val="24"/>
                <w:szCs w:val="24"/>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16</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8460" w:type="dxa"/>
            <w:vAlign w:val="bottom"/>
            <w:gridSpan w:val="57"/>
          </w:tcPr>
          <w:p>
            <w:pPr>
              <w:spacing w:after="0"/>
              <w:rPr>
                <w:sz w:val="20"/>
                <w:szCs w:val="20"/>
                <w:color w:val="auto"/>
              </w:rPr>
            </w:pPr>
            <w:r>
              <w:rPr>
                <w:rFonts w:ascii="Times New Roman" w:cs="Times New Roman" w:eastAsia="Times New Roman" w:hAnsi="Times New Roman"/>
                <w:sz w:val="18"/>
                <w:szCs w:val="18"/>
                <w:color w:val="0000FF"/>
              </w:rPr>
              <w:t>NON-EMPLOYEE DIRECTOR COMPENSATION POLICY</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16</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2980" w:type="dxa"/>
            <w:vAlign w:val="bottom"/>
            <w:tcBorders>
              <w:top w:val="single" w:sz="8" w:color="0000FF"/>
              <w:bottom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w w:val="99"/>
              </w:rPr>
              <w:t>DIRECTOR COMPENSATION TABLE</w:t>
            </w:r>
          </w:p>
        </w:tc>
        <w:tc>
          <w:tcPr>
            <w:tcW w:w="20" w:type="dxa"/>
            <w:vAlign w:val="bottom"/>
            <w:tcBorders>
              <w:top w:val="single" w:sz="8" w:color="0000FF"/>
              <w:bottom w:val="single" w:sz="8" w:color="0000EE"/>
            </w:tcBorders>
          </w:tcPr>
          <w:p>
            <w:pPr>
              <w:spacing w:after="0"/>
              <w:rPr>
                <w:sz w:val="18"/>
                <w:szCs w:val="18"/>
                <w:color w:val="auto"/>
              </w:rPr>
            </w:pPr>
          </w:p>
        </w:tc>
        <w:tc>
          <w:tcPr>
            <w:tcW w:w="1500" w:type="dxa"/>
            <w:vAlign w:val="bottom"/>
            <w:tcBorders>
              <w:top w:val="single" w:sz="8" w:color="0000FF"/>
            </w:tcBorders>
            <w:gridSpan w:val="11"/>
          </w:tcPr>
          <w:p>
            <w:pPr>
              <w:spacing w:after="0"/>
              <w:rPr>
                <w:sz w:val="18"/>
                <w:szCs w:val="18"/>
                <w:color w:val="auto"/>
              </w:rPr>
            </w:pPr>
          </w:p>
        </w:tc>
        <w:tc>
          <w:tcPr>
            <w:tcW w:w="3960" w:type="dxa"/>
            <w:vAlign w:val="bottom"/>
            <w:gridSpan w:val="12"/>
          </w:tcPr>
          <w:p>
            <w:pPr>
              <w:spacing w:after="0"/>
              <w:rPr>
                <w:sz w:val="18"/>
                <w:szCs w:val="18"/>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345"/>
        </w:trPr>
        <w:tc>
          <w:tcPr>
            <w:tcW w:w="9220" w:type="dxa"/>
            <w:vAlign w:val="bottom"/>
            <w:gridSpan w:val="58"/>
          </w:tcPr>
          <w:p>
            <w:pPr>
              <w:spacing w:after="0"/>
              <w:rPr>
                <w:sz w:val="20"/>
                <w:szCs w:val="20"/>
                <w:color w:val="auto"/>
              </w:rPr>
            </w:pPr>
            <w:r>
              <w:rPr>
                <w:rFonts w:ascii="Times New Roman" w:cs="Times New Roman" w:eastAsia="Times New Roman" w:hAnsi="Times New Roman"/>
                <w:sz w:val="18"/>
                <w:szCs w:val="18"/>
                <w:color w:val="0000FF"/>
              </w:rPr>
              <w:t>INDEPENDENT REGISTERED PUBLIC ACCOUNTING FIRM</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18</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6"/>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6"/>
            <w:shd w:val="clear" w:color="auto" w:fill="0000FF"/>
          </w:tcPr>
          <w:p>
            <w:pPr>
              <w:spacing w:after="0" w:line="20" w:lineRule="exact"/>
              <w:rPr>
                <w:sz w:val="1"/>
                <w:szCs w:val="1"/>
                <w:color w:val="auto"/>
              </w:rPr>
            </w:pPr>
          </w:p>
        </w:tc>
        <w:tc>
          <w:tcPr>
            <w:tcW w:w="42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380" w:type="dxa"/>
            <w:vAlign w:val="bottom"/>
            <w:gridSpan w:val="5"/>
            <w:shd w:val="clear" w:color="auto" w:fill="0000FF"/>
          </w:tcPr>
          <w:p>
            <w:pPr>
              <w:spacing w:after="0" w:line="20" w:lineRule="exact"/>
              <w:rPr>
                <w:sz w:val="1"/>
                <w:szCs w:val="1"/>
                <w:color w:val="auto"/>
              </w:rPr>
            </w:pPr>
          </w:p>
        </w:tc>
        <w:tc>
          <w:tcPr>
            <w:tcW w:w="660" w:type="dxa"/>
            <w:vAlign w:val="bottom"/>
            <w:tcBorders>
              <w:right w:val="single" w:sz="8" w:color="0000EE"/>
            </w:tcBorders>
            <w:gridSpan w:val="4"/>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8460" w:type="dxa"/>
            <w:vAlign w:val="bottom"/>
            <w:gridSpan w:val="57"/>
          </w:tcPr>
          <w:p>
            <w:pPr>
              <w:spacing w:after="0"/>
              <w:rPr>
                <w:sz w:val="20"/>
                <w:szCs w:val="20"/>
                <w:color w:val="auto"/>
              </w:rPr>
            </w:pPr>
            <w:r>
              <w:rPr>
                <w:rFonts w:ascii="Times New Roman" w:cs="Times New Roman" w:eastAsia="Times New Roman" w:hAnsi="Times New Roman"/>
                <w:sz w:val="18"/>
                <w:szCs w:val="18"/>
                <w:color w:val="0000FF"/>
              </w:rPr>
              <w:t>INDEPENDENT REGISTERED PUBLIC ACCOUNTING FIRM FEES</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18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6"/>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6"/>
            <w:shd w:val="clear" w:color="auto" w:fill="0000FF"/>
          </w:tcPr>
          <w:p>
            <w:pPr>
              <w:spacing w:after="0" w:line="20" w:lineRule="exact"/>
              <w:rPr>
                <w:sz w:val="1"/>
                <w:szCs w:val="1"/>
                <w:color w:val="auto"/>
              </w:rPr>
            </w:pPr>
          </w:p>
        </w:tc>
        <w:tc>
          <w:tcPr>
            <w:tcW w:w="42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380" w:type="dxa"/>
            <w:vAlign w:val="bottom"/>
            <w:gridSpan w:val="5"/>
            <w:shd w:val="clear" w:color="auto" w:fill="0000FF"/>
          </w:tcPr>
          <w:p>
            <w:pPr>
              <w:spacing w:after="0" w:line="20" w:lineRule="exact"/>
              <w:rPr>
                <w:sz w:val="1"/>
                <w:szCs w:val="1"/>
                <w:color w:val="auto"/>
              </w:rPr>
            </w:pPr>
          </w:p>
        </w:tc>
        <w:tc>
          <w:tcPr>
            <w:tcW w:w="1380" w:type="dxa"/>
            <w:vAlign w:val="bottom"/>
            <w:gridSpan w:val="6"/>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8460" w:type="dxa"/>
            <w:vAlign w:val="bottom"/>
            <w:gridSpan w:val="57"/>
          </w:tcPr>
          <w:p>
            <w:pPr>
              <w:spacing w:after="0"/>
              <w:rPr>
                <w:sz w:val="20"/>
                <w:szCs w:val="20"/>
                <w:color w:val="auto"/>
              </w:rPr>
            </w:pPr>
            <w:r>
              <w:rPr>
                <w:rFonts w:ascii="Times New Roman" w:cs="Times New Roman" w:eastAsia="Times New Roman" w:hAnsi="Times New Roman"/>
                <w:sz w:val="18"/>
                <w:szCs w:val="18"/>
                <w:color w:val="0000FF"/>
              </w:rPr>
              <w:t>AUDIT COMMITTEE PRE-APPROVAL POLICIES AND PROCEDURES</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18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6"/>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6"/>
            <w:shd w:val="clear" w:color="auto" w:fill="0000FF"/>
          </w:tcPr>
          <w:p>
            <w:pPr>
              <w:spacing w:after="0" w:line="20" w:lineRule="exact"/>
              <w:rPr>
                <w:sz w:val="1"/>
                <w:szCs w:val="1"/>
                <w:color w:val="auto"/>
              </w:rPr>
            </w:pPr>
          </w:p>
        </w:tc>
        <w:tc>
          <w:tcPr>
            <w:tcW w:w="42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380" w:type="dxa"/>
            <w:vAlign w:val="bottom"/>
            <w:gridSpan w:val="5"/>
            <w:shd w:val="clear" w:color="auto" w:fill="0000FF"/>
          </w:tcPr>
          <w:p>
            <w:pPr>
              <w:spacing w:after="0" w:line="20" w:lineRule="exact"/>
              <w:rPr>
                <w:sz w:val="1"/>
                <w:szCs w:val="1"/>
                <w:color w:val="auto"/>
              </w:rPr>
            </w:pPr>
          </w:p>
        </w:tc>
        <w:tc>
          <w:tcPr>
            <w:tcW w:w="1380" w:type="dxa"/>
            <w:vAlign w:val="bottom"/>
            <w:gridSpan w:val="6"/>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4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AUDIT COMMITTEE REPORT</w:t>
            </w:r>
          </w:p>
        </w:tc>
        <w:tc>
          <w:tcPr>
            <w:tcW w:w="6800" w:type="dxa"/>
            <w:vAlign w:val="bottom"/>
            <w:gridSpan w:val="46"/>
          </w:tcPr>
          <w:p>
            <w:pPr>
              <w:spacing w:after="0"/>
              <w:rPr>
                <w:sz w:val="24"/>
                <w:szCs w:val="24"/>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345"/>
        </w:trPr>
        <w:tc>
          <w:tcPr>
            <w:tcW w:w="19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EXECUTIVE OFFICERS</w:t>
            </w:r>
          </w:p>
        </w:tc>
        <w:tc>
          <w:tcPr>
            <w:tcW w:w="20" w:type="dxa"/>
            <w:vAlign w:val="bottom"/>
            <w:tcBorders>
              <w:bottom w:val="single" w:sz="8" w:color="0000EE"/>
            </w:tcBorders>
          </w:tcPr>
          <w:p>
            <w:pPr>
              <w:spacing w:after="0"/>
              <w:rPr>
                <w:sz w:val="24"/>
                <w:szCs w:val="24"/>
                <w:color w:val="auto"/>
              </w:rPr>
            </w:pPr>
          </w:p>
        </w:tc>
        <w:tc>
          <w:tcPr>
            <w:tcW w:w="7300" w:type="dxa"/>
            <w:vAlign w:val="bottom"/>
            <w:gridSpan w:val="52"/>
          </w:tcPr>
          <w:p>
            <w:pPr>
              <w:spacing w:after="0"/>
              <w:rPr>
                <w:sz w:val="24"/>
                <w:szCs w:val="24"/>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345"/>
        </w:trPr>
        <w:tc>
          <w:tcPr>
            <w:tcW w:w="9220" w:type="dxa"/>
            <w:vAlign w:val="bottom"/>
            <w:gridSpan w:val="58"/>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00" w:type="dxa"/>
            <w:vAlign w:val="bottom"/>
            <w:tcBorders>
              <w:right w:val="single" w:sz="8" w:color="0000EE"/>
            </w:tcBorders>
            <w:gridSpan w:val="1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420" w:type="dxa"/>
            <w:vAlign w:val="bottom"/>
            <w:tcBorders>
              <w:bottom w:val="single" w:sz="8" w:color="0000FF"/>
            </w:tcBorders>
            <w:gridSpan w:val="40"/>
          </w:tcPr>
          <w:p>
            <w:pPr>
              <w:spacing w:after="0"/>
              <w:rPr>
                <w:sz w:val="20"/>
                <w:szCs w:val="20"/>
                <w:color w:val="auto"/>
              </w:rPr>
            </w:pPr>
            <w:r>
              <w:rPr>
                <w:rFonts w:ascii="Times New Roman" w:cs="Times New Roman" w:eastAsia="Times New Roman" w:hAnsi="Times New Roman"/>
                <w:sz w:val="18"/>
                <w:szCs w:val="18"/>
                <w:color w:val="0000FF"/>
                <w:w w:val="99"/>
              </w:rPr>
              <w:t>2025 SUMMARY COMPENSATION TABLE</w:t>
            </w:r>
          </w:p>
        </w:tc>
        <w:tc>
          <w:tcPr>
            <w:tcW w:w="5040" w:type="dxa"/>
            <w:vAlign w:val="bottom"/>
            <w:gridSpan w:val="17"/>
          </w:tcPr>
          <w:p>
            <w:pPr>
              <w:spacing w:after="0"/>
              <w:rPr>
                <w:sz w:val="18"/>
                <w:szCs w:val="18"/>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040" w:type="dxa"/>
            <w:vAlign w:val="bottom"/>
            <w:tcBorders>
              <w:bottom w:val="single" w:sz="8" w:color="0000FF"/>
            </w:tcBorders>
            <w:gridSpan w:val="35"/>
          </w:tcPr>
          <w:p>
            <w:pPr>
              <w:spacing w:after="0"/>
              <w:rPr>
                <w:sz w:val="20"/>
                <w:szCs w:val="20"/>
                <w:color w:val="auto"/>
              </w:rPr>
            </w:pPr>
            <w:r>
              <w:rPr>
                <w:rFonts w:ascii="Times New Roman" w:cs="Times New Roman" w:eastAsia="Times New Roman" w:hAnsi="Times New Roman"/>
                <w:sz w:val="18"/>
                <w:szCs w:val="18"/>
                <w:color w:val="0000FF"/>
                <w:w w:val="99"/>
              </w:rPr>
              <w:t>PLEDGING AND HEDGING POLICIES</w:t>
            </w:r>
          </w:p>
        </w:tc>
        <w:tc>
          <w:tcPr>
            <w:tcW w:w="5420" w:type="dxa"/>
            <w:vAlign w:val="bottom"/>
            <w:gridSpan w:val="22"/>
          </w:tcPr>
          <w:p>
            <w:pPr>
              <w:spacing w:after="0"/>
              <w:rPr>
                <w:sz w:val="18"/>
                <w:szCs w:val="18"/>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8460" w:type="dxa"/>
            <w:vAlign w:val="bottom"/>
            <w:gridSpan w:val="57"/>
          </w:tcPr>
          <w:p>
            <w:pPr>
              <w:spacing w:after="0"/>
              <w:rPr>
                <w:sz w:val="20"/>
                <w:szCs w:val="20"/>
                <w:color w:val="auto"/>
              </w:rPr>
            </w:pPr>
            <w:r>
              <w:rPr>
                <w:rFonts w:ascii="Times New Roman" w:cs="Times New Roman" w:eastAsia="Times New Roman" w:hAnsi="Times New Roman"/>
                <w:sz w:val="18"/>
                <w:szCs w:val="18"/>
                <w:color w:val="0000FF"/>
              </w:rPr>
              <w:t>CLAWBACK POLICY</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12"/>
            <w:shd w:val="clear" w:color="auto" w:fill="0000FF"/>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920" w:type="dxa"/>
            <w:vAlign w:val="bottom"/>
            <w:gridSpan w:val="1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8460" w:type="dxa"/>
            <w:vAlign w:val="bottom"/>
            <w:gridSpan w:val="57"/>
          </w:tcPr>
          <w:p>
            <w:pPr>
              <w:spacing w:after="0"/>
              <w:rPr>
                <w:sz w:val="20"/>
                <w:szCs w:val="20"/>
                <w:color w:val="auto"/>
              </w:rPr>
            </w:pPr>
            <w:r>
              <w:rPr>
                <w:rFonts w:ascii="Times New Roman" w:cs="Times New Roman" w:eastAsia="Times New Roman" w:hAnsi="Times New Roman"/>
                <w:sz w:val="18"/>
                <w:szCs w:val="18"/>
                <w:color w:val="0000FF"/>
              </w:rPr>
              <w:t>OUTSTANDING EQUITY AWARDS AT FISCAL 2025 YEAR-END</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5140" w:type="dxa"/>
            <w:vAlign w:val="bottom"/>
            <w:tcBorders>
              <w:top w:val="single" w:sz="8" w:color="0000FF"/>
            </w:tcBorders>
            <w:gridSpan w:val="49"/>
          </w:tcPr>
          <w:p>
            <w:pPr>
              <w:spacing w:after="0"/>
              <w:rPr>
                <w:sz w:val="20"/>
                <w:szCs w:val="20"/>
                <w:color w:val="auto"/>
              </w:rPr>
            </w:pPr>
            <w:r>
              <w:rPr>
                <w:rFonts w:ascii="Times New Roman" w:cs="Times New Roman" w:eastAsia="Times New Roman" w:hAnsi="Times New Roman"/>
                <w:sz w:val="18"/>
                <w:szCs w:val="18"/>
                <w:color w:val="0000FF"/>
              </w:rPr>
              <w:t>EMPLOYMENT AGREEMENTS</w:t>
            </w:r>
          </w:p>
        </w:tc>
        <w:tc>
          <w:tcPr>
            <w:tcW w:w="3320" w:type="dxa"/>
            <w:vAlign w:val="bottom"/>
            <w:gridSpan w:val="8"/>
          </w:tcPr>
          <w:p>
            <w:pPr>
              <w:spacing w:after="0"/>
              <w:rPr>
                <w:sz w:val="18"/>
                <w:szCs w:val="18"/>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2500" w:type="dxa"/>
            <w:vAlign w:val="bottom"/>
            <w:tcBorders>
              <w:top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rPr>
              <w:t>PAY VERSUS PERFORMANCE</w:t>
            </w:r>
          </w:p>
        </w:tc>
        <w:tc>
          <w:tcPr>
            <w:tcW w:w="5960" w:type="dxa"/>
            <w:vAlign w:val="bottom"/>
            <w:gridSpan w:val="29"/>
          </w:tcPr>
          <w:p>
            <w:pPr>
              <w:spacing w:after="0"/>
              <w:rPr>
                <w:sz w:val="18"/>
                <w:szCs w:val="18"/>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20" w:type="dxa"/>
            <w:vAlign w:val="bottom"/>
            <w:tcBorders>
              <w:right w:val="single" w:sz="8" w:color="0000FF"/>
            </w:tcBorders>
            <w:gridSpan w:val="20"/>
            <w:shd w:val="clear" w:color="auto" w:fill="0000FF"/>
          </w:tcPr>
          <w:p>
            <w:pPr>
              <w:spacing w:after="0" w:line="20" w:lineRule="exact"/>
              <w:rPr>
                <w:sz w:val="1"/>
                <w:szCs w:val="1"/>
                <w:color w:val="auto"/>
              </w:rPr>
            </w:pPr>
          </w:p>
        </w:tc>
        <w:tc>
          <w:tcPr>
            <w:tcW w:w="420" w:type="dxa"/>
            <w:vAlign w:val="bottom"/>
            <w:gridSpan w:val="6"/>
            <w:shd w:val="clear" w:color="auto" w:fill="0000FF"/>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920" w:type="dxa"/>
            <w:vAlign w:val="bottom"/>
            <w:gridSpan w:val="1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8460" w:type="dxa"/>
            <w:vAlign w:val="bottom"/>
            <w:tcBorders>
              <w:bottom w:val="single" w:sz="8" w:color="0000FF"/>
            </w:tcBorders>
            <w:gridSpan w:val="57"/>
          </w:tcPr>
          <w:p>
            <w:pPr>
              <w:spacing w:after="0"/>
              <w:rPr>
                <w:sz w:val="20"/>
                <w:szCs w:val="20"/>
                <w:color w:val="auto"/>
              </w:rPr>
            </w:pPr>
            <w:r>
              <w:rPr>
                <w:rFonts w:ascii="Times New Roman" w:cs="Times New Roman" w:eastAsia="Times New Roman" w:hAnsi="Times New Roman"/>
                <w:sz w:val="18"/>
                <w:szCs w:val="18"/>
                <w:color w:val="0000FF"/>
              </w:rPr>
              <w:t>POLICIES AND PRACTICES RELATED TO THE GRANT OF CERTAIN EQUITY AWARDS CLOSE IN TIME</w:t>
            </w: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00" w:type="dxa"/>
            <w:vAlign w:val="bottom"/>
            <w:tcBorders>
              <w:bottom w:val="single" w:sz="8" w:color="0000FF"/>
            </w:tcBorders>
            <w:gridSpan w:val="50"/>
          </w:tcPr>
          <w:p>
            <w:pPr>
              <w:spacing w:after="0" w:line="196" w:lineRule="exact"/>
              <w:rPr>
                <w:sz w:val="20"/>
                <w:szCs w:val="20"/>
                <w:color w:val="auto"/>
              </w:rPr>
            </w:pPr>
            <w:r>
              <w:rPr>
                <w:rFonts w:ascii="Times New Roman" w:cs="Times New Roman" w:eastAsia="Times New Roman" w:hAnsi="Times New Roman"/>
                <w:sz w:val="18"/>
                <w:szCs w:val="18"/>
                <w:color w:val="0000FF"/>
                <w:w w:val="99"/>
              </w:rPr>
              <w:t>TO THE RELEASE OF MATERIAL NONPUBLIC INFORMATION</w:t>
            </w:r>
          </w:p>
        </w:tc>
        <w:tc>
          <w:tcPr>
            <w:tcW w:w="3140" w:type="dxa"/>
            <w:vAlign w:val="bottom"/>
            <w:gridSpan w:val="6"/>
          </w:tcPr>
          <w:p>
            <w:pPr>
              <w:spacing w:after="0"/>
              <w:rPr>
                <w:sz w:val="17"/>
                <w:szCs w:val="17"/>
                <w:color w:val="auto"/>
              </w:rPr>
            </w:pP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9220" w:type="dxa"/>
            <w:vAlign w:val="bottom"/>
            <w:gridSpan w:val="58"/>
          </w:tcPr>
          <w:p>
            <w:pPr>
              <w:spacing w:after="0"/>
              <w:rPr>
                <w:sz w:val="20"/>
                <w:szCs w:val="20"/>
                <w:color w:val="auto"/>
              </w:rPr>
            </w:pPr>
            <w:r>
              <w:rPr>
                <w:rFonts w:ascii="Times New Roman" w:cs="Times New Roman" w:eastAsia="Times New Roman" w:hAnsi="Times New Roman"/>
                <w:sz w:val="18"/>
                <w:szCs w:val="18"/>
                <w:color w:val="0000FF"/>
              </w:rPr>
              <w:t>CERTAIN RELATIONSHIPS AND RELATED PARTY TRANSACTIONS</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209"/>
        </w:trPr>
        <w:tc>
          <w:tcPr>
            <w:tcW w:w="760" w:type="dxa"/>
            <w:vAlign w:val="bottom"/>
            <w:tcBorders>
              <w:top w:val="single" w:sz="8" w:color="0000FF"/>
            </w:tcBorders>
          </w:tcPr>
          <w:p>
            <w:pPr>
              <w:spacing w:after="0"/>
              <w:rPr>
                <w:sz w:val="18"/>
                <w:szCs w:val="18"/>
                <w:color w:val="auto"/>
              </w:rPr>
            </w:pPr>
          </w:p>
        </w:tc>
        <w:tc>
          <w:tcPr>
            <w:tcW w:w="2880" w:type="dxa"/>
            <w:vAlign w:val="bottom"/>
            <w:tcBorders>
              <w:top w:val="single" w:sz="8" w:color="0000FF"/>
              <w:bottom w:val="single" w:sz="8" w:color="0000FF"/>
            </w:tcBorders>
            <w:gridSpan w:val="32"/>
          </w:tcPr>
          <w:p>
            <w:pPr>
              <w:spacing w:after="0"/>
              <w:rPr>
                <w:sz w:val="20"/>
                <w:szCs w:val="20"/>
                <w:color w:val="auto"/>
              </w:rPr>
            </w:pPr>
            <w:r>
              <w:rPr>
                <w:rFonts w:ascii="Times New Roman" w:cs="Times New Roman" w:eastAsia="Times New Roman" w:hAnsi="Times New Roman"/>
                <w:sz w:val="18"/>
                <w:szCs w:val="18"/>
                <w:color w:val="0000FF"/>
                <w:w w:val="99"/>
              </w:rPr>
              <w:t>INDEMNIFICATION AGREEMENTS</w:t>
            </w:r>
          </w:p>
        </w:tc>
        <w:tc>
          <w:tcPr>
            <w:tcW w:w="1920" w:type="dxa"/>
            <w:vAlign w:val="bottom"/>
            <w:tcBorders>
              <w:top w:val="single" w:sz="8" w:color="0000FF"/>
            </w:tcBorders>
            <w:gridSpan w:val="14"/>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0" w:type="dxa"/>
            <w:vAlign w:val="bottom"/>
            <w:gridSpan w:val="10"/>
          </w:tcPr>
          <w:p>
            <w:pPr>
              <w:spacing w:after="0"/>
              <w:rPr>
                <w:sz w:val="18"/>
                <w:szCs w:val="18"/>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20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OTHER TRANSACTIONS</w:t>
            </w:r>
          </w:p>
        </w:tc>
        <w:tc>
          <w:tcPr>
            <w:tcW w:w="6420" w:type="dxa"/>
            <w:vAlign w:val="bottom"/>
            <w:gridSpan w:val="36"/>
          </w:tcPr>
          <w:p>
            <w:pPr>
              <w:spacing w:after="0"/>
              <w:rPr>
                <w:sz w:val="18"/>
                <w:szCs w:val="18"/>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8460" w:type="dxa"/>
            <w:vAlign w:val="bottom"/>
            <w:gridSpan w:val="57"/>
          </w:tcPr>
          <w:p>
            <w:pPr>
              <w:spacing w:after="0"/>
              <w:rPr>
                <w:sz w:val="20"/>
                <w:szCs w:val="20"/>
                <w:color w:val="auto"/>
              </w:rPr>
            </w:pPr>
            <w:r>
              <w:rPr>
                <w:rFonts w:ascii="Times New Roman" w:cs="Times New Roman" w:eastAsia="Times New Roman" w:hAnsi="Times New Roman"/>
                <w:sz w:val="18"/>
                <w:szCs w:val="18"/>
                <w:color w:val="0000FF"/>
              </w:rPr>
              <w:t>POLICIES AND PROCEDURES FOR RELATED PERSON TRANSACTIONS</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20"/>
        </w:trPr>
        <w:tc>
          <w:tcPr>
            <w:tcW w:w="1740" w:type="dxa"/>
            <w:vAlign w:val="bottom"/>
            <w:tcBorders>
              <w:right w:val="single" w:sz="8" w:color="0000FF"/>
            </w:tcBorders>
            <w:gridSpan w:val="4"/>
          </w:tcPr>
          <w:p>
            <w:pPr>
              <w:spacing w:after="0" w:line="20" w:lineRule="exact"/>
              <w:rPr>
                <w:sz w:val="1"/>
                <w:szCs w:val="1"/>
                <w:color w:val="auto"/>
              </w:rPr>
            </w:pPr>
          </w:p>
        </w:tc>
        <w:tc>
          <w:tcPr>
            <w:tcW w:w="740" w:type="dxa"/>
            <w:vAlign w:val="bottom"/>
            <w:tcBorders>
              <w:right w:val="single" w:sz="8" w:color="0000FF"/>
            </w:tcBorders>
            <w:gridSpan w:val="10"/>
            <w:shd w:val="clear" w:color="auto" w:fill="0000FF"/>
          </w:tcPr>
          <w:p>
            <w:pPr>
              <w:spacing w:after="0" w:line="20" w:lineRule="exact"/>
              <w:rPr>
                <w:sz w:val="1"/>
                <w:szCs w:val="1"/>
                <w:color w:val="auto"/>
              </w:rPr>
            </w:pPr>
          </w:p>
        </w:tc>
        <w:tc>
          <w:tcPr>
            <w:tcW w:w="320" w:type="dxa"/>
            <w:vAlign w:val="bottom"/>
            <w:tcBorders>
              <w:right w:val="single" w:sz="8" w:color="0000FF"/>
            </w:tcBorders>
            <w:gridSpan w:val="8"/>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gridSpan w:val="20"/>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tcBorders>
              <w:right w:val="single" w:sz="8" w:color="0000FF"/>
            </w:tcBorders>
            <w:gridSpan w:val="6"/>
            <w:shd w:val="clear" w:color="auto" w:fill="0000FF"/>
          </w:tcPr>
          <w:p>
            <w:pPr>
              <w:spacing w:after="0" w:line="20" w:lineRule="exact"/>
              <w:rPr>
                <w:sz w:val="1"/>
                <w:szCs w:val="1"/>
                <w:color w:val="auto"/>
              </w:rPr>
            </w:pPr>
          </w:p>
        </w:tc>
        <w:tc>
          <w:tcPr>
            <w:tcW w:w="580" w:type="dxa"/>
            <w:vAlign w:val="bottom"/>
            <w:tcBorders>
              <w:right w:val="single" w:sz="8" w:color="0000EE"/>
            </w:tcBorders>
            <w:gridSpan w:val="3"/>
            <w:shd w:val="clear" w:color="auto" w:fill="0000FF"/>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tabs>
          <w:tab w:leader="none" w:pos="6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w:t>
      </w:r>
      <w:r>
        <w:rPr>
          <w:sz w:val="20"/>
          <w:szCs w:val="20"/>
          <w:color w:val="auto"/>
        </w:rPr>
        <w:tab/>
      </w:r>
      <w:r>
        <w:rPr>
          <w:rFonts w:ascii="Times New Roman" w:cs="Times New Roman" w:eastAsia="Times New Roman" w:hAnsi="Times New Roman"/>
          <w:sz w:val="16"/>
          <w:szCs w:val="16"/>
          <w:b w:val="1"/>
          <w:bCs w:val="1"/>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8" w:right="1099" w:bottom="1440" w:gutter="0" w:footer="0" w:header="0"/>
        </w:sectPr>
      </w:pPr>
    </w:p>
    <w:bookmarkStart w:id="9" w:name="page10"/>
    <w:bookmarkEnd w:id="9"/>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TABLE OF CONTENTS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6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EQUITY COMPENSATION PLAN INFORMATION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7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w:t>
            </w:r>
          </w:p>
        </w:tc>
        <w:tc>
          <w:tcPr>
            <w:tcW w:w="2400" w:type="dxa"/>
            <w:vAlign w:val="bottom"/>
            <w:gridSpan w:val="13"/>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345"/>
        </w:trPr>
        <w:tc>
          <w:tcPr>
            <w:tcW w:w="916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ITEMS TO BE VOTED 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rPr>
              <w:t>PROPOSAL 1: ELECTION OF CLASS III DIRECTORS FOR THREE-YEAR TERMS EXPIRING AT THE 2029</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36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ANNUAL MEETING OF STOCKHOLDERS</w:t>
            </w:r>
          </w:p>
        </w:tc>
        <w:tc>
          <w:tcPr>
            <w:tcW w:w="20" w:type="dxa"/>
            <w:vAlign w:val="bottom"/>
            <w:tcBorders>
              <w:bottom w:val="single" w:sz="8" w:color="0000EE"/>
            </w:tcBorders>
          </w:tcPr>
          <w:p>
            <w:pPr>
              <w:spacing w:after="0"/>
              <w:rPr>
                <w:sz w:val="17"/>
                <w:szCs w:val="17"/>
                <w:color w:val="auto"/>
              </w:rPr>
            </w:pPr>
          </w:p>
        </w:tc>
        <w:tc>
          <w:tcPr>
            <w:tcW w:w="4160" w:type="dxa"/>
            <w:vAlign w:val="bottom"/>
            <w:gridSpan w:val="15"/>
          </w:tcPr>
          <w:p>
            <w:pPr>
              <w:spacing w:after="0"/>
              <w:rPr>
                <w:sz w:val="17"/>
                <w:szCs w:val="17"/>
                <w:color w:val="auto"/>
              </w:rPr>
            </w:pPr>
          </w:p>
        </w:tc>
        <w:tc>
          <w:tcPr>
            <w:tcW w:w="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90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PROPOSAL 2: APPROVAL, ON AN ADVISORY BASIS, OF THE COMPENSATION OF OUR NAMED</w:t>
            </w:r>
          </w:p>
        </w:tc>
        <w:tc>
          <w:tcPr>
            <w:tcW w:w="500" w:type="dxa"/>
            <w:vAlign w:val="bottom"/>
            <w:gridSpan w:val="8"/>
          </w:tcPr>
          <w:p>
            <w:pPr>
              <w:spacing w:after="0"/>
              <w:rPr>
                <w:sz w:val="17"/>
                <w:szCs w:val="17"/>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90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EXECUTIVE OFFICERS</w:t>
            </w:r>
          </w:p>
        </w:tc>
        <w:tc>
          <w:tcPr>
            <w:tcW w:w="5640" w:type="dxa"/>
            <w:vAlign w:val="bottom"/>
            <w:gridSpan w:val="18"/>
          </w:tcPr>
          <w:p>
            <w:pPr>
              <w:spacing w:after="0"/>
              <w:rPr>
                <w:sz w:val="17"/>
                <w:szCs w:val="17"/>
                <w:color w:val="auto"/>
              </w:rPr>
            </w:pPr>
          </w:p>
        </w:tc>
        <w:tc>
          <w:tcPr>
            <w:tcW w:w="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60" w:type="dxa"/>
            <w:vAlign w:val="bottom"/>
            <w:tcBorders>
              <w:bottom w:val="single" w:sz="8" w:color="0000FF"/>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PROPOSAL 3: APPROVAL, ON AN ADVISORY BASIS, OF THE PREFERRED FREQUENCY OF FUTURE</w:t>
            </w:r>
          </w:p>
        </w:tc>
        <w:tc>
          <w:tcPr>
            <w:tcW w:w="140" w:type="dxa"/>
            <w:vAlign w:val="bottom"/>
            <w:gridSpan w:val="2"/>
          </w:tcPr>
          <w:p>
            <w:pPr>
              <w:spacing w:after="0"/>
              <w:rPr>
                <w:sz w:val="17"/>
                <w:szCs w:val="17"/>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6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ADVISORY VOTES ON THE COMPENSATION OF OUR NAMED EXECUTIVE OFFICERS</w:t>
            </w:r>
          </w:p>
        </w:tc>
        <w:tc>
          <w:tcPr>
            <w:tcW w:w="480" w:type="dxa"/>
            <w:vAlign w:val="bottom"/>
            <w:gridSpan w:val="7"/>
          </w:tcPr>
          <w:p>
            <w:pPr>
              <w:spacing w:after="0"/>
              <w:rPr>
                <w:sz w:val="17"/>
                <w:szCs w:val="17"/>
                <w:color w:val="auto"/>
              </w:rPr>
            </w:pPr>
          </w:p>
        </w:tc>
        <w:tc>
          <w:tcPr>
            <w:tcW w:w="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980" w:type="dxa"/>
            <w:vAlign w:val="bottom"/>
            <w:tcBorders>
              <w:bottom w:val="single" w:sz="8" w:color="0000FF"/>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PROPOSAL 4: RATIFICATION OF APPOINTMENT OF PRICEWATERHOUSECOOPERS LLP AS OUR</w:t>
            </w:r>
          </w:p>
        </w:tc>
        <w:tc>
          <w:tcPr>
            <w:tcW w:w="420" w:type="dxa"/>
            <w:vAlign w:val="bottom"/>
            <w:gridSpan w:val="5"/>
          </w:tcPr>
          <w:p>
            <w:pPr>
              <w:spacing w:after="0"/>
              <w:rPr>
                <w:sz w:val="17"/>
                <w:szCs w:val="17"/>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0" w:type="dxa"/>
            <w:vAlign w:val="bottom"/>
            <w:tcBorders>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w w:val="99"/>
              </w:rPr>
              <w:t>INDEPENDENT REGISTERED PUBLIC ACCOUNTING FIRM FOR THE 2026 FISCAL YEAR</w:t>
            </w:r>
          </w:p>
        </w:tc>
        <w:tc>
          <w:tcPr>
            <w:tcW w:w="340" w:type="dxa"/>
            <w:vAlign w:val="bottom"/>
            <w:gridSpan w:val="4"/>
          </w:tcPr>
          <w:p>
            <w:pPr>
              <w:spacing w:after="0"/>
              <w:rPr>
                <w:sz w:val="17"/>
                <w:szCs w:val="17"/>
                <w:color w:val="auto"/>
              </w:rPr>
            </w:pPr>
          </w:p>
        </w:tc>
        <w:tc>
          <w:tcPr>
            <w:tcW w:w="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PROPOSAL 5: APPROVAL OF AN AMENDMENT TO OUR NINTH AMENDED AND RESTATED</w:t>
            </w:r>
          </w:p>
        </w:tc>
        <w:tc>
          <w:tcPr>
            <w:tcW w:w="800" w:type="dxa"/>
            <w:vAlign w:val="bottom"/>
            <w:gridSpan w:val="10"/>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CERTIFICATE OF INCORPORATION, AS AMENDED, TO INCREASE THE NUMBER OF</w:t>
            </w:r>
          </w:p>
        </w:tc>
        <w:tc>
          <w:tcPr>
            <w:tcW w:w="540" w:type="dxa"/>
            <w:vAlign w:val="bottom"/>
            <w:gridSpan w:val="9"/>
          </w:tcPr>
          <w:p>
            <w:pPr>
              <w:spacing w:after="0"/>
              <w:rPr>
                <w:sz w:val="17"/>
                <w:szCs w:val="17"/>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2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AUTHORIZED SHARES OF COMMON STOCK FROM 115,000,000 TO 215,000,000</w:t>
            </w:r>
          </w:p>
        </w:tc>
        <w:tc>
          <w:tcPr>
            <w:tcW w:w="20" w:type="dxa"/>
            <w:vAlign w:val="bottom"/>
            <w:tcBorders>
              <w:bottom w:val="single" w:sz="8" w:color="0000EE"/>
            </w:tcBorders>
          </w:tcPr>
          <w:p>
            <w:pPr>
              <w:spacing w:after="0"/>
              <w:rPr>
                <w:sz w:val="17"/>
                <w:szCs w:val="17"/>
                <w:color w:val="auto"/>
              </w:rPr>
            </w:pPr>
          </w:p>
        </w:tc>
        <w:tc>
          <w:tcPr>
            <w:tcW w:w="1100" w:type="dxa"/>
            <w:vAlign w:val="bottom"/>
            <w:gridSpan w:val="11"/>
          </w:tcPr>
          <w:p>
            <w:pPr>
              <w:spacing w:after="0"/>
              <w:rPr>
                <w:sz w:val="17"/>
                <w:szCs w:val="17"/>
                <w:color w:val="auto"/>
              </w:rPr>
            </w:pPr>
          </w:p>
        </w:tc>
        <w:tc>
          <w:tcPr>
            <w:tcW w:w="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960" w:type="dxa"/>
            <w:vAlign w:val="bottom"/>
            <w:tcBorders>
              <w:bottom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PROPOSAL 6: APPROVAL OF THE ADJOURNMENT OF THE ANNUAL MEETING TO THE EXTENT</w:t>
            </w:r>
          </w:p>
        </w:tc>
        <w:tc>
          <w:tcPr>
            <w:tcW w:w="440" w:type="dxa"/>
            <w:vAlign w:val="bottom"/>
            <w:gridSpan w:val="6"/>
          </w:tcPr>
          <w:p>
            <w:pPr>
              <w:spacing w:after="0"/>
              <w:rPr>
                <w:sz w:val="17"/>
                <w:szCs w:val="17"/>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60" w:type="dxa"/>
            <w:vAlign w:val="bottom"/>
            <w:tcBorders>
              <w:bottom w:val="single" w:sz="8" w:color="0000FF"/>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FF"/>
                <w:w w:val="99"/>
              </w:rPr>
              <w:t>THERE ARE INSUFFICIENT VOTES AT THE ANNUAL MEETING TO APPROVE PROPOSAL 5</w:t>
            </w:r>
          </w:p>
        </w:tc>
        <w:tc>
          <w:tcPr>
            <w:tcW w:w="8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916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3700" w:type="dxa"/>
            <w:vAlign w:val="bottom"/>
            <w:gridSpan w:val="11"/>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OTHER MATTERS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8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3700" w:type="dxa"/>
            <w:vAlign w:val="bottom"/>
            <w:gridSpan w:val="11"/>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8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rPr>
              <w:t>REQUIREMENTS FOR SUBMISSION OF STOCKHOLDER PROPOSALS FOR NEXT YEAR’S ANNUAL</w:t>
            </w:r>
          </w:p>
        </w:tc>
        <w:tc>
          <w:tcPr>
            <w:tcW w:w="320" w:type="dxa"/>
            <w:vAlign w:val="bottom"/>
            <w:gridSpan w:val="3"/>
          </w:tcPr>
          <w:p>
            <w:pPr>
              <w:spacing w:after="0"/>
              <w:rPr>
                <w:sz w:val="18"/>
                <w:szCs w:val="18"/>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MEETING</w:t>
            </w:r>
          </w:p>
        </w:tc>
        <w:tc>
          <w:tcPr>
            <w:tcW w:w="20" w:type="dxa"/>
            <w:vAlign w:val="bottom"/>
            <w:tcBorders>
              <w:bottom w:val="single" w:sz="8" w:color="0000EE"/>
            </w:tcBorders>
          </w:tcPr>
          <w:p>
            <w:pPr>
              <w:spacing w:after="0"/>
              <w:rPr>
                <w:sz w:val="17"/>
                <w:szCs w:val="17"/>
                <w:color w:val="auto"/>
              </w:rPr>
            </w:pPr>
          </w:p>
        </w:tc>
        <w:tc>
          <w:tcPr>
            <w:tcW w:w="6700" w:type="dxa"/>
            <w:vAlign w:val="bottom"/>
            <w:gridSpan w:val="20"/>
          </w:tcPr>
          <w:p>
            <w:pPr>
              <w:spacing w:after="0"/>
              <w:rPr>
                <w:sz w:val="17"/>
                <w:szCs w:val="17"/>
                <w:color w:val="auto"/>
              </w:rPr>
            </w:pPr>
          </w:p>
        </w:tc>
        <w:tc>
          <w:tcPr>
            <w:tcW w:w="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0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STOCKHOLDER COMMUNICATIONS TO THE BOARD</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HOUSEHOLDING</w:t>
            </w:r>
          </w:p>
        </w:tc>
        <w:tc>
          <w:tcPr>
            <w:tcW w:w="80" w:type="dxa"/>
            <w:vAlign w:val="bottom"/>
            <w:tcBorders>
              <w:top w:val="single" w:sz="8" w:color="0000FF"/>
              <w:bottom w:val="single" w:sz="8" w:color="0000EE"/>
            </w:tcBorders>
          </w:tcPr>
          <w:p>
            <w:pPr>
              <w:spacing w:after="0"/>
              <w:rPr>
                <w:sz w:val="18"/>
                <w:szCs w:val="18"/>
                <w:color w:val="auto"/>
              </w:rPr>
            </w:pPr>
          </w:p>
        </w:tc>
        <w:tc>
          <w:tcPr>
            <w:tcW w:w="2880" w:type="dxa"/>
            <w:vAlign w:val="bottom"/>
            <w:tcBorders>
              <w:top w:val="single" w:sz="8" w:color="0000FF"/>
            </w:tcBorders>
            <w:gridSpan w:val="8"/>
          </w:tcPr>
          <w:p>
            <w:pPr>
              <w:spacing w:after="0"/>
              <w:rPr>
                <w:sz w:val="18"/>
                <w:szCs w:val="18"/>
                <w:color w:val="auto"/>
              </w:rPr>
            </w:pPr>
          </w:p>
        </w:tc>
        <w:tc>
          <w:tcPr>
            <w:tcW w:w="4020" w:type="dxa"/>
            <w:vAlign w:val="bottom"/>
            <w:gridSpan w:val="14"/>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AVAILABILITY OF MATERIALS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40" w:type="dxa"/>
            <w:vAlign w:val="bottom"/>
            <w:gridSpan w:val="8"/>
            <w:shd w:val="clear" w:color="auto" w:fill="0000FF"/>
          </w:tcPr>
          <w:p>
            <w:pPr>
              <w:spacing w:after="0" w:line="20" w:lineRule="exact"/>
              <w:rPr>
                <w:sz w:val="1"/>
                <w:szCs w:val="1"/>
                <w:color w:val="auto"/>
              </w:rPr>
            </w:pPr>
          </w:p>
        </w:tc>
        <w:tc>
          <w:tcPr>
            <w:tcW w:w="5780" w:type="dxa"/>
            <w:vAlign w:val="bottom"/>
            <w:gridSpan w:val="19"/>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0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APPENDIX A</w:t>
            </w:r>
          </w:p>
        </w:tc>
        <w:tc>
          <w:tcPr>
            <w:tcW w:w="20" w:type="dxa"/>
            <w:vAlign w:val="bottom"/>
            <w:tcBorders>
              <w:bottom w:val="single" w:sz="8" w:color="0000EE"/>
            </w:tcBorders>
          </w:tcPr>
          <w:p>
            <w:pPr>
              <w:spacing w:after="0"/>
              <w:rPr>
                <w:sz w:val="18"/>
                <w:szCs w:val="18"/>
                <w:color w:val="auto"/>
              </w:rPr>
            </w:pPr>
          </w:p>
        </w:tc>
        <w:tc>
          <w:tcPr>
            <w:tcW w:w="8020" w:type="dxa"/>
            <w:vAlign w:val="bottom"/>
            <w:gridSpan w:val="27"/>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c>
          <w:tcPr>
            <w:tcW w:w="0" w:type="dxa"/>
            <w:vAlign w:val="bottom"/>
          </w:tcPr>
          <w:p>
            <w:pPr>
              <w:spacing w:after="0"/>
              <w:rPr>
                <w:sz w:val="1"/>
                <w:szCs w:val="1"/>
                <w:color w:val="auto"/>
              </w:rPr>
            </w:pPr>
          </w:p>
        </w:tc>
      </w:tr>
    </w:tbl>
    <w:p>
      <w:pPr>
        <w:spacing w:after="0" w:line="356" w:lineRule="exact"/>
        <w:rPr>
          <w:sz w:val="20"/>
          <w:szCs w:val="20"/>
          <w:color w:val="auto"/>
        </w:rPr>
      </w:pPr>
    </w:p>
    <w:p>
      <w:pPr>
        <w:jc w:val="right"/>
        <w:spacing w:after="0"/>
        <w:tabs>
          <w:tab w:leader="none" w:pos="12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w:t>
      </w:r>
      <w:r>
        <w:rPr>
          <w:sz w:val="20"/>
          <w:szCs w:val="20"/>
          <w:color w:val="auto"/>
        </w:rPr>
        <w:tab/>
      </w:r>
      <w:r>
        <w:rPr>
          <w:rFonts w:ascii="Times New Roman" w:cs="Times New Roman" w:eastAsia="Times New Roman" w:hAnsi="Times New Roman"/>
          <w:sz w:val="17"/>
          <w:szCs w:val="17"/>
          <w:b w:val="1"/>
          <w:bCs w:val="1"/>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10" w:name="page11"/>
    <w:bookmarkEnd w:id="10"/>
    <w:p>
      <w:pPr>
        <w:ind w:left="100"/>
        <w:spacing w:after="0"/>
        <w:rPr>
          <w:sz w:val="20"/>
          <w:szCs w:val="20"/>
          <w:color w:val="auto"/>
        </w:rPr>
      </w:pPr>
      <w:r>
        <w:rPr>
          <w:rFonts w:ascii="Times New Roman" w:cs="Times New Roman" w:eastAsia="Times New Roman" w:hAnsi="Times New Roman"/>
          <w:sz w:val="22"/>
          <w:szCs w:val="22"/>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-140335</wp:posOffset>
            </wp:positionV>
            <wp:extent cx="617220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Proxy Statement, with the enclosed proxy card, is being furnished to stockholders of Larimar Therapeutics, Inc. (the “Company”) in connection with the solicitation by our Board of proxies to be voted at our Annual Meeting and at any postponements or adjournments thereof. The Annual Meeting will be held on Tuesday, May 19, 2026, at 8:00 a.m., Eastern Time via the Internet at meetnow.global/MWXPCMG.</w:t>
      </w: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8" w:right="1099" w:bottom="1440" w:gutter="0" w:footer="0" w:header="0"/>
        </w:sectPr>
      </w:pPr>
    </w:p>
    <w:bookmarkStart w:id="11" w:name="page12"/>
    <w:bookmarkEnd w:id="11"/>
    <w:p>
      <w:pPr>
        <w:ind w:left="100"/>
        <w:spacing w:after="0"/>
        <w:rPr>
          <w:sz w:val="20"/>
          <w:szCs w:val="20"/>
          <w:color w:val="auto"/>
        </w:rPr>
      </w:pPr>
      <w:r>
        <w:rPr>
          <w:rFonts w:ascii="Times New Roman" w:cs="Times New Roman" w:eastAsia="Times New Roman" w:hAnsi="Times New Roman"/>
          <w:sz w:val="22"/>
          <w:szCs w:val="22"/>
          <w:b w:val="1"/>
          <w:bCs w:val="1"/>
          <w:color w:val="auto"/>
        </w:rPr>
        <w:t>GENERAL INFORMATION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-140335</wp:posOffset>
            </wp:positionV>
            <wp:extent cx="617220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ATTENDING THE ANNUAL MEETING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Annual Meeting will be conducted virtually via live webcast, and there will not be a physical meeting location. We have adopted a virtual format for the Annual Meeting to provide a consistent experience to all stockholders regardless of location. We have designed the Annual Meeting to provide substantially the same opportunities to participate as you would have at an in-person meeting, including the ability to vote.</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participate in the virtual meeting, visit meetnow.global/MWXPCMG. You will need to enter the 16-digit control number included on your Notice or on your proxy card. The meeting will begin promptly at 8:00 a.m., Eastern Time on Tuesday, May 19, 2026. We encourage you to access the meeting prior to the start time leaving ample time for the check in.</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you should contact your bank or broker to obtain your 16-digit control number or otherwise vote through the bank or broker. If you lose your 16-digit control number, you may join the Annual Meeting as a “Guest” but you will not be able to vote, ask questions or access the list of stockholders as of the Record Date.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virtual meeting platform is fully supported across browsers (Internet Explorer, Firefox, Chrome and Safari) and devices (desktops, laptops, tablets and cell phones) running the most updated version of applicable software and plugins. You should ensure that you have a strong WiFi connection wherever you intend to participate in the meeting. You should also give yourself plenty of time to log in prior to the start of the meeting.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SOLICITATION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Board is soliciting your vote on matters that will be presented at the Annual Meeting and at any adjournment or postponement thereof. This Proxy Statement contains information on these matters to assist you in voting your shares.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This Proxy Statement and the proxy card are first being mailed to our stockholders on or about April , 2026. In accordance with the rules of the Securities and Exchange Commission (the “SEC”), we are advising our stockholders of the availability on the Internet of our proxy materials related to our forthcoming Annual Meeting. Because we have elected to utilize the “full set delivery” option, we are delivering to all stockholders paper copies of all of the proxy materials, as well as providing access to those proxy materials on a publicly accessible website. This Proxy Statement and our 2025 Annual Report are available to beneficial holders of our common stock at </w:t>
      </w:r>
      <w:r>
        <w:rPr>
          <w:rFonts w:ascii="Times New Roman" w:cs="Times New Roman" w:eastAsia="Times New Roman" w:hAnsi="Times New Roman"/>
          <w:sz w:val="18"/>
          <w:szCs w:val="18"/>
          <w:u w:val="single" w:color="auto"/>
          <w:color w:val="2175FF"/>
        </w:rPr>
        <w:t>http://www.edocumentview.com/LRMR</w:t>
      </w:r>
      <w:r>
        <w:rPr>
          <w:rFonts w:ascii="Times New Roman" w:cs="Times New Roman" w:eastAsia="Times New Roman" w:hAnsi="Times New Roman"/>
          <w:sz w:val="18"/>
          <w:szCs w:val="18"/>
          <w:color w:val="auto"/>
        </w:rPr>
        <w:t xml:space="preserve"> and to record holders of our common stock at </w:t>
      </w:r>
      <w:r>
        <w:rPr>
          <w:rFonts w:ascii="Times New Roman" w:cs="Times New Roman" w:eastAsia="Times New Roman" w:hAnsi="Times New Roman"/>
          <w:sz w:val="18"/>
          <w:szCs w:val="18"/>
          <w:u w:val="single" w:color="auto"/>
          <w:color w:val="2175FF"/>
        </w:rPr>
        <w:t>http://www.envisionreports.com/LRMR</w:t>
      </w:r>
      <w:r>
        <w:rPr>
          <w:rFonts w:ascii="Times New Roman" w:cs="Times New Roman" w:eastAsia="Times New Roman" w:hAnsi="Times New Roman"/>
          <w:sz w:val="18"/>
          <w:szCs w:val="18"/>
          <w:color w:val="000000"/>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ENTITLED TO VOTE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stockholders of record of our common stock at the close of business on March 25, 2026 (the “Record Date”) are entitled to receive the Notice and to vote their shares at the Annual Meeting. As of the Record Date, 103,882,937 shares of our common stock were outstanding. Each share is entitled to one vote on each matter properly brought to the meeting.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METHODS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cast your vote in any of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154305</wp:posOffset>
            </wp:positionV>
            <wp:extent cx="402590" cy="3771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02590" cy="377190"/>
                    </a:xfrm>
                    <a:prstGeom prst="rect">
                      <a:avLst/>
                    </a:prstGeom>
                    <a:noFill/>
                  </pic:spPr>
                </pic:pic>
              </a:graphicData>
            </a:graphic>
          </wp:anchor>
        </w:drawing>
        <w:drawing>
          <wp:anchor simplePos="0" relativeHeight="251657728" behindDoc="1" locked="0" layoutInCell="0" allowOverlap="1">
            <wp:simplePos x="0" y="0"/>
            <wp:positionH relativeFrom="column">
              <wp:posOffset>1837055</wp:posOffset>
            </wp:positionH>
            <wp:positionV relativeFrom="paragraph">
              <wp:posOffset>163195</wp:posOffset>
            </wp:positionV>
            <wp:extent cx="497205" cy="3683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7205" cy="368300"/>
                    </a:xfrm>
                    <a:prstGeom prst="rect">
                      <a:avLst/>
                    </a:prstGeom>
                    <a:noFill/>
                  </pic:spPr>
                </pic:pic>
              </a:graphicData>
            </a:graphic>
          </wp:anchor>
        </w:drawing>
        <w:drawing>
          <wp:anchor simplePos="0" relativeHeight="251657728" behindDoc="1" locked="0" layoutInCell="0" allowOverlap="1">
            <wp:simplePos x="0" y="0"/>
            <wp:positionH relativeFrom="column">
              <wp:posOffset>3508375</wp:posOffset>
            </wp:positionH>
            <wp:positionV relativeFrom="paragraph">
              <wp:posOffset>188595</wp:posOffset>
            </wp:positionV>
            <wp:extent cx="403225" cy="3429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03225" cy="342900"/>
                    </a:xfrm>
                    <a:prstGeom prst="rect">
                      <a:avLst/>
                    </a:prstGeom>
                    <a:noFill/>
                  </pic:spPr>
                </pic:pic>
              </a:graphicData>
            </a:graphic>
          </wp:anchor>
        </w:drawing>
        <w:drawing>
          <wp:anchor simplePos="0" relativeHeight="251657728" behindDoc="1" locked="0" layoutInCell="0" allowOverlap="1">
            <wp:simplePos x="0" y="0"/>
            <wp:positionH relativeFrom="column">
              <wp:posOffset>5060315</wp:posOffset>
            </wp:positionH>
            <wp:positionV relativeFrom="paragraph">
              <wp:posOffset>197485</wp:posOffset>
            </wp:positionV>
            <wp:extent cx="514350" cy="3346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860" w:type="dxa"/>
            <w:vAlign w:val="bottom"/>
            <w:tcBorders>
              <w:bottom w:val="single" w:sz="8" w:color="4DC1E4"/>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auto"/>
              </w:rPr>
              <w:t>MAIL</w:t>
            </w:r>
          </w:p>
        </w:tc>
        <w:tc>
          <w:tcPr>
            <w:tcW w:w="160" w:type="dxa"/>
            <w:vAlign w:val="bottom"/>
          </w:tcPr>
          <w:p>
            <w:pPr>
              <w:spacing w:after="0"/>
              <w:rPr>
                <w:sz w:val="22"/>
                <w:szCs w:val="22"/>
                <w:color w:val="auto"/>
              </w:rPr>
            </w:pPr>
          </w:p>
        </w:tc>
        <w:tc>
          <w:tcPr>
            <w:tcW w:w="340" w:type="dxa"/>
            <w:vAlign w:val="bottom"/>
            <w:tcBorders>
              <w:bottom w:val="single" w:sz="8" w:color="4DC1E4"/>
            </w:tcBorders>
            <w:shd w:val="clear" w:color="auto" w:fill="4DC1E4"/>
          </w:tcPr>
          <w:p>
            <w:pPr>
              <w:spacing w:after="0"/>
              <w:rPr>
                <w:sz w:val="22"/>
                <w:szCs w:val="22"/>
                <w:color w:val="auto"/>
              </w:rPr>
            </w:pPr>
          </w:p>
        </w:tc>
        <w:tc>
          <w:tcPr>
            <w:tcW w:w="2180" w:type="dxa"/>
            <w:vAlign w:val="bottom"/>
            <w:tcBorders>
              <w:bottom w:val="single" w:sz="8" w:color="4DC1E4"/>
            </w:tcBorders>
            <w:gridSpan w:val="2"/>
            <w:shd w:val="clear" w:color="auto" w:fill="4DC1E4"/>
          </w:tcPr>
          <w:p>
            <w:pPr>
              <w:ind w:left="460"/>
              <w:spacing w:after="0"/>
              <w:rPr>
                <w:sz w:val="20"/>
                <w:szCs w:val="20"/>
                <w:color w:val="auto"/>
              </w:rPr>
            </w:pPr>
            <w:r>
              <w:rPr>
                <w:rFonts w:ascii="Times New Roman" w:cs="Times New Roman" w:eastAsia="Times New Roman" w:hAnsi="Times New Roman"/>
                <w:sz w:val="18"/>
                <w:szCs w:val="18"/>
                <w:b w:val="1"/>
                <w:bCs w:val="1"/>
                <w:color w:val="auto"/>
              </w:rPr>
              <w:t>INTERNET</w:t>
            </w:r>
          </w:p>
        </w:tc>
        <w:tc>
          <w:tcPr>
            <w:tcW w:w="180" w:type="dxa"/>
            <w:vAlign w:val="bottom"/>
          </w:tcPr>
          <w:p>
            <w:pPr>
              <w:spacing w:after="0"/>
              <w:rPr>
                <w:sz w:val="22"/>
                <w:szCs w:val="22"/>
                <w:color w:val="auto"/>
              </w:rPr>
            </w:pPr>
          </w:p>
        </w:tc>
        <w:tc>
          <w:tcPr>
            <w:tcW w:w="2120" w:type="dxa"/>
            <w:vAlign w:val="bottom"/>
            <w:tcBorders>
              <w:bottom w:val="single" w:sz="8" w:color="4DC1E4"/>
            </w:tcBorders>
            <w:shd w:val="clear" w:color="auto" w:fill="4DC1E4"/>
          </w:tcPr>
          <w:p>
            <w:pPr>
              <w:jc w:val="center"/>
              <w:ind w:left="46"/>
              <w:spacing w:after="0"/>
              <w:rPr>
                <w:sz w:val="20"/>
                <w:szCs w:val="20"/>
                <w:color w:val="auto"/>
              </w:rPr>
            </w:pPr>
            <w:r>
              <w:rPr>
                <w:rFonts w:ascii="Times New Roman" w:cs="Times New Roman" w:eastAsia="Times New Roman" w:hAnsi="Times New Roman"/>
                <w:sz w:val="18"/>
                <w:szCs w:val="18"/>
                <w:b w:val="1"/>
                <w:bCs w:val="1"/>
                <w:color w:val="auto"/>
                <w:w w:val="99"/>
              </w:rPr>
              <w:t>PHONE</w:t>
            </w:r>
          </w:p>
        </w:tc>
        <w:tc>
          <w:tcPr>
            <w:tcW w:w="180" w:type="dxa"/>
            <w:vAlign w:val="bottom"/>
          </w:tcPr>
          <w:p>
            <w:pPr>
              <w:spacing w:after="0"/>
              <w:rPr>
                <w:sz w:val="22"/>
                <w:szCs w:val="22"/>
                <w:color w:val="auto"/>
              </w:rPr>
            </w:pPr>
          </w:p>
        </w:tc>
        <w:tc>
          <w:tcPr>
            <w:tcW w:w="2700" w:type="dxa"/>
            <w:vAlign w:val="bottom"/>
            <w:tcBorders>
              <w:bottom w:val="single" w:sz="8" w:color="4DC1E4"/>
            </w:tcBorders>
            <w:gridSpan w:val="3"/>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ONLINE AT THE MEETING</w:t>
            </w:r>
          </w:p>
        </w:tc>
      </w:tr>
      <w:tr>
        <w:trPr>
          <w:trHeight w:val="126"/>
        </w:trPr>
        <w:tc>
          <w:tcPr>
            <w:tcW w:w="1860" w:type="dxa"/>
            <w:vAlign w:val="bottom"/>
            <w:shd w:val="clear" w:color="auto" w:fill="F2F2F2"/>
          </w:tcPr>
          <w:p>
            <w:pPr>
              <w:jc w:val="center"/>
              <w:spacing w:after="0" w:line="126" w:lineRule="exact"/>
              <w:rPr>
                <w:sz w:val="20"/>
                <w:szCs w:val="20"/>
                <w:color w:val="auto"/>
              </w:rPr>
            </w:pPr>
            <w:r>
              <w:rPr>
                <w:rFonts w:ascii="Times New Roman" w:cs="Times New Roman" w:eastAsia="Times New Roman" w:hAnsi="Times New Roman"/>
                <w:sz w:val="14"/>
                <w:szCs w:val="14"/>
                <w:color w:val="auto"/>
              </w:rPr>
              <w:t>Mailing your signed</w:t>
            </w:r>
          </w:p>
        </w:tc>
        <w:tc>
          <w:tcPr>
            <w:tcW w:w="160" w:type="dxa"/>
            <w:vAlign w:val="bottom"/>
          </w:tcPr>
          <w:p>
            <w:pPr>
              <w:spacing w:after="0"/>
              <w:rPr>
                <w:sz w:val="10"/>
                <w:szCs w:val="10"/>
                <w:color w:val="auto"/>
              </w:rPr>
            </w:pPr>
          </w:p>
        </w:tc>
        <w:tc>
          <w:tcPr>
            <w:tcW w:w="340" w:type="dxa"/>
            <w:vAlign w:val="bottom"/>
            <w:shd w:val="clear" w:color="auto" w:fill="F2F2F2"/>
          </w:tcPr>
          <w:p>
            <w:pPr>
              <w:spacing w:after="0"/>
              <w:rPr>
                <w:sz w:val="10"/>
                <w:szCs w:val="10"/>
                <w:color w:val="auto"/>
              </w:rPr>
            </w:pPr>
          </w:p>
        </w:tc>
        <w:tc>
          <w:tcPr>
            <w:tcW w:w="2180" w:type="dxa"/>
            <w:vAlign w:val="bottom"/>
            <w:gridSpan w:val="2"/>
            <w:shd w:val="clear" w:color="auto" w:fill="F2F2F2"/>
          </w:tcPr>
          <w:p>
            <w:pPr>
              <w:jc w:val="center"/>
              <w:ind w:right="200"/>
              <w:spacing w:after="0" w:line="126" w:lineRule="exact"/>
              <w:rPr>
                <w:sz w:val="20"/>
                <w:szCs w:val="20"/>
                <w:color w:val="auto"/>
              </w:rPr>
            </w:pPr>
            <w:r>
              <w:rPr>
                <w:rFonts w:ascii="Times New Roman" w:cs="Times New Roman" w:eastAsia="Times New Roman" w:hAnsi="Times New Roman"/>
                <w:sz w:val="14"/>
                <w:szCs w:val="14"/>
                <w:color w:val="auto"/>
              </w:rPr>
              <w:t>Using the Internet at</w:t>
            </w:r>
          </w:p>
        </w:tc>
        <w:tc>
          <w:tcPr>
            <w:tcW w:w="180" w:type="dxa"/>
            <w:vAlign w:val="bottom"/>
          </w:tcPr>
          <w:p>
            <w:pPr>
              <w:spacing w:after="0"/>
              <w:rPr>
                <w:sz w:val="10"/>
                <w:szCs w:val="10"/>
                <w:color w:val="auto"/>
              </w:rPr>
            </w:pPr>
          </w:p>
        </w:tc>
        <w:tc>
          <w:tcPr>
            <w:tcW w:w="2120" w:type="dxa"/>
            <w:vAlign w:val="bottom"/>
            <w:shd w:val="clear" w:color="auto" w:fill="F2F2F2"/>
          </w:tcPr>
          <w:p>
            <w:pPr>
              <w:jc w:val="center"/>
              <w:ind w:left="66"/>
              <w:spacing w:after="0" w:line="126" w:lineRule="exact"/>
              <w:rPr>
                <w:sz w:val="20"/>
                <w:szCs w:val="20"/>
                <w:color w:val="auto"/>
              </w:rPr>
            </w:pPr>
            <w:r>
              <w:rPr>
                <w:rFonts w:ascii="Times New Roman" w:cs="Times New Roman" w:eastAsia="Times New Roman" w:hAnsi="Times New Roman"/>
                <w:sz w:val="14"/>
                <w:szCs w:val="14"/>
                <w:color w:val="auto"/>
              </w:rPr>
              <w:t>Calling toll-free from the</w:t>
            </w:r>
          </w:p>
        </w:tc>
        <w:tc>
          <w:tcPr>
            <w:tcW w:w="180" w:type="dxa"/>
            <w:vAlign w:val="bottom"/>
          </w:tcPr>
          <w:p>
            <w:pPr>
              <w:spacing w:after="0"/>
              <w:rPr>
                <w:sz w:val="10"/>
                <w:szCs w:val="10"/>
                <w:color w:val="auto"/>
              </w:rPr>
            </w:pPr>
          </w:p>
        </w:tc>
        <w:tc>
          <w:tcPr>
            <w:tcW w:w="2700" w:type="dxa"/>
            <w:vAlign w:val="bottom"/>
            <w:gridSpan w:val="3"/>
            <w:shd w:val="clear" w:color="auto" w:fill="F2F2F2"/>
          </w:tcPr>
          <w:p>
            <w:pPr>
              <w:jc w:val="center"/>
              <w:spacing w:after="0" w:line="126" w:lineRule="exact"/>
              <w:rPr>
                <w:sz w:val="20"/>
                <w:szCs w:val="20"/>
                <w:color w:val="auto"/>
              </w:rPr>
            </w:pPr>
            <w:r>
              <w:rPr>
                <w:rFonts w:ascii="Times New Roman" w:cs="Times New Roman" w:eastAsia="Times New Roman" w:hAnsi="Times New Roman"/>
                <w:sz w:val="14"/>
                <w:szCs w:val="14"/>
                <w:color w:val="auto"/>
              </w:rPr>
              <w:t>You can vote at the meeting at</w:t>
            </w:r>
          </w:p>
        </w:tc>
      </w:tr>
      <w:tr>
        <w:trPr>
          <w:trHeight w:val="158"/>
        </w:trPr>
        <w:tc>
          <w:tcPr>
            <w:tcW w:w="1860" w:type="dxa"/>
            <w:vAlign w:val="bottom"/>
            <w:shd w:val="clear" w:color="auto" w:fill="F2F2F2"/>
          </w:tcPr>
          <w:p>
            <w:pPr>
              <w:jc w:val="center"/>
              <w:spacing w:after="0" w:line="158" w:lineRule="exact"/>
              <w:rPr>
                <w:sz w:val="20"/>
                <w:szCs w:val="20"/>
                <w:color w:val="auto"/>
              </w:rPr>
            </w:pPr>
            <w:r>
              <w:rPr>
                <w:rFonts w:ascii="Times New Roman" w:cs="Times New Roman" w:eastAsia="Times New Roman" w:hAnsi="Times New Roman"/>
                <w:sz w:val="14"/>
                <w:szCs w:val="14"/>
                <w:color w:val="auto"/>
              </w:rPr>
              <w:t>proxy card or voter</w:t>
            </w:r>
          </w:p>
        </w:tc>
        <w:tc>
          <w:tcPr>
            <w:tcW w:w="160" w:type="dxa"/>
            <w:vAlign w:val="bottom"/>
          </w:tcPr>
          <w:p>
            <w:pPr>
              <w:spacing w:after="0"/>
              <w:rPr>
                <w:sz w:val="13"/>
                <w:szCs w:val="13"/>
                <w:color w:val="auto"/>
              </w:rPr>
            </w:pPr>
          </w:p>
        </w:tc>
        <w:tc>
          <w:tcPr>
            <w:tcW w:w="2520" w:type="dxa"/>
            <w:vAlign w:val="bottom"/>
            <w:gridSpan w:val="3"/>
            <w:shd w:val="clear" w:color="auto" w:fill="F2F2F2"/>
          </w:tcPr>
          <w:p>
            <w:pPr>
              <w:jc w:val="center"/>
              <w:ind w:left="68"/>
              <w:spacing w:after="0" w:line="158" w:lineRule="exact"/>
              <w:rPr>
                <w:sz w:val="20"/>
                <w:szCs w:val="20"/>
                <w:color w:val="auto"/>
              </w:rPr>
            </w:pPr>
            <w:r>
              <w:rPr>
                <w:rFonts w:ascii="Times New Roman" w:cs="Times New Roman" w:eastAsia="Times New Roman" w:hAnsi="Times New Roman"/>
                <w:sz w:val="14"/>
                <w:szCs w:val="14"/>
                <w:color w:val="2B7CF4"/>
              </w:rPr>
              <w:t>www.envisionreports.com/LRMR</w:t>
            </w:r>
          </w:p>
        </w:tc>
        <w:tc>
          <w:tcPr>
            <w:tcW w:w="180" w:type="dxa"/>
            <w:vAlign w:val="bottom"/>
          </w:tcPr>
          <w:p>
            <w:pPr>
              <w:spacing w:after="0"/>
              <w:rPr>
                <w:sz w:val="13"/>
                <w:szCs w:val="13"/>
                <w:color w:val="auto"/>
              </w:rPr>
            </w:pPr>
          </w:p>
        </w:tc>
        <w:tc>
          <w:tcPr>
            <w:tcW w:w="2120" w:type="dxa"/>
            <w:vAlign w:val="bottom"/>
            <w:shd w:val="clear" w:color="auto" w:fill="F2F2F2"/>
          </w:tcPr>
          <w:p>
            <w:pPr>
              <w:jc w:val="center"/>
              <w:ind w:left="66"/>
              <w:spacing w:after="0" w:line="158" w:lineRule="exact"/>
              <w:rPr>
                <w:sz w:val="20"/>
                <w:szCs w:val="20"/>
                <w:color w:val="auto"/>
              </w:rPr>
            </w:pPr>
            <w:r>
              <w:rPr>
                <w:rFonts w:ascii="Times New Roman" w:cs="Times New Roman" w:eastAsia="Times New Roman" w:hAnsi="Times New Roman"/>
                <w:sz w:val="14"/>
                <w:szCs w:val="14"/>
                <w:color w:val="auto"/>
              </w:rPr>
              <w:t>United States, U.S.</w:t>
            </w:r>
          </w:p>
        </w:tc>
        <w:tc>
          <w:tcPr>
            <w:tcW w:w="180" w:type="dxa"/>
            <w:vAlign w:val="bottom"/>
          </w:tcPr>
          <w:p>
            <w:pPr>
              <w:spacing w:after="0"/>
              <w:rPr>
                <w:sz w:val="13"/>
                <w:szCs w:val="13"/>
                <w:color w:val="auto"/>
              </w:rPr>
            </w:pPr>
          </w:p>
        </w:tc>
        <w:tc>
          <w:tcPr>
            <w:tcW w:w="480" w:type="dxa"/>
            <w:vAlign w:val="bottom"/>
            <w:shd w:val="clear" w:color="auto" w:fill="F2F2F2"/>
          </w:tcPr>
          <w:p>
            <w:pPr>
              <w:spacing w:after="0"/>
              <w:rPr>
                <w:sz w:val="13"/>
                <w:szCs w:val="13"/>
                <w:color w:val="auto"/>
              </w:rPr>
            </w:pPr>
          </w:p>
        </w:tc>
        <w:tc>
          <w:tcPr>
            <w:tcW w:w="2220" w:type="dxa"/>
            <w:vAlign w:val="bottom"/>
            <w:gridSpan w:val="2"/>
            <w:shd w:val="clear" w:color="auto" w:fill="F2F2F2"/>
          </w:tcPr>
          <w:p>
            <w:pPr>
              <w:jc w:val="center"/>
              <w:ind w:right="480"/>
              <w:spacing w:after="0" w:line="158" w:lineRule="exact"/>
              <w:rPr>
                <w:sz w:val="20"/>
                <w:szCs w:val="20"/>
                <w:color w:val="auto"/>
              </w:rPr>
            </w:pPr>
            <w:r>
              <w:rPr>
                <w:rFonts w:ascii="Times New Roman" w:cs="Times New Roman" w:eastAsia="Times New Roman" w:hAnsi="Times New Roman"/>
                <w:sz w:val="14"/>
                <w:szCs w:val="14"/>
                <w:color w:val="auto"/>
              </w:rPr>
              <w:t>meetnow.global/MWXPCMG</w:t>
            </w:r>
          </w:p>
        </w:tc>
      </w:tr>
      <w:tr>
        <w:trPr>
          <w:trHeight w:val="119"/>
        </w:trPr>
        <w:tc>
          <w:tcPr>
            <w:tcW w:w="1860" w:type="dxa"/>
            <w:vAlign w:val="bottom"/>
            <w:tcBorders>
              <w:top w:val="single" w:sz="8" w:color="F2F2F2"/>
            </w:tcBorders>
            <w:shd w:val="clear" w:color="auto" w:fill="F2F2F2"/>
          </w:tcPr>
          <w:p>
            <w:pPr>
              <w:jc w:val="center"/>
              <w:spacing w:after="0" w:line="119" w:lineRule="exact"/>
              <w:rPr>
                <w:sz w:val="20"/>
                <w:szCs w:val="20"/>
                <w:color w:val="auto"/>
              </w:rPr>
            </w:pPr>
            <w:r>
              <w:rPr>
                <w:rFonts w:ascii="Times New Roman" w:cs="Times New Roman" w:eastAsia="Times New Roman" w:hAnsi="Times New Roman"/>
                <w:sz w:val="13"/>
                <w:szCs w:val="13"/>
                <w:color w:val="auto"/>
              </w:rPr>
              <w:t>instruction card.</w:t>
            </w:r>
          </w:p>
        </w:tc>
        <w:tc>
          <w:tcPr>
            <w:tcW w:w="160" w:type="dxa"/>
            <w:vAlign w:val="bottom"/>
          </w:tcPr>
          <w:p>
            <w:pPr>
              <w:spacing w:after="0"/>
              <w:rPr>
                <w:sz w:val="10"/>
                <w:szCs w:val="10"/>
                <w:color w:val="auto"/>
              </w:rPr>
            </w:pPr>
          </w:p>
        </w:tc>
        <w:tc>
          <w:tcPr>
            <w:tcW w:w="340" w:type="dxa"/>
            <w:vAlign w:val="bottom"/>
            <w:tcBorders>
              <w:top w:val="single" w:sz="8" w:color="F2F2F2"/>
            </w:tcBorders>
            <w:shd w:val="clear" w:color="auto" w:fill="F2F2F2"/>
          </w:tcPr>
          <w:p>
            <w:pPr>
              <w:spacing w:after="0"/>
              <w:rPr>
                <w:sz w:val="10"/>
                <w:szCs w:val="10"/>
                <w:color w:val="auto"/>
              </w:rPr>
            </w:pPr>
          </w:p>
        </w:tc>
        <w:tc>
          <w:tcPr>
            <w:tcW w:w="1980" w:type="dxa"/>
            <w:vAlign w:val="bottom"/>
            <w:tcBorders>
              <w:top w:val="single" w:sz="8" w:color="2B7CF4"/>
            </w:tcBorders>
            <w:shd w:val="clear" w:color="auto" w:fill="F2F2F2"/>
          </w:tcPr>
          <w:p>
            <w:pPr>
              <w:spacing w:after="0"/>
              <w:rPr>
                <w:sz w:val="10"/>
                <w:szCs w:val="10"/>
                <w:color w:val="auto"/>
              </w:rPr>
            </w:pPr>
          </w:p>
        </w:tc>
        <w:tc>
          <w:tcPr>
            <w:tcW w:w="200" w:type="dxa"/>
            <w:vAlign w:val="bottom"/>
            <w:tcBorders>
              <w:top w:val="single" w:sz="8" w:color="F2F2F2"/>
            </w:tcBorders>
            <w:shd w:val="clear" w:color="auto" w:fill="F2F2F2"/>
          </w:tcPr>
          <w:p>
            <w:pPr>
              <w:spacing w:after="0"/>
              <w:rPr>
                <w:sz w:val="10"/>
                <w:szCs w:val="10"/>
                <w:color w:val="auto"/>
              </w:rPr>
            </w:pPr>
          </w:p>
        </w:tc>
        <w:tc>
          <w:tcPr>
            <w:tcW w:w="180" w:type="dxa"/>
            <w:vAlign w:val="bottom"/>
          </w:tcPr>
          <w:p>
            <w:pPr>
              <w:spacing w:after="0"/>
              <w:rPr>
                <w:sz w:val="10"/>
                <w:szCs w:val="10"/>
                <w:color w:val="auto"/>
              </w:rPr>
            </w:pPr>
          </w:p>
        </w:tc>
        <w:tc>
          <w:tcPr>
            <w:tcW w:w="2120" w:type="dxa"/>
            <w:vAlign w:val="bottom"/>
            <w:tcBorders>
              <w:top w:val="single" w:sz="8" w:color="F2F2F2"/>
            </w:tcBorders>
            <w:shd w:val="clear" w:color="auto" w:fill="F2F2F2"/>
          </w:tcPr>
          <w:p>
            <w:pPr>
              <w:jc w:val="center"/>
              <w:ind w:left="46"/>
              <w:spacing w:after="0" w:line="119" w:lineRule="exact"/>
              <w:rPr>
                <w:sz w:val="20"/>
                <w:szCs w:val="20"/>
                <w:color w:val="auto"/>
              </w:rPr>
            </w:pPr>
            <w:r>
              <w:rPr>
                <w:rFonts w:ascii="Times New Roman" w:cs="Times New Roman" w:eastAsia="Times New Roman" w:hAnsi="Times New Roman"/>
                <w:sz w:val="13"/>
                <w:szCs w:val="13"/>
                <w:color w:val="auto"/>
              </w:rPr>
              <w:t>territories and</w:t>
            </w:r>
          </w:p>
        </w:tc>
        <w:tc>
          <w:tcPr>
            <w:tcW w:w="180" w:type="dxa"/>
            <w:vAlign w:val="bottom"/>
          </w:tcPr>
          <w:p>
            <w:pPr>
              <w:spacing w:after="0"/>
              <w:rPr>
                <w:sz w:val="10"/>
                <w:szCs w:val="10"/>
                <w:color w:val="auto"/>
              </w:rPr>
            </w:pPr>
          </w:p>
        </w:tc>
        <w:tc>
          <w:tcPr>
            <w:tcW w:w="480" w:type="dxa"/>
            <w:vAlign w:val="bottom"/>
            <w:tcBorders>
              <w:top w:val="single" w:sz="8" w:color="F2F2F2"/>
            </w:tcBorders>
            <w:shd w:val="clear" w:color="auto" w:fill="F2F2F2"/>
          </w:tcPr>
          <w:p>
            <w:pPr>
              <w:spacing w:after="0"/>
              <w:rPr>
                <w:sz w:val="10"/>
                <w:szCs w:val="10"/>
                <w:color w:val="auto"/>
              </w:rPr>
            </w:pPr>
          </w:p>
        </w:tc>
        <w:tc>
          <w:tcPr>
            <w:tcW w:w="1740" w:type="dxa"/>
            <w:vAlign w:val="bottom"/>
            <w:tcBorders>
              <w:top w:val="single" w:sz="8" w:color="auto"/>
            </w:tcBorders>
            <w:shd w:val="clear" w:color="auto" w:fill="F2F2F2"/>
          </w:tcPr>
          <w:p>
            <w:pPr>
              <w:spacing w:after="0"/>
              <w:rPr>
                <w:sz w:val="10"/>
                <w:szCs w:val="10"/>
                <w:color w:val="auto"/>
              </w:rPr>
            </w:pPr>
          </w:p>
        </w:tc>
        <w:tc>
          <w:tcPr>
            <w:tcW w:w="480" w:type="dxa"/>
            <w:vAlign w:val="bottom"/>
            <w:tcBorders>
              <w:top w:val="single" w:sz="8" w:color="F2F2F2"/>
            </w:tcBorders>
            <w:shd w:val="clear" w:color="auto" w:fill="F2F2F2"/>
          </w:tcPr>
          <w:p>
            <w:pPr>
              <w:spacing w:after="0"/>
              <w:rPr>
                <w:sz w:val="10"/>
                <w:szCs w:val="10"/>
                <w:color w:val="auto"/>
              </w:rPr>
            </w:pPr>
          </w:p>
        </w:tc>
      </w:tr>
      <w:tr>
        <w:trPr>
          <w:trHeight w:val="149"/>
        </w:trPr>
        <w:tc>
          <w:tcPr>
            <w:tcW w:w="1860" w:type="dxa"/>
            <w:vAlign w:val="bottom"/>
            <w:shd w:val="clear" w:color="auto" w:fill="F2F2F2"/>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shd w:val="clear" w:color="auto" w:fill="F2F2F2"/>
          </w:tcPr>
          <w:p>
            <w:pPr>
              <w:spacing w:after="0"/>
              <w:rPr>
                <w:sz w:val="12"/>
                <w:szCs w:val="12"/>
                <w:color w:val="auto"/>
              </w:rPr>
            </w:pPr>
          </w:p>
        </w:tc>
        <w:tc>
          <w:tcPr>
            <w:tcW w:w="1980" w:type="dxa"/>
            <w:vAlign w:val="bottom"/>
            <w:shd w:val="clear" w:color="auto" w:fill="F2F2F2"/>
          </w:tcPr>
          <w:p>
            <w:pPr>
              <w:spacing w:after="0"/>
              <w:rPr>
                <w:sz w:val="12"/>
                <w:szCs w:val="12"/>
                <w:color w:val="auto"/>
              </w:rPr>
            </w:pPr>
          </w:p>
        </w:tc>
        <w:tc>
          <w:tcPr>
            <w:tcW w:w="200" w:type="dxa"/>
            <w:vAlign w:val="bottom"/>
            <w:shd w:val="clear" w:color="auto" w:fill="F2F2F2"/>
          </w:tcPr>
          <w:p>
            <w:pPr>
              <w:spacing w:after="0"/>
              <w:rPr>
                <w:sz w:val="12"/>
                <w:szCs w:val="12"/>
                <w:color w:val="auto"/>
              </w:rPr>
            </w:pPr>
          </w:p>
        </w:tc>
        <w:tc>
          <w:tcPr>
            <w:tcW w:w="180" w:type="dxa"/>
            <w:vAlign w:val="bottom"/>
          </w:tcPr>
          <w:p>
            <w:pPr>
              <w:spacing w:after="0"/>
              <w:rPr>
                <w:sz w:val="12"/>
                <w:szCs w:val="12"/>
                <w:color w:val="auto"/>
              </w:rPr>
            </w:pPr>
          </w:p>
        </w:tc>
        <w:tc>
          <w:tcPr>
            <w:tcW w:w="2120" w:type="dxa"/>
            <w:vAlign w:val="bottom"/>
            <w:shd w:val="clear" w:color="auto" w:fill="F2F2F2"/>
          </w:tcPr>
          <w:p>
            <w:pPr>
              <w:jc w:val="center"/>
              <w:ind w:left="66"/>
              <w:spacing w:after="0" w:line="149" w:lineRule="exact"/>
              <w:rPr>
                <w:sz w:val="20"/>
                <w:szCs w:val="20"/>
                <w:color w:val="auto"/>
              </w:rPr>
            </w:pPr>
            <w:r>
              <w:rPr>
                <w:rFonts w:ascii="Times New Roman" w:cs="Times New Roman" w:eastAsia="Times New Roman" w:hAnsi="Times New Roman"/>
                <w:sz w:val="14"/>
                <w:szCs w:val="14"/>
                <w:color w:val="auto"/>
              </w:rPr>
              <w:t>Canada to</w:t>
            </w:r>
          </w:p>
        </w:tc>
        <w:tc>
          <w:tcPr>
            <w:tcW w:w="180" w:type="dxa"/>
            <w:vAlign w:val="bottom"/>
          </w:tcPr>
          <w:p>
            <w:pPr>
              <w:spacing w:after="0"/>
              <w:rPr>
                <w:sz w:val="12"/>
                <w:szCs w:val="12"/>
                <w:color w:val="auto"/>
              </w:rPr>
            </w:pPr>
          </w:p>
        </w:tc>
        <w:tc>
          <w:tcPr>
            <w:tcW w:w="480" w:type="dxa"/>
            <w:vAlign w:val="bottom"/>
            <w:shd w:val="clear" w:color="auto" w:fill="F2F2F2"/>
          </w:tcPr>
          <w:p>
            <w:pPr>
              <w:spacing w:after="0"/>
              <w:rPr>
                <w:sz w:val="12"/>
                <w:szCs w:val="12"/>
                <w:color w:val="auto"/>
              </w:rPr>
            </w:pPr>
          </w:p>
        </w:tc>
        <w:tc>
          <w:tcPr>
            <w:tcW w:w="1740" w:type="dxa"/>
            <w:vAlign w:val="bottom"/>
            <w:shd w:val="clear" w:color="auto" w:fill="F2F2F2"/>
          </w:tcPr>
          <w:p>
            <w:pPr>
              <w:spacing w:after="0"/>
              <w:rPr>
                <w:sz w:val="12"/>
                <w:szCs w:val="12"/>
                <w:color w:val="auto"/>
              </w:rPr>
            </w:pPr>
          </w:p>
        </w:tc>
        <w:tc>
          <w:tcPr>
            <w:tcW w:w="480" w:type="dxa"/>
            <w:vAlign w:val="bottom"/>
            <w:shd w:val="clear" w:color="auto" w:fill="F2F2F2"/>
          </w:tcPr>
          <w:p>
            <w:pPr>
              <w:spacing w:after="0"/>
              <w:rPr>
                <w:sz w:val="12"/>
                <w:szCs w:val="12"/>
                <w:color w:val="auto"/>
              </w:rPr>
            </w:pPr>
          </w:p>
        </w:tc>
      </w:tr>
      <w:tr>
        <w:trPr>
          <w:trHeight w:val="188"/>
        </w:trPr>
        <w:tc>
          <w:tcPr>
            <w:tcW w:w="186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shd w:val="clear" w:color="auto" w:fill="F2F2F2"/>
          </w:tcPr>
          <w:p>
            <w:pPr>
              <w:spacing w:after="0"/>
              <w:rPr>
                <w:sz w:val="16"/>
                <w:szCs w:val="16"/>
                <w:color w:val="auto"/>
              </w:rPr>
            </w:pPr>
          </w:p>
        </w:tc>
        <w:tc>
          <w:tcPr>
            <w:tcW w:w="1980" w:type="dxa"/>
            <w:vAlign w:val="bottom"/>
            <w:shd w:val="clear" w:color="auto" w:fill="F2F2F2"/>
          </w:tcPr>
          <w:p>
            <w:pPr>
              <w:spacing w:after="0"/>
              <w:rPr>
                <w:sz w:val="16"/>
                <w:szCs w:val="16"/>
                <w:color w:val="auto"/>
              </w:rPr>
            </w:pPr>
          </w:p>
        </w:tc>
        <w:tc>
          <w:tcPr>
            <w:tcW w:w="200" w:type="dxa"/>
            <w:vAlign w:val="bottom"/>
            <w:shd w:val="clear" w:color="auto" w:fill="F2F2F2"/>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shd w:val="clear" w:color="auto" w:fill="F2F2F2"/>
          </w:tcPr>
          <w:p>
            <w:pPr>
              <w:jc w:val="center"/>
              <w:ind w:left="66"/>
              <w:spacing w:after="0"/>
              <w:rPr>
                <w:sz w:val="20"/>
                <w:szCs w:val="20"/>
                <w:color w:val="auto"/>
              </w:rPr>
            </w:pPr>
            <w:r>
              <w:rPr>
                <w:rFonts w:ascii="Times New Roman" w:cs="Times New Roman" w:eastAsia="Times New Roman" w:hAnsi="Times New Roman"/>
                <w:sz w:val="14"/>
                <w:szCs w:val="14"/>
                <w:color w:val="auto"/>
              </w:rPr>
              <w:t>1-800-652-8683</w:t>
            </w:r>
          </w:p>
        </w:tc>
        <w:tc>
          <w:tcPr>
            <w:tcW w:w="180" w:type="dxa"/>
            <w:vAlign w:val="bottom"/>
          </w:tcPr>
          <w:p>
            <w:pPr>
              <w:spacing w:after="0"/>
              <w:rPr>
                <w:sz w:val="16"/>
                <w:szCs w:val="16"/>
                <w:color w:val="auto"/>
              </w:rPr>
            </w:pPr>
          </w:p>
        </w:tc>
        <w:tc>
          <w:tcPr>
            <w:tcW w:w="480" w:type="dxa"/>
            <w:vAlign w:val="bottom"/>
            <w:shd w:val="clear" w:color="auto" w:fill="F2F2F2"/>
          </w:tcPr>
          <w:p>
            <w:pPr>
              <w:spacing w:after="0"/>
              <w:rPr>
                <w:sz w:val="16"/>
                <w:szCs w:val="16"/>
                <w:color w:val="auto"/>
              </w:rPr>
            </w:pPr>
          </w:p>
        </w:tc>
        <w:tc>
          <w:tcPr>
            <w:tcW w:w="1740" w:type="dxa"/>
            <w:vAlign w:val="bottom"/>
            <w:shd w:val="clear" w:color="auto" w:fill="F2F2F2"/>
          </w:tcPr>
          <w:p>
            <w:pPr>
              <w:spacing w:after="0"/>
              <w:rPr>
                <w:sz w:val="16"/>
                <w:szCs w:val="16"/>
                <w:color w:val="auto"/>
              </w:rPr>
            </w:pPr>
          </w:p>
        </w:tc>
        <w:tc>
          <w:tcPr>
            <w:tcW w:w="480" w:type="dxa"/>
            <w:vAlign w:val="bottom"/>
            <w:shd w:val="clear" w:color="auto" w:fill="F2F2F2"/>
          </w:tcPr>
          <w:p>
            <w:pPr>
              <w:spacing w:after="0"/>
              <w:rPr>
                <w:sz w:val="16"/>
                <w:szCs w:val="16"/>
                <w:color w:val="auto"/>
              </w:rPr>
            </w:pPr>
          </w:p>
        </w:tc>
      </w:tr>
      <w:tr>
        <w:trPr>
          <w:trHeight w:val="37"/>
        </w:trPr>
        <w:tc>
          <w:tcPr>
            <w:tcW w:w="1860" w:type="dxa"/>
            <w:vAlign w:val="bottom"/>
            <w:shd w:val="clear" w:color="auto" w:fill="F2F2F2"/>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shd w:val="clear" w:color="auto" w:fill="F2F2F2"/>
          </w:tcPr>
          <w:p>
            <w:pPr>
              <w:spacing w:after="0"/>
              <w:rPr>
                <w:sz w:val="3"/>
                <w:szCs w:val="3"/>
                <w:color w:val="auto"/>
              </w:rPr>
            </w:pPr>
          </w:p>
        </w:tc>
        <w:tc>
          <w:tcPr>
            <w:tcW w:w="1980" w:type="dxa"/>
            <w:vAlign w:val="bottom"/>
            <w:shd w:val="clear" w:color="auto" w:fill="F2F2F2"/>
          </w:tcPr>
          <w:p>
            <w:pPr>
              <w:spacing w:after="0"/>
              <w:rPr>
                <w:sz w:val="3"/>
                <w:szCs w:val="3"/>
                <w:color w:val="auto"/>
              </w:rPr>
            </w:pPr>
          </w:p>
        </w:tc>
        <w:tc>
          <w:tcPr>
            <w:tcW w:w="200" w:type="dxa"/>
            <w:vAlign w:val="bottom"/>
            <w:shd w:val="clear" w:color="auto" w:fill="F2F2F2"/>
          </w:tcPr>
          <w:p>
            <w:pPr>
              <w:spacing w:after="0"/>
              <w:rPr>
                <w:sz w:val="3"/>
                <w:szCs w:val="3"/>
                <w:color w:val="auto"/>
              </w:rPr>
            </w:pPr>
          </w:p>
        </w:tc>
        <w:tc>
          <w:tcPr>
            <w:tcW w:w="180" w:type="dxa"/>
            <w:vAlign w:val="bottom"/>
          </w:tcPr>
          <w:p>
            <w:pPr>
              <w:spacing w:after="0"/>
              <w:rPr>
                <w:sz w:val="3"/>
                <w:szCs w:val="3"/>
                <w:color w:val="auto"/>
              </w:rPr>
            </w:pPr>
          </w:p>
        </w:tc>
        <w:tc>
          <w:tcPr>
            <w:tcW w:w="2120" w:type="dxa"/>
            <w:vAlign w:val="bottom"/>
            <w:shd w:val="clear" w:color="auto" w:fill="F2F2F2"/>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shd w:val="clear" w:color="auto" w:fill="F2F2F2"/>
          </w:tcPr>
          <w:p>
            <w:pPr>
              <w:spacing w:after="0"/>
              <w:rPr>
                <w:sz w:val="3"/>
                <w:szCs w:val="3"/>
                <w:color w:val="auto"/>
              </w:rPr>
            </w:pPr>
          </w:p>
        </w:tc>
        <w:tc>
          <w:tcPr>
            <w:tcW w:w="1740" w:type="dxa"/>
            <w:vAlign w:val="bottom"/>
            <w:shd w:val="clear" w:color="auto" w:fill="F2F2F2"/>
          </w:tcPr>
          <w:p>
            <w:pPr>
              <w:spacing w:after="0"/>
              <w:rPr>
                <w:sz w:val="3"/>
                <w:szCs w:val="3"/>
                <w:color w:val="auto"/>
              </w:rPr>
            </w:pPr>
          </w:p>
        </w:tc>
        <w:tc>
          <w:tcPr>
            <w:tcW w:w="480" w:type="dxa"/>
            <w:vAlign w:val="bottom"/>
            <w:shd w:val="clear" w:color="auto" w:fill="F2F2F2"/>
          </w:tcPr>
          <w:p>
            <w:pPr>
              <w:spacing w:after="0"/>
              <w:rPr>
                <w:sz w:val="3"/>
                <w:szCs w:val="3"/>
                <w:color w:val="auto"/>
              </w:rPr>
            </w:pPr>
          </w:p>
        </w:tc>
      </w:tr>
    </w:tbl>
    <w:p>
      <w:pPr>
        <w:spacing w:after="0" w:line="200" w:lineRule="exact"/>
        <w:rPr>
          <w:sz w:val="20"/>
          <w:szCs w:val="20"/>
          <w:color w:val="auto"/>
        </w:rPr>
      </w:pPr>
    </w:p>
    <w:p>
      <w:pPr>
        <w:spacing w:after="0" w:line="331" w:lineRule="exact"/>
        <w:rPr>
          <w:sz w:val="20"/>
          <w:szCs w:val="20"/>
          <w:color w:val="auto"/>
        </w:rPr>
      </w:pPr>
    </w:p>
    <w:p>
      <w:pPr>
        <w:jc w:val="right"/>
        <w:spacing w:after="0"/>
        <w:tabs>
          <w:tab w:leader="none" w:pos="6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w:t>
      </w:r>
      <w:r>
        <w:rPr>
          <w:sz w:val="20"/>
          <w:szCs w:val="20"/>
          <w:color w:val="auto"/>
        </w:rPr>
        <w:tab/>
      </w:r>
      <w:r>
        <w:rPr>
          <w:rFonts w:ascii="Times New Roman" w:cs="Times New Roman" w:eastAsia="Times New Roman" w:hAnsi="Times New Roman"/>
          <w:sz w:val="16"/>
          <w:szCs w:val="16"/>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986" w:right="1099" w:bottom="1440" w:gutter="0" w:footer="0" w:header="0"/>
        </w:sectPr>
      </w:pPr>
    </w:p>
    <w:bookmarkStart w:id="12" w:name="page13"/>
    <w:bookmarkEnd w:id="12"/>
    <w:p>
      <w:pPr>
        <w:ind w:left="760"/>
        <w:spacing w:after="0"/>
        <w:rPr>
          <w:sz w:val="20"/>
          <w:szCs w:val="20"/>
          <w:color w:val="auto"/>
        </w:rPr>
      </w:pPr>
      <w:r>
        <w:rPr>
          <w:rFonts w:ascii="Times New Roman" w:cs="Times New Roman" w:eastAsia="Times New Roman" w:hAnsi="Times New Roman"/>
          <w:sz w:val="22"/>
          <w:szCs w:val="22"/>
          <w:b w:val="1"/>
          <w:bCs w:val="1"/>
          <w:color w:val="auto"/>
        </w:rPr>
        <w:t>GENERAL INFORMATION ABOUT THE MEETING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-147320</wp:posOffset>
            </wp:positionV>
            <wp:extent cx="617220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72200" cy="171450"/>
                    </a:xfrm>
                    <a:prstGeom prst="rect">
                      <a:avLst/>
                    </a:prstGeom>
                    <a:noFill/>
                  </pic:spPr>
                </pic:pic>
              </a:graphicData>
            </a:graphic>
          </wp:anchor>
        </w:drawing>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HOW YOUR SHARES WILL BE VOTED</w:t>
      </w:r>
    </w:p>
    <w:p>
      <w:pPr>
        <w:spacing w:after="0" w:line="189" w:lineRule="exact"/>
        <w:rPr>
          <w:sz w:val="20"/>
          <w:szCs w:val="20"/>
          <w:color w:val="auto"/>
        </w:rPr>
      </w:pPr>
    </w:p>
    <w:p>
      <w:pPr>
        <w:jc w:val="both"/>
        <w:ind w:left="660" w:right="660"/>
        <w:spacing w:after="0" w:line="266" w:lineRule="auto"/>
        <w:rPr>
          <w:sz w:val="20"/>
          <w:szCs w:val="20"/>
          <w:color w:val="auto"/>
        </w:rPr>
      </w:pPr>
      <w:r>
        <w:rPr>
          <w:rFonts w:ascii="Times New Roman" w:cs="Times New Roman" w:eastAsia="Times New Roman" w:hAnsi="Times New Roman"/>
          <w:sz w:val="18"/>
          <w:szCs w:val="18"/>
          <w:color w:val="auto"/>
        </w:rPr>
        <w:t>In each case, your shares will be voted as you instruct. If you return a signed card, but do not provide voting instructions, your shares will be voted FOR each of the proposals. If you are the record holder of your shares, you may revoke or change your vote any time before the proxy is exercised. To do so, you must do one of the following:</w:t>
      </w:r>
    </w:p>
    <w:p>
      <w:pPr>
        <w:spacing w:after="0" w:line="149" w:lineRule="exact"/>
        <w:rPr>
          <w:sz w:val="20"/>
          <w:szCs w:val="20"/>
          <w:color w:val="auto"/>
        </w:rPr>
      </w:pPr>
    </w:p>
    <w:p>
      <w:pPr>
        <w:jc w:val="both"/>
        <w:ind w:left="2100" w:right="660" w:hanging="658"/>
        <w:spacing w:after="0" w:line="257" w:lineRule="auto"/>
        <w:tabs>
          <w:tab w:leader="none" w:pos="2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over the Internet or by telephone as instructed above. Only your latest Internet or telephone vote is counted. You may not revoke or change your vote over the Internet or by telephone after 11:59 p.m., Eastern Time, on May 18, 2026.</w:t>
      </w:r>
    </w:p>
    <w:p>
      <w:pPr>
        <w:spacing w:after="0" w:line="1" w:lineRule="exact"/>
        <w:rPr>
          <w:rFonts w:ascii="Times New Roman" w:cs="Times New Roman" w:eastAsia="Times New Roman" w:hAnsi="Times New Roman"/>
          <w:sz w:val="18"/>
          <w:szCs w:val="18"/>
          <w:color w:val="auto"/>
        </w:rPr>
      </w:pPr>
    </w:p>
    <w:p>
      <w:pPr>
        <w:ind w:left="2100" w:right="660" w:hanging="658"/>
        <w:spacing w:after="0" w:line="250" w:lineRule="auto"/>
        <w:tabs>
          <w:tab w:leader="none" w:pos="2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a new proxy card and submit it by mail, which must be received no later than May 18, 2026. Only your latest dated proxy card will be counted.</w:t>
      </w:r>
    </w:p>
    <w:p>
      <w:pPr>
        <w:ind w:left="2100" w:hanging="658"/>
        <w:spacing w:after="0"/>
        <w:tabs>
          <w:tab w:leader="none" w:pos="2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our Secretary written notice before or during the meeting that you want to revoke your proxy.</w:t>
      </w:r>
    </w:p>
    <w:p>
      <w:pPr>
        <w:spacing w:after="0" w:line="9" w:lineRule="exact"/>
        <w:rPr>
          <w:rFonts w:ascii="Times New Roman" w:cs="Times New Roman" w:eastAsia="Times New Roman" w:hAnsi="Times New Roman"/>
          <w:sz w:val="18"/>
          <w:szCs w:val="18"/>
          <w:color w:val="auto"/>
        </w:rPr>
      </w:pPr>
    </w:p>
    <w:p>
      <w:pPr>
        <w:ind w:left="2100" w:right="660" w:hanging="658"/>
        <w:spacing w:after="0" w:line="260" w:lineRule="auto"/>
        <w:tabs>
          <w:tab w:leader="none" w:pos="2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Virtually attend the Annual Meeting at meetnow.global/MWXPCMG. Virtually attending the Annual Meeting will not by itself revoke a previously granted proxy.</w:t>
      </w:r>
    </w:p>
    <w:p>
      <w:pPr>
        <w:spacing w:after="0" w:line="141" w:lineRule="exact"/>
        <w:rPr>
          <w:sz w:val="20"/>
          <w:szCs w:val="20"/>
          <w:color w:val="auto"/>
        </w:rPr>
      </w:pPr>
    </w:p>
    <w:p>
      <w:pPr>
        <w:jc w:val="both"/>
        <w:ind w:left="660" w:right="660"/>
        <w:spacing w:after="0" w:line="266" w:lineRule="auto"/>
        <w:rPr>
          <w:sz w:val="20"/>
          <w:szCs w:val="20"/>
          <w:color w:val="auto"/>
        </w:rPr>
      </w:pPr>
      <w:r>
        <w:rPr>
          <w:rFonts w:ascii="Times New Roman" w:cs="Times New Roman" w:eastAsia="Times New Roman" w:hAnsi="Times New Roman"/>
          <w:sz w:val="18"/>
          <w:szCs w:val="18"/>
          <w:color w:val="auto"/>
        </w:rPr>
        <w:t>If your shares are held by your broker, bank or other holder of record as a nominee or agent (i.e., the shares are held in “street name”), and you wish to vote at the Annual Meeting, you should follow the instructions provided by your broker, bank or other holder of record in order to obtain a proxy form from the institution that holds your shares.</w:t>
      </w:r>
    </w:p>
    <w:p>
      <w:pPr>
        <w:spacing w:after="0" w:line="135" w:lineRule="exact"/>
        <w:rPr>
          <w:sz w:val="20"/>
          <w:szCs w:val="20"/>
          <w:color w:val="auto"/>
        </w:rPr>
      </w:pPr>
    </w:p>
    <w:p>
      <w:pPr>
        <w:jc w:val="both"/>
        <w:ind w:left="660" w:right="660"/>
        <w:spacing w:after="0" w:line="266" w:lineRule="auto"/>
        <w:rPr>
          <w:sz w:val="20"/>
          <w:szCs w:val="20"/>
          <w:color w:val="auto"/>
        </w:rPr>
      </w:pPr>
      <w:r>
        <w:rPr>
          <w:rFonts w:ascii="Times New Roman" w:cs="Times New Roman" w:eastAsia="Times New Roman" w:hAnsi="Times New Roman"/>
          <w:sz w:val="18"/>
          <w:szCs w:val="18"/>
          <w:color w:val="auto"/>
        </w:rPr>
        <w:t>Deadline for Voting. The deadline for voting by telephone or Internet, other than by virtually attending the Annual Meeting, is 11:59 p.m. Eastern Time on May 18, 2026. If you are a registered stockholder and virtually attend the Annual Meeting, you may deliver your vote online during the Annual Meeting.</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BROKER VOTING AND VOTES REQUIRED FOR EACH PROPOSAL</w:t>
      </w:r>
    </w:p>
    <w:p>
      <w:pPr>
        <w:spacing w:after="0" w:line="189" w:lineRule="exact"/>
        <w:rPr>
          <w:sz w:val="20"/>
          <w:szCs w:val="20"/>
          <w:color w:val="auto"/>
        </w:rPr>
      </w:pPr>
    </w:p>
    <w:p>
      <w:pPr>
        <w:jc w:val="both"/>
        <w:ind w:left="660" w:right="660"/>
        <w:spacing w:after="0" w:line="258" w:lineRule="auto"/>
        <w:rPr>
          <w:sz w:val="20"/>
          <w:szCs w:val="20"/>
          <w:color w:val="auto"/>
        </w:rPr>
      </w:pPr>
      <w:r>
        <w:rPr>
          <w:rFonts w:ascii="Times New Roman" w:cs="Times New Roman" w:eastAsia="Times New Roman" w:hAnsi="Times New Roman"/>
          <w:sz w:val="18"/>
          <w:szCs w:val="18"/>
          <w:color w:val="auto"/>
        </w:rPr>
        <w:t>If your shares are held in a stock brokerage account or by a bank or other holder of record, you are considered the “beneficial owner” of shares held in street name. The Notice has been forwarded to you by your broker, bank or other holder of record who is considered the stockholder of record of those shares. As the beneficial owner, you may direct your broker, bank or other holder of record on how to vote your shares by using the proxy card included in the materials made available or by following their instructions for voting on the Internet.</w:t>
      </w:r>
    </w:p>
    <w:p>
      <w:pPr>
        <w:spacing w:after="0" w:line="183" w:lineRule="exact"/>
        <w:rPr>
          <w:sz w:val="20"/>
          <w:szCs w:val="20"/>
          <w:color w:val="auto"/>
        </w:rPr>
      </w:pPr>
    </w:p>
    <w:p>
      <w:pPr>
        <w:jc w:val="both"/>
        <w:ind w:left="660" w:right="660"/>
        <w:spacing w:after="0" w:line="266" w:lineRule="auto"/>
        <w:rPr>
          <w:sz w:val="20"/>
          <w:szCs w:val="20"/>
          <w:color w:val="auto"/>
        </w:rPr>
      </w:pPr>
      <w:r>
        <w:rPr>
          <w:rFonts w:ascii="Times New Roman" w:cs="Times New Roman" w:eastAsia="Times New Roman" w:hAnsi="Times New Roman"/>
          <w:sz w:val="18"/>
          <w:szCs w:val="18"/>
          <w:color w:val="auto"/>
        </w:rPr>
        <w:t>A broker non-vote occurs when a broker or other nominee that holds shares for another does not vote on a particular item because the nominee does not have discretionary voting authority for that item and has not received instructions from the beneficial owner of the shares. The following table summarizes how broker non-votes and abstentions are treated with respect to our proposals: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Borders>
              <w:right w:val="single" w:sz="8" w:color="auto"/>
            </w:tcBorders>
          </w:tcPr>
          <w:p>
            <w:pPr>
              <w:spacing w:after="0"/>
              <w:rPr>
                <w:sz w:val="18"/>
                <w:szCs w:val="18"/>
                <w:color w:val="auto"/>
              </w:rPr>
            </w:pPr>
          </w:p>
        </w:tc>
        <w:tc>
          <w:tcPr>
            <w:tcW w:w="3400" w:type="dxa"/>
            <w:vAlign w:val="bottom"/>
            <w:tcBorders>
              <w:top w:val="single" w:sz="8" w:color="auto"/>
            </w:tcBorders>
            <w:shd w:val="clear" w:color="auto" w:fill="4DC1E4"/>
          </w:tcPr>
          <w:p>
            <w:pPr>
              <w:spacing w:after="0"/>
              <w:rPr>
                <w:sz w:val="18"/>
                <w:szCs w:val="18"/>
                <w:color w:val="auto"/>
              </w:rPr>
            </w:pPr>
          </w:p>
        </w:tc>
        <w:tc>
          <w:tcPr>
            <w:tcW w:w="1760" w:type="dxa"/>
            <w:vAlign w:val="bottom"/>
            <w:tcBorders>
              <w:top w:val="single" w:sz="8" w:color="auto"/>
            </w:tcBorders>
            <w:shd w:val="clear" w:color="auto" w:fill="4DC1E4"/>
          </w:tcPr>
          <w:p>
            <w:pPr>
              <w:spacing w:after="0"/>
              <w:rPr>
                <w:sz w:val="18"/>
                <w:szCs w:val="18"/>
                <w:color w:val="auto"/>
              </w:rPr>
            </w:pPr>
          </w:p>
        </w:tc>
        <w:tc>
          <w:tcPr>
            <w:tcW w:w="3120" w:type="dxa"/>
            <w:vAlign w:val="bottom"/>
            <w:tcBorders>
              <w:top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rPr>
              <w:t>T</w:t>
            </w:r>
            <w:r>
              <w:rPr>
                <w:rFonts w:ascii="Times New Roman" w:cs="Times New Roman" w:eastAsia="Times New Roman" w:hAnsi="Times New Roman"/>
                <w:sz w:val="13"/>
                <w:szCs w:val="13"/>
                <w:b w:val="1"/>
                <w:bCs w:val="1"/>
                <w:color w:val="FFFFFF"/>
              </w:rPr>
              <w:t>REATMENT</w:t>
            </w:r>
            <w:r>
              <w:rPr>
                <w:rFonts w:ascii="Times New Roman" w:cs="Times New Roman" w:eastAsia="Times New Roman" w:hAnsi="Times New Roman"/>
                <w:sz w:val="18"/>
                <w:szCs w:val="18"/>
                <w:b w:val="1"/>
                <w:bCs w:val="1"/>
                <w:color w:val="FFFFFF"/>
              </w:rPr>
              <w:t xml:space="preserve"> O</w:t>
            </w:r>
            <w:r>
              <w:rPr>
                <w:rFonts w:ascii="Times New Roman" w:cs="Times New Roman" w:eastAsia="Times New Roman" w:hAnsi="Times New Roman"/>
                <w:sz w:val="13"/>
                <w:szCs w:val="13"/>
                <w:b w:val="1"/>
                <w:bCs w:val="1"/>
                <w:color w:val="FFFFFF"/>
              </w:rPr>
              <w:t>F</w:t>
            </w:r>
          </w:p>
        </w:tc>
        <w:tc>
          <w:tcPr>
            <w:tcW w:w="1120" w:type="dxa"/>
            <w:vAlign w:val="bottom"/>
            <w:tcBorders>
              <w:top w:val="single" w:sz="8" w:color="auto"/>
            </w:tcBorders>
            <w:shd w:val="clear" w:color="auto" w:fill="4DC1E4"/>
          </w:tcPr>
          <w:p>
            <w:pPr>
              <w:spacing w:after="0"/>
              <w:rPr>
                <w:sz w:val="18"/>
                <w:szCs w:val="18"/>
                <w:color w:val="auto"/>
              </w:rPr>
            </w:pPr>
          </w:p>
        </w:tc>
        <w:tc>
          <w:tcPr>
            <w:tcW w:w="20" w:type="dxa"/>
            <w:vAlign w:val="bottom"/>
            <w:tcBorders>
              <w:top w:val="single" w:sz="8" w:color="auto"/>
            </w:tcBorders>
            <w:shd w:val="clear" w:color="auto" w:fill="4DC1E4"/>
          </w:tcPr>
          <w:p>
            <w:pPr>
              <w:spacing w:after="0"/>
              <w:rPr>
                <w:sz w:val="18"/>
                <w:szCs w:val="18"/>
                <w:color w:val="auto"/>
              </w:rPr>
            </w:pPr>
          </w:p>
        </w:tc>
        <w:tc>
          <w:tcPr>
            <w:tcW w:w="300" w:type="dxa"/>
            <w:vAlign w:val="bottom"/>
            <w:tcBorders>
              <w:top w:val="single" w:sz="8" w:color="auto"/>
              <w:right w:val="single" w:sz="8" w:color="auto"/>
            </w:tcBorders>
            <w:shd w:val="clear" w:color="auto" w:fill="4DC1E4"/>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3400" w:type="dxa"/>
            <w:vAlign w:val="bottom"/>
            <w:shd w:val="clear" w:color="auto" w:fill="4DC1E4"/>
          </w:tcPr>
          <w:p>
            <w:pPr>
              <w:spacing w:after="0"/>
              <w:rPr>
                <w:sz w:val="18"/>
                <w:szCs w:val="18"/>
                <w:color w:val="auto"/>
              </w:rPr>
            </w:pPr>
          </w:p>
        </w:tc>
        <w:tc>
          <w:tcPr>
            <w:tcW w:w="1760" w:type="dxa"/>
            <w:vAlign w:val="bottom"/>
            <w:shd w:val="clear" w:color="auto" w:fill="4DC1E4"/>
          </w:tcPr>
          <w:p>
            <w:pPr>
              <w:spacing w:after="0"/>
              <w:rPr>
                <w:sz w:val="18"/>
                <w:szCs w:val="18"/>
                <w:color w:val="auto"/>
              </w:rPr>
            </w:pPr>
          </w:p>
        </w:tc>
        <w:tc>
          <w:tcPr>
            <w:tcW w:w="3120" w:type="dxa"/>
            <w:vAlign w:val="bottom"/>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rPr>
              <w:t>V</w:t>
            </w:r>
            <w:r>
              <w:rPr>
                <w:rFonts w:ascii="Times New Roman" w:cs="Times New Roman" w:eastAsia="Times New Roman" w:hAnsi="Times New Roman"/>
                <w:sz w:val="13"/>
                <w:szCs w:val="13"/>
                <w:b w:val="1"/>
                <w:bCs w:val="1"/>
                <w:color w:val="FFFFFF"/>
              </w:rPr>
              <w:t>OTES</w:t>
            </w:r>
            <w:r>
              <w:rPr>
                <w:rFonts w:ascii="Times New Roman" w:cs="Times New Roman" w:eastAsia="Times New Roman" w:hAnsi="Times New Roman"/>
                <w:sz w:val="18"/>
                <w:szCs w:val="18"/>
                <w:b w:val="1"/>
                <w:bCs w:val="1"/>
                <w:color w:val="FFFFFF"/>
              </w:rPr>
              <w:t xml:space="preserve"> W</w:t>
            </w:r>
            <w:r>
              <w:rPr>
                <w:rFonts w:ascii="Times New Roman" w:cs="Times New Roman" w:eastAsia="Times New Roman" w:hAnsi="Times New Roman"/>
                <w:sz w:val="13"/>
                <w:szCs w:val="13"/>
                <w:b w:val="1"/>
                <w:bCs w:val="1"/>
                <w:color w:val="FFFFFF"/>
              </w:rPr>
              <w:t>ITHHELD</w:t>
            </w:r>
            <w:r>
              <w:rPr>
                <w:rFonts w:ascii="Times New Roman" w:cs="Times New Roman" w:eastAsia="Times New Roman" w:hAnsi="Times New Roman"/>
                <w:sz w:val="18"/>
                <w:szCs w:val="18"/>
                <w:b w:val="1"/>
                <w:bCs w:val="1"/>
                <w:color w:val="FFFFFF"/>
              </w:rPr>
              <w:t>, A</w:t>
            </w:r>
            <w:r>
              <w:rPr>
                <w:rFonts w:ascii="Times New Roman" w:cs="Times New Roman" w:eastAsia="Times New Roman" w:hAnsi="Times New Roman"/>
                <w:sz w:val="13"/>
                <w:szCs w:val="13"/>
                <w:b w:val="1"/>
                <w:bCs w:val="1"/>
                <w:color w:val="FFFFFF"/>
              </w:rPr>
              <w:t>BSTENTIONS AND</w:t>
            </w:r>
          </w:p>
        </w:tc>
        <w:tc>
          <w:tcPr>
            <w:tcW w:w="1440" w:type="dxa"/>
            <w:vAlign w:val="bottom"/>
            <w:tcBorders>
              <w:right w:val="single" w:sz="8" w:color="auto"/>
            </w:tcBorders>
            <w:gridSpan w:val="3"/>
            <w:shd w:val="clear" w:color="auto" w:fill="4DC1E4"/>
          </w:tcPr>
          <w:p>
            <w:pPr>
              <w:jc w:val="center"/>
              <w:ind w:right="10"/>
              <w:spacing w:after="0"/>
              <w:rPr>
                <w:sz w:val="20"/>
                <w:szCs w:val="20"/>
                <w:color w:val="auto"/>
              </w:rPr>
            </w:pPr>
            <w:r>
              <w:rPr>
                <w:rFonts w:ascii="Times New Roman" w:cs="Times New Roman" w:eastAsia="Times New Roman" w:hAnsi="Times New Roman"/>
                <w:sz w:val="18"/>
                <w:szCs w:val="18"/>
                <w:b w:val="1"/>
                <w:bCs w:val="1"/>
                <w:color w:val="FFFFFF"/>
              </w:rPr>
              <w:t>B</w:t>
            </w:r>
            <w:r>
              <w:rPr>
                <w:rFonts w:ascii="Times New Roman" w:cs="Times New Roman" w:eastAsia="Times New Roman" w:hAnsi="Times New Roman"/>
                <w:sz w:val="13"/>
                <w:szCs w:val="13"/>
                <w:b w:val="1"/>
                <w:bCs w:val="1"/>
                <w:color w:val="FFFFFF"/>
              </w:rPr>
              <w:t>ROKER</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3400" w:type="dxa"/>
            <w:vAlign w:val="bottom"/>
            <w:shd w:val="clear" w:color="auto" w:fill="4DC1E4"/>
          </w:tcPr>
          <w:p>
            <w:pPr>
              <w:spacing w:after="0"/>
              <w:rPr>
                <w:sz w:val="18"/>
                <w:szCs w:val="18"/>
                <w:color w:val="auto"/>
              </w:rPr>
            </w:pPr>
          </w:p>
        </w:tc>
        <w:tc>
          <w:tcPr>
            <w:tcW w:w="1760" w:type="dxa"/>
            <w:vAlign w:val="bottom"/>
            <w:shd w:val="clear" w:color="auto" w:fill="4DC1E4"/>
          </w:tcPr>
          <w:p>
            <w:pPr>
              <w:spacing w:after="0"/>
              <w:rPr>
                <w:sz w:val="18"/>
                <w:szCs w:val="18"/>
                <w:color w:val="auto"/>
              </w:rPr>
            </w:pPr>
          </w:p>
        </w:tc>
        <w:tc>
          <w:tcPr>
            <w:tcW w:w="3120" w:type="dxa"/>
            <w:vAlign w:val="bottom"/>
            <w:shd w:val="clear" w:color="auto" w:fill="4DC1E4"/>
          </w:tcPr>
          <w:p>
            <w:pPr>
              <w:jc w:val="center"/>
              <w:ind w:right="10"/>
              <w:spacing w:after="0"/>
              <w:rPr>
                <w:sz w:val="20"/>
                <w:szCs w:val="20"/>
                <w:color w:val="auto"/>
              </w:rPr>
            </w:pPr>
            <w:r>
              <w:rPr>
                <w:rFonts w:ascii="Times New Roman" w:cs="Times New Roman" w:eastAsia="Times New Roman" w:hAnsi="Times New Roman"/>
                <w:sz w:val="18"/>
                <w:szCs w:val="18"/>
                <w:b w:val="1"/>
                <w:bCs w:val="1"/>
                <w:color w:val="FFFFFF"/>
              </w:rPr>
              <w:t>B</w:t>
            </w:r>
            <w:r>
              <w:rPr>
                <w:rFonts w:ascii="Times New Roman" w:cs="Times New Roman" w:eastAsia="Times New Roman" w:hAnsi="Times New Roman"/>
                <w:sz w:val="13"/>
                <w:szCs w:val="13"/>
                <w:b w:val="1"/>
                <w:bCs w:val="1"/>
                <w:color w:val="FFFFFF"/>
              </w:rPr>
              <w:t>ROKER</w:t>
            </w:r>
          </w:p>
        </w:tc>
        <w:tc>
          <w:tcPr>
            <w:tcW w:w="1440" w:type="dxa"/>
            <w:vAlign w:val="bottom"/>
            <w:tcBorders>
              <w:right w:val="single" w:sz="8" w:color="auto"/>
            </w:tcBorders>
            <w:gridSpan w:val="3"/>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rPr>
              <w:t>D</w:t>
            </w:r>
            <w:r>
              <w:rPr>
                <w:rFonts w:ascii="Times New Roman" w:cs="Times New Roman" w:eastAsia="Times New Roman" w:hAnsi="Times New Roman"/>
                <w:sz w:val="13"/>
                <w:szCs w:val="13"/>
                <w:b w:val="1"/>
                <w:bCs w:val="1"/>
                <w:color w:val="FFFFFF"/>
              </w:rPr>
              <w:t>ISCRETIONARY</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680" w:type="dxa"/>
            <w:vAlign w:val="bottom"/>
            <w:tcBorders>
              <w:right w:val="single" w:sz="8" w:color="auto"/>
            </w:tcBorders>
          </w:tcPr>
          <w:p>
            <w:pPr>
              <w:spacing w:after="0"/>
              <w:rPr>
                <w:sz w:val="24"/>
                <w:szCs w:val="24"/>
                <w:color w:val="auto"/>
              </w:rPr>
            </w:pPr>
          </w:p>
        </w:tc>
        <w:tc>
          <w:tcPr>
            <w:tcW w:w="3400" w:type="dxa"/>
            <w:vAlign w:val="bottom"/>
            <w:tcBorders>
              <w:bottom w:val="single" w:sz="8" w:color="4DC1E4"/>
            </w:tcBorders>
            <w:shd w:val="clear" w:color="auto" w:fill="4DC1E4"/>
          </w:tcPr>
          <w:p>
            <w:pPr>
              <w:ind w:left="1040"/>
              <w:spacing w:after="0"/>
              <w:rPr>
                <w:sz w:val="20"/>
                <w:szCs w:val="20"/>
                <w:color w:val="auto"/>
              </w:rPr>
            </w:pPr>
            <w:r>
              <w:rPr>
                <w:rFonts w:ascii="Times New Roman" w:cs="Times New Roman" w:eastAsia="Times New Roman" w:hAnsi="Times New Roman"/>
                <w:sz w:val="18"/>
                <w:szCs w:val="18"/>
                <w:b w:val="1"/>
                <w:bCs w:val="1"/>
                <w:color w:val="FFFFFF"/>
              </w:rPr>
              <w:t>V</w:t>
            </w:r>
            <w:r>
              <w:rPr>
                <w:rFonts w:ascii="Times New Roman" w:cs="Times New Roman" w:eastAsia="Times New Roman" w:hAnsi="Times New Roman"/>
                <w:sz w:val="13"/>
                <w:szCs w:val="13"/>
                <w:b w:val="1"/>
                <w:bCs w:val="1"/>
                <w:color w:val="FFFFFF"/>
              </w:rPr>
              <w:t>OTING</w:t>
            </w:r>
            <w:r>
              <w:rPr>
                <w:rFonts w:ascii="Times New Roman" w:cs="Times New Roman" w:eastAsia="Times New Roman" w:hAnsi="Times New Roman"/>
                <w:sz w:val="18"/>
                <w:szCs w:val="18"/>
                <w:b w:val="1"/>
                <w:bCs w:val="1"/>
                <w:color w:val="FFFFFF"/>
              </w:rPr>
              <w:t xml:space="preserve"> M</w:t>
            </w:r>
            <w:r>
              <w:rPr>
                <w:rFonts w:ascii="Times New Roman" w:cs="Times New Roman" w:eastAsia="Times New Roman" w:hAnsi="Times New Roman"/>
                <w:sz w:val="13"/>
                <w:szCs w:val="13"/>
                <w:b w:val="1"/>
                <w:bCs w:val="1"/>
                <w:color w:val="FFFFFF"/>
              </w:rPr>
              <w:t>ATTERS</w:t>
            </w:r>
          </w:p>
        </w:tc>
        <w:tc>
          <w:tcPr>
            <w:tcW w:w="1760" w:type="dxa"/>
            <w:vAlign w:val="bottom"/>
            <w:tcBorders>
              <w:bottom w:val="single" w:sz="8" w:color="4DC1E4"/>
            </w:tcBorders>
            <w:shd w:val="clear" w:color="auto" w:fill="4DC1E4"/>
          </w:tcPr>
          <w:p>
            <w:pPr>
              <w:ind w:left="220"/>
              <w:spacing w:after="0"/>
              <w:rPr>
                <w:sz w:val="20"/>
                <w:szCs w:val="20"/>
                <w:color w:val="auto"/>
              </w:rPr>
            </w:pPr>
            <w:r>
              <w:rPr>
                <w:rFonts w:ascii="Times New Roman" w:cs="Times New Roman" w:eastAsia="Times New Roman" w:hAnsi="Times New Roman"/>
                <w:sz w:val="18"/>
                <w:szCs w:val="18"/>
                <w:b w:val="1"/>
                <w:bCs w:val="1"/>
                <w:color w:val="FFFFFF"/>
              </w:rPr>
              <w:t>V</w:t>
            </w:r>
            <w:r>
              <w:rPr>
                <w:rFonts w:ascii="Times New Roman" w:cs="Times New Roman" w:eastAsia="Times New Roman" w:hAnsi="Times New Roman"/>
                <w:sz w:val="13"/>
                <w:szCs w:val="13"/>
                <w:b w:val="1"/>
                <w:bCs w:val="1"/>
                <w:color w:val="FFFFFF"/>
              </w:rPr>
              <w:t>OTES</w:t>
            </w:r>
            <w:r>
              <w:rPr>
                <w:rFonts w:ascii="Times New Roman" w:cs="Times New Roman" w:eastAsia="Times New Roman" w:hAnsi="Times New Roman"/>
                <w:sz w:val="18"/>
                <w:szCs w:val="18"/>
                <w:b w:val="1"/>
                <w:bCs w:val="1"/>
                <w:color w:val="FFFFFF"/>
              </w:rPr>
              <w:t xml:space="preserve"> R</w:t>
            </w:r>
            <w:r>
              <w:rPr>
                <w:rFonts w:ascii="Times New Roman" w:cs="Times New Roman" w:eastAsia="Times New Roman" w:hAnsi="Times New Roman"/>
                <w:sz w:val="13"/>
                <w:szCs w:val="13"/>
                <w:b w:val="1"/>
                <w:bCs w:val="1"/>
                <w:color w:val="FFFFFF"/>
              </w:rPr>
              <w:t>EQUIRED</w:t>
            </w:r>
          </w:p>
        </w:tc>
        <w:tc>
          <w:tcPr>
            <w:tcW w:w="3120" w:type="dxa"/>
            <w:vAlign w:val="bottom"/>
            <w:tcBorders>
              <w:bottom w:val="single" w:sz="8" w:color="4DC1E4"/>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rPr>
              <w:t>N</w:t>
            </w:r>
            <w:r>
              <w:rPr>
                <w:rFonts w:ascii="Times New Roman" w:cs="Times New Roman" w:eastAsia="Times New Roman" w:hAnsi="Times New Roman"/>
                <w:sz w:val="13"/>
                <w:szCs w:val="13"/>
                <w:b w:val="1"/>
                <w:bCs w:val="1"/>
                <w:color w:val="FFFFFF"/>
              </w:rPr>
              <w:t>ON-</w:t>
            </w:r>
            <w:r>
              <w:rPr>
                <w:rFonts w:ascii="Times New Roman" w:cs="Times New Roman" w:eastAsia="Times New Roman" w:hAnsi="Times New Roman"/>
                <w:sz w:val="18"/>
                <w:szCs w:val="18"/>
                <w:b w:val="1"/>
                <w:bCs w:val="1"/>
                <w:color w:val="FFFFFF"/>
              </w:rPr>
              <w:t>V</w:t>
            </w:r>
            <w:r>
              <w:rPr>
                <w:rFonts w:ascii="Times New Roman" w:cs="Times New Roman" w:eastAsia="Times New Roman" w:hAnsi="Times New Roman"/>
                <w:sz w:val="13"/>
                <w:szCs w:val="13"/>
                <w:b w:val="1"/>
                <w:bCs w:val="1"/>
                <w:color w:val="FFFFFF"/>
              </w:rPr>
              <w:t>OTES</w:t>
            </w:r>
          </w:p>
        </w:tc>
        <w:tc>
          <w:tcPr>
            <w:tcW w:w="1440" w:type="dxa"/>
            <w:vAlign w:val="bottom"/>
            <w:tcBorders>
              <w:bottom w:val="single" w:sz="8" w:color="4DC1E4"/>
              <w:right w:val="single" w:sz="8" w:color="auto"/>
            </w:tcBorders>
            <w:gridSpan w:val="3"/>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rPr>
              <w:t>V</w:t>
            </w:r>
            <w:r>
              <w:rPr>
                <w:rFonts w:ascii="Times New Roman" w:cs="Times New Roman" w:eastAsia="Times New Roman" w:hAnsi="Times New Roman"/>
                <w:sz w:val="13"/>
                <w:szCs w:val="13"/>
                <w:b w:val="1"/>
                <w:bCs w:val="1"/>
                <w:color w:val="FFFFFF"/>
              </w:rPr>
              <w:t>OTING</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80" w:type="dxa"/>
            <w:vAlign w:val="bottom"/>
            <w:tcBorders>
              <w:right w:val="single" w:sz="8" w:color="auto"/>
            </w:tcBorders>
          </w:tcPr>
          <w:p>
            <w:pPr>
              <w:spacing w:after="0"/>
              <w:rPr>
                <w:sz w:val="17"/>
                <w:szCs w:val="17"/>
                <w:color w:val="auto"/>
              </w:rPr>
            </w:pPr>
          </w:p>
        </w:tc>
        <w:tc>
          <w:tcPr>
            <w:tcW w:w="3400" w:type="dxa"/>
            <w:vAlign w:val="bottom"/>
            <w:tcBorders>
              <w:top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b w:val="1"/>
                <w:bCs w:val="1"/>
                <w:color w:val="4DC1E4"/>
              </w:rPr>
              <w:t>PROPOSAL 1</w:t>
            </w:r>
            <w:r>
              <w:rPr>
                <w:rFonts w:ascii="Times New Roman" w:cs="Times New Roman" w:eastAsia="Times New Roman" w:hAnsi="Times New Roman"/>
                <w:sz w:val="18"/>
                <w:szCs w:val="18"/>
                <w:color w:val="4DC1E4"/>
              </w:rPr>
              <w:t>: Election of Class III</w:t>
            </w:r>
          </w:p>
        </w:tc>
        <w:tc>
          <w:tcPr>
            <w:tcW w:w="1760" w:type="dxa"/>
            <w:vAlign w:val="bottom"/>
            <w:tcBorders>
              <w:top w:val="single" w:sz="8" w:color="auto"/>
            </w:tcBorders>
          </w:tcPr>
          <w:p>
            <w:pPr>
              <w:ind w:left="120"/>
              <w:spacing w:after="0" w:line="205" w:lineRule="exact"/>
              <w:rPr>
                <w:sz w:val="20"/>
                <w:szCs w:val="20"/>
                <w:color w:val="auto"/>
              </w:rPr>
            </w:pPr>
            <w:r>
              <w:rPr>
                <w:rFonts w:ascii="Times New Roman" w:cs="Times New Roman" w:eastAsia="Times New Roman" w:hAnsi="Times New Roman"/>
                <w:sz w:val="18"/>
                <w:szCs w:val="18"/>
                <w:color w:val="auto"/>
              </w:rPr>
              <w:t>Plurality of the votes</w:t>
            </w:r>
          </w:p>
        </w:tc>
        <w:tc>
          <w:tcPr>
            <w:tcW w:w="3120" w:type="dxa"/>
            <w:vAlign w:val="bottom"/>
            <w:tcBorders>
              <w:top w:val="single" w:sz="8" w:color="auto"/>
            </w:tcBorders>
          </w:tcPr>
          <w:p>
            <w:pPr>
              <w:ind w:left="120"/>
              <w:spacing w:after="0" w:line="205" w:lineRule="exact"/>
              <w:rPr>
                <w:sz w:val="20"/>
                <w:szCs w:val="20"/>
                <w:color w:val="auto"/>
              </w:rPr>
            </w:pPr>
            <w:r>
              <w:rPr>
                <w:rFonts w:ascii="Times New Roman" w:cs="Times New Roman" w:eastAsia="Times New Roman" w:hAnsi="Times New Roman"/>
                <w:sz w:val="18"/>
                <w:szCs w:val="18"/>
                <w:color w:val="auto"/>
              </w:rPr>
              <w:t>Votes withheld and broker non-votes</w:t>
            </w:r>
          </w:p>
        </w:tc>
        <w:tc>
          <w:tcPr>
            <w:tcW w:w="1440" w:type="dxa"/>
            <w:vAlign w:val="bottom"/>
            <w:tcBorders>
              <w:top w:val="single" w:sz="8" w:color="auto"/>
              <w:right w:val="single" w:sz="8" w:color="auto"/>
            </w:tcBorders>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No</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4DC1E4"/>
              </w:rPr>
              <w:t>Directors for a Three-Year Term Expiring at</w:t>
            </w:r>
          </w:p>
        </w:tc>
        <w:tc>
          <w:tcPr>
            <w:tcW w:w="1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cast</w:t>
            </w:r>
          </w:p>
        </w:tc>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will not be taken into account in</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 w:type="dxa"/>
            <w:vAlign w:val="bottom"/>
            <w:tcBorders>
              <w:right w:val="single" w:sz="8" w:color="auto"/>
            </w:tcBorders>
          </w:tcPr>
          <w:p>
            <w:pPr>
              <w:spacing w:after="0"/>
              <w:rPr>
                <w:sz w:val="20"/>
                <w:szCs w:val="20"/>
                <w:color w:val="auto"/>
              </w:rPr>
            </w:pPr>
          </w:p>
        </w:tc>
        <w:tc>
          <w:tcPr>
            <w:tcW w:w="3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4DC1E4"/>
              </w:rPr>
              <w:t>the 2029 Annual Meeting of Stockholders</w:t>
            </w:r>
          </w:p>
        </w:tc>
        <w:tc>
          <w:tcPr>
            <w:tcW w:w="176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determining the outcome of the proposal</w:t>
            </w:r>
          </w:p>
        </w:tc>
        <w:tc>
          <w:tcPr>
            <w:tcW w:w="1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80" w:type="dxa"/>
            <w:vAlign w:val="bottom"/>
            <w:tcBorders>
              <w:right w:val="single" w:sz="8" w:color="auto"/>
            </w:tcBorders>
          </w:tcPr>
          <w:p>
            <w:pPr>
              <w:spacing w:after="0"/>
              <w:rPr>
                <w:sz w:val="17"/>
                <w:szCs w:val="17"/>
                <w:color w:val="auto"/>
              </w:rPr>
            </w:pPr>
          </w:p>
        </w:tc>
        <w:tc>
          <w:tcPr>
            <w:tcW w:w="3400" w:type="dxa"/>
            <w:vAlign w:val="bottom"/>
          </w:tcPr>
          <w:p>
            <w:pPr>
              <w:ind w:left="100"/>
              <w:spacing w:after="0" w:line="205" w:lineRule="exact"/>
              <w:rPr>
                <w:sz w:val="20"/>
                <w:szCs w:val="20"/>
                <w:color w:val="auto"/>
              </w:rPr>
            </w:pPr>
            <w:r>
              <w:rPr>
                <w:rFonts w:ascii="Times New Roman" w:cs="Times New Roman" w:eastAsia="Times New Roman" w:hAnsi="Times New Roman"/>
                <w:sz w:val="18"/>
                <w:szCs w:val="18"/>
                <w:b w:val="1"/>
                <w:bCs w:val="1"/>
                <w:color w:val="4DC1E4"/>
              </w:rPr>
              <w:t>PROPOSAL 2</w:t>
            </w:r>
            <w:r>
              <w:rPr>
                <w:rFonts w:ascii="Times New Roman" w:cs="Times New Roman" w:eastAsia="Times New Roman" w:hAnsi="Times New Roman"/>
                <w:sz w:val="18"/>
                <w:szCs w:val="18"/>
                <w:color w:val="4DC1E4"/>
              </w:rPr>
              <w:t>: Approval, on an Advisory</w:t>
            </w:r>
          </w:p>
        </w:tc>
        <w:tc>
          <w:tcPr>
            <w:tcW w:w="1760" w:type="dxa"/>
            <w:vAlign w:val="bottom"/>
          </w:tcPr>
          <w:p>
            <w:pPr>
              <w:ind w:left="120"/>
              <w:spacing w:after="0" w:line="205" w:lineRule="exact"/>
              <w:rPr>
                <w:sz w:val="20"/>
                <w:szCs w:val="20"/>
                <w:color w:val="auto"/>
              </w:rPr>
            </w:pPr>
            <w:r>
              <w:rPr>
                <w:rFonts w:ascii="Times New Roman" w:cs="Times New Roman" w:eastAsia="Times New Roman" w:hAnsi="Times New Roman"/>
                <w:sz w:val="18"/>
                <w:szCs w:val="18"/>
                <w:color w:val="auto"/>
              </w:rPr>
              <w:t>Majority of the votes</w:t>
            </w:r>
          </w:p>
        </w:tc>
        <w:tc>
          <w:tcPr>
            <w:tcW w:w="3120" w:type="dxa"/>
            <w:vAlign w:val="bottom"/>
          </w:tcPr>
          <w:p>
            <w:pPr>
              <w:ind w:left="120"/>
              <w:spacing w:after="0" w:line="205" w:lineRule="exact"/>
              <w:rPr>
                <w:sz w:val="20"/>
                <w:szCs w:val="20"/>
                <w:color w:val="auto"/>
              </w:rPr>
            </w:pPr>
            <w:r>
              <w:rPr>
                <w:rFonts w:ascii="Times New Roman" w:cs="Times New Roman" w:eastAsia="Times New Roman" w:hAnsi="Times New Roman"/>
                <w:sz w:val="18"/>
                <w:szCs w:val="18"/>
                <w:color w:val="auto"/>
              </w:rPr>
              <w:t>Abstentions and broker non-votes will</w:t>
            </w:r>
          </w:p>
        </w:tc>
        <w:tc>
          <w:tcPr>
            <w:tcW w:w="1440" w:type="dxa"/>
            <w:vAlign w:val="bottom"/>
            <w:tcBorders>
              <w:right w:val="single" w:sz="8" w:color="auto"/>
            </w:tcBorders>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No</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4DC1E4"/>
              </w:rPr>
              <w:t>Basis, of the Compensation of our Named</w:t>
            </w:r>
          </w:p>
        </w:tc>
        <w:tc>
          <w:tcPr>
            <w:tcW w:w="1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cast</w:t>
            </w:r>
          </w:p>
        </w:tc>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 be taken into account in determining</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 w:type="dxa"/>
            <w:vAlign w:val="bottom"/>
            <w:tcBorders>
              <w:right w:val="single" w:sz="8" w:color="auto"/>
            </w:tcBorders>
          </w:tcPr>
          <w:p>
            <w:pPr>
              <w:spacing w:after="0"/>
              <w:rPr>
                <w:sz w:val="20"/>
                <w:szCs w:val="20"/>
                <w:color w:val="auto"/>
              </w:rPr>
            </w:pPr>
          </w:p>
        </w:tc>
        <w:tc>
          <w:tcPr>
            <w:tcW w:w="3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4DC1E4"/>
              </w:rPr>
              <w:t>Executive Officers</w:t>
            </w:r>
          </w:p>
        </w:tc>
        <w:tc>
          <w:tcPr>
            <w:tcW w:w="176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outcome of the proposal</w:t>
            </w:r>
          </w:p>
        </w:tc>
        <w:tc>
          <w:tcPr>
            <w:tcW w:w="1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80" w:type="dxa"/>
            <w:vAlign w:val="bottom"/>
            <w:tcBorders>
              <w:right w:val="single" w:sz="8" w:color="auto"/>
            </w:tcBorders>
          </w:tcPr>
          <w:p>
            <w:pPr>
              <w:spacing w:after="0"/>
              <w:rPr>
                <w:sz w:val="17"/>
                <w:szCs w:val="17"/>
                <w:color w:val="auto"/>
              </w:rPr>
            </w:pPr>
          </w:p>
        </w:tc>
        <w:tc>
          <w:tcPr>
            <w:tcW w:w="3400" w:type="dxa"/>
            <w:vAlign w:val="bottom"/>
          </w:tcPr>
          <w:p>
            <w:pPr>
              <w:ind w:left="100"/>
              <w:spacing w:after="0" w:line="205" w:lineRule="exact"/>
              <w:rPr>
                <w:sz w:val="20"/>
                <w:szCs w:val="20"/>
                <w:color w:val="auto"/>
              </w:rPr>
            </w:pPr>
            <w:r>
              <w:rPr>
                <w:rFonts w:ascii="Times New Roman" w:cs="Times New Roman" w:eastAsia="Times New Roman" w:hAnsi="Times New Roman"/>
                <w:sz w:val="18"/>
                <w:szCs w:val="18"/>
                <w:b w:val="1"/>
                <w:bCs w:val="1"/>
                <w:color w:val="4DC1E4"/>
              </w:rPr>
              <w:t>PROPOSAL 3</w:t>
            </w:r>
            <w:r>
              <w:rPr>
                <w:rFonts w:ascii="Times New Roman" w:cs="Times New Roman" w:eastAsia="Times New Roman" w:hAnsi="Times New Roman"/>
                <w:sz w:val="18"/>
                <w:szCs w:val="18"/>
                <w:color w:val="4DC1E4"/>
              </w:rPr>
              <w:t>: Approval, on an Advisory</w:t>
            </w:r>
          </w:p>
        </w:tc>
        <w:tc>
          <w:tcPr>
            <w:tcW w:w="1760" w:type="dxa"/>
            <w:vAlign w:val="bottom"/>
          </w:tcPr>
          <w:p>
            <w:pPr>
              <w:ind w:left="120"/>
              <w:spacing w:after="0" w:line="205" w:lineRule="exact"/>
              <w:rPr>
                <w:sz w:val="20"/>
                <w:szCs w:val="20"/>
                <w:color w:val="auto"/>
              </w:rPr>
            </w:pPr>
            <w:r>
              <w:rPr>
                <w:rFonts w:ascii="Times New Roman" w:cs="Times New Roman" w:eastAsia="Times New Roman" w:hAnsi="Times New Roman"/>
                <w:sz w:val="18"/>
                <w:szCs w:val="18"/>
                <w:color w:val="auto"/>
              </w:rPr>
              <w:t>Majority of the votes</w:t>
            </w:r>
          </w:p>
        </w:tc>
        <w:tc>
          <w:tcPr>
            <w:tcW w:w="3120" w:type="dxa"/>
            <w:vAlign w:val="bottom"/>
          </w:tcPr>
          <w:p>
            <w:pPr>
              <w:ind w:left="120"/>
              <w:spacing w:after="0" w:line="205" w:lineRule="exact"/>
              <w:rPr>
                <w:sz w:val="20"/>
                <w:szCs w:val="20"/>
                <w:color w:val="auto"/>
              </w:rPr>
            </w:pPr>
            <w:r>
              <w:rPr>
                <w:rFonts w:ascii="Times New Roman" w:cs="Times New Roman" w:eastAsia="Times New Roman" w:hAnsi="Times New Roman"/>
                <w:sz w:val="18"/>
                <w:szCs w:val="18"/>
                <w:color w:val="auto"/>
              </w:rPr>
              <w:t>Abstentions and broker non-votes will</w:t>
            </w:r>
          </w:p>
        </w:tc>
        <w:tc>
          <w:tcPr>
            <w:tcW w:w="1440" w:type="dxa"/>
            <w:vAlign w:val="bottom"/>
            <w:tcBorders>
              <w:right w:val="single" w:sz="8" w:color="auto"/>
            </w:tcBorders>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No</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4DC1E4"/>
              </w:rPr>
              <w:t>Basis, of the Preferred Frequency of Future</w:t>
            </w:r>
          </w:p>
        </w:tc>
        <w:tc>
          <w:tcPr>
            <w:tcW w:w="1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cast</w:t>
            </w:r>
          </w:p>
        </w:tc>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 be taken into account in determining</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4DC1E4"/>
              </w:rPr>
              <w:t>Advisory Votes on the Compensation of our</w:t>
            </w:r>
          </w:p>
        </w:tc>
        <w:tc>
          <w:tcPr>
            <w:tcW w:w="1760" w:type="dxa"/>
            <w:vAlign w:val="bottom"/>
          </w:tcPr>
          <w:p>
            <w:pPr>
              <w:spacing w:after="0"/>
              <w:rPr>
                <w:sz w:val="18"/>
                <w:szCs w:val="18"/>
                <w:color w:val="auto"/>
              </w:rPr>
            </w:pPr>
          </w:p>
        </w:tc>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outcome of the proposal</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80" w:type="dxa"/>
            <w:vAlign w:val="bottom"/>
            <w:tcBorders>
              <w:right w:val="single" w:sz="8" w:color="auto"/>
            </w:tcBorders>
          </w:tcPr>
          <w:p>
            <w:pPr>
              <w:spacing w:after="0"/>
              <w:rPr>
                <w:sz w:val="20"/>
                <w:szCs w:val="20"/>
                <w:color w:val="auto"/>
              </w:rPr>
            </w:pPr>
          </w:p>
        </w:tc>
        <w:tc>
          <w:tcPr>
            <w:tcW w:w="3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4DC1E4"/>
              </w:rPr>
              <w:t>Named Executive Officers</w:t>
            </w:r>
          </w:p>
        </w:tc>
        <w:tc>
          <w:tcPr>
            <w:tcW w:w="176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6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6000" w:type="dxa"/>
            <w:vAlign w:val="bottom"/>
            <w:gridSpan w:val="3"/>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4DC1E4"/>
                <w:w w:val="99"/>
              </w:rPr>
              <w:t xml:space="preserve">Notice of Annual Meeting of Stockholders </w:t>
            </w:r>
            <w:r>
              <w:rPr>
                <w:rFonts w:ascii="Times New Roman" w:cs="Times New Roman" w:eastAsia="Times New Roman" w:hAnsi="Times New Roman"/>
                <w:sz w:val="18"/>
                <w:szCs w:val="18"/>
                <w:b w:val="1"/>
                <w:bCs w:val="1"/>
                <w:color w:val="000000"/>
                <w:w w:val="99"/>
              </w:rPr>
              <w:t>and 2026 Proxy Statement</w:t>
            </w:r>
          </w:p>
        </w:tc>
        <w:tc>
          <w:tcPr>
            <w:tcW w:w="20" w:type="dxa"/>
            <w:vAlign w:val="bottom"/>
          </w:tcPr>
          <w:p>
            <w:pPr>
              <w:spacing w:after="0"/>
              <w:rPr>
                <w:sz w:val="24"/>
                <w:szCs w:val="24"/>
                <w:color w:val="auto"/>
              </w:rPr>
            </w:pPr>
          </w:p>
        </w:tc>
        <w:tc>
          <w:tcPr>
            <w:tcW w:w="94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6000" w:type="dxa"/>
            <w:vAlign w:val="bottom"/>
            <w:gridSpan w:val="3"/>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58"/>
        </w:trPr>
        <w:tc>
          <w:tcPr>
            <w:tcW w:w="68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200" w:right="439" w:bottom="1440" w:gutter="0" w:footer="0" w:header="0"/>
        </w:sectPr>
      </w:pPr>
    </w:p>
    <w:bookmarkStart w:id="13" w:name="page14"/>
    <w:bookmarkEnd w:id="13"/>
    <w:p>
      <w:pPr>
        <w:ind w:left="100"/>
        <w:spacing w:after="0"/>
        <w:rPr>
          <w:sz w:val="20"/>
          <w:szCs w:val="20"/>
          <w:color w:val="auto"/>
        </w:rPr>
      </w:pPr>
      <w:r>
        <w:rPr>
          <w:rFonts w:ascii="Times New Roman" w:cs="Times New Roman" w:eastAsia="Times New Roman" w:hAnsi="Times New Roman"/>
          <w:sz w:val="22"/>
          <w:szCs w:val="22"/>
          <w:b w:val="1"/>
          <w:bCs w:val="1"/>
          <w:color w:val="auto"/>
        </w:rPr>
        <w:t>GENERAL INFORMATION ABOUT THE MEETING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617220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72200" cy="171450"/>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shd w:val="clear" w:color="auto" w:fill="000000"/>
          </w:tcPr>
          <w:p>
            <w:pPr>
              <w:spacing w:after="0"/>
              <w:rPr>
                <w:sz w:val="17"/>
                <w:szCs w:val="17"/>
                <w:color w:val="auto"/>
              </w:rPr>
            </w:pPr>
          </w:p>
        </w:tc>
        <w:tc>
          <w:tcPr>
            <w:tcW w:w="3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4DC1E4"/>
              </w:rPr>
              <w:t>PROPOSAL 4</w:t>
            </w:r>
            <w:r>
              <w:rPr>
                <w:rFonts w:ascii="Times New Roman" w:cs="Times New Roman" w:eastAsia="Times New Roman" w:hAnsi="Times New Roman"/>
                <w:sz w:val="18"/>
                <w:szCs w:val="18"/>
                <w:color w:val="4DC1E4"/>
              </w:rPr>
              <w:t>: Ratification of Appointment</w:t>
            </w:r>
          </w:p>
        </w:tc>
        <w:tc>
          <w:tcPr>
            <w:tcW w:w="1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Majority of the votes</w:t>
            </w:r>
          </w:p>
        </w:tc>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Abstentions and broker non-votes will</w:t>
            </w:r>
          </w:p>
        </w:tc>
        <w:tc>
          <w:tcPr>
            <w:tcW w:w="1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Yes</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3460" w:type="dxa"/>
            <w:vAlign w:val="bottom"/>
          </w:tcPr>
          <w:p>
            <w:pPr>
              <w:ind w:left="100"/>
              <w:spacing w:after="0"/>
              <w:rPr>
                <w:sz w:val="20"/>
                <w:szCs w:val="20"/>
                <w:color w:val="auto"/>
              </w:rPr>
            </w:pPr>
            <w:r>
              <w:rPr>
                <w:rFonts w:ascii="Times New Roman" w:cs="Times New Roman" w:eastAsia="Times New Roman" w:hAnsi="Times New Roman"/>
                <w:sz w:val="18"/>
                <w:szCs w:val="18"/>
                <w:color w:val="4DC1E4"/>
              </w:rPr>
              <w:t>of PricewaterhouseCoopers LLP as our</w:t>
            </w:r>
          </w:p>
        </w:tc>
        <w:tc>
          <w:tcPr>
            <w:tcW w:w="1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cast</w:t>
            </w:r>
          </w:p>
        </w:tc>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 be taken into account in determining</w:t>
            </w:r>
          </w:p>
        </w:tc>
        <w:tc>
          <w:tcPr>
            <w:tcW w:w="1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3460" w:type="dxa"/>
            <w:vAlign w:val="bottom"/>
          </w:tcPr>
          <w:p>
            <w:pPr>
              <w:ind w:left="100"/>
              <w:spacing w:after="0"/>
              <w:rPr>
                <w:sz w:val="20"/>
                <w:szCs w:val="20"/>
                <w:color w:val="auto"/>
              </w:rPr>
            </w:pPr>
            <w:r>
              <w:rPr>
                <w:rFonts w:ascii="Times New Roman" w:cs="Times New Roman" w:eastAsia="Times New Roman" w:hAnsi="Times New Roman"/>
                <w:sz w:val="18"/>
                <w:szCs w:val="18"/>
                <w:color w:val="4DC1E4"/>
              </w:rPr>
              <w:t>Independent Registered Public Accounting</w:t>
            </w:r>
          </w:p>
        </w:tc>
        <w:tc>
          <w:tcPr>
            <w:tcW w:w="1700" w:type="dxa"/>
            <w:vAlign w:val="bottom"/>
          </w:tcPr>
          <w:p>
            <w:pPr>
              <w:spacing w:after="0"/>
              <w:rPr>
                <w:sz w:val="18"/>
                <w:szCs w:val="18"/>
                <w:color w:val="auto"/>
              </w:rPr>
            </w:pPr>
          </w:p>
        </w:tc>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outcome of the proposal</w:t>
            </w:r>
          </w:p>
        </w:tc>
        <w:tc>
          <w:tcPr>
            <w:tcW w:w="1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Borders>
              <w:bottom w:val="single" w:sz="8" w:color="auto"/>
            </w:tcBorders>
            <w:shd w:val="clear" w:color="auto" w:fill="000000"/>
          </w:tcPr>
          <w:p>
            <w:pPr>
              <w:spacing w:after="0"/>
              <w:rPr>
                <w:sz w:val="20"/>
                <w:szCs w:val="20"/>
                <w:color w:val="auto"/>
              </w:rPr>
            </w:pPr>
          </w:p>
        </w:tc>
        <w:tc>
          <w:tcPr>
            <w:tcW w:w="34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4DC1E4"/>
              </w:rPr>
              <w:t>Firm for the 2026 Fiscal Year</w:t>
            </w:r>
          </w:p>
        </w:tc>
        <w:tc>
          <w:tcPr>
            <w:tcW w:w="17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000000"/>
          </w:tcPr>
          <w:p>
            <w:pPr>
              <w:spacing w:after="0"/>
              <w:rPr>
                <w:sz w:val="17"/>
                <w:szCs w:val="17"/>
                <w:color w:val="auto"/>
              </w:rPr>
            </w:pPr>
          </w:p>
        </w:tc>
        <w:tc>
          <w:tcPr>
            <w:tcW w:w="346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4DC1E4"/>
              </w:rPr>
              <w:t>PROPOSAL 5</w:t>
            </w:r>
            <w:r>
              <w:rPr>
                <w:rFonts w:ascii="Times New Roman" w:cs="Times New Roman" w:eastAsia="Times New Roman" w:hAnsi="Times New Roman"/>
                <w:sz w:val="18"/>
                <w:szCs w:val="18"/>
                <w:color w:val="4DC1E4"/>
              </w:rPr>
              <w:t>: Approval of an Amendment</w:t>
            </w:r>
          </w:p>
        </w:tc>
        <w:tc>
          <w:tcPr>
            <w:tcW w:w="1700" w:type="dxa"/>
            <w:vAlign w:val="bottom"/>
          </w:tcPr>
          <w:p>
            <w:pPr>
              <w:ind w:left="60"/>
              <w:spacing w:after="0" w:line="205" w:lineRule="exact"/>
              <w:rPr>
                <w:sz w:val="20"/>
                <w:szCs w:val="20"/>
                <w:color w:val="auto"/>
              </w:rPr>
            </w:pPr>
            <w:r>
              <w:rPr>
                <w:rFonts w:ascii="Times New Roman" w:cs="Times New Roman" w:eastAsia="Times New Roman" w:hAnsi="Times New Roman"/>
                <w:sz w:val="18"/>
                <w:szCs w:val="18"/>
                <w:color w:val="auto"/>
              </w:rPr>
              <w:t>Majority of the</w:t>
            </w:r>
          </w:p>
        </w:tc>
        <w:tc>
          <w:tcPr>
            <w:tcW w:w="3340" w:type="dxa"/>
            <w:vAlign w:val="bottom"/>
          </w:tcPr>
          <w:p>
            <w:pPr>
              <w:ind w:left="120"/>
              <w:spacing w:after="0" w:line="205" w:lineRule="exact"/>
              <w:rPr>
                <w:sz w:val="20"/>
                <w:szCs w:val="20"/>
                <w:color w:val="auto"/>
              </w:rPr>
            </w:pPr>
            <w:r>
              <w:rPr>
                <w:rFonts w:ascii="Times New Roman" w:cs="Times New Roman" w:eastAsia="Times New Roman" w:hAnsi="Times New Roman"/>
                <w:sz w:val="18"/>
                <w:szCs w:val="18"/>
                <w:color w:val="auto"/>
              </w:rPr>
              <w:t>Abstentions and broker non-votes will</w:t>
            </w:r>
          </w:p>
        </w:tc>
        <w:tc>
          <w:tcPr>
            <w:tcW w:w="1200" w:type="dxa"/>
            <w:vAlign w:val="bottom"/>
          </w:tcPr>
          <w:p>
            <w:pPr>
              <w:ind w:left="320"/>
              <w:spacing w:after="0" w:line="205" w:lineRule="exact"/>
              <w:rPr>
                <w:sz w:val="20"/>
                <w:szCs w:val="20"/>
                <w:color w:val="auto"/>
              </w:rPr>
            </w:pPr>
            <w:r>
              <w:rPr>
                <w:rFonts w:ascii="Times New Roman" w:cs="Times New Roman" w:eastAsia="Times New Roman" w:hAnsi="Times New Roman"/>
                <w:sz w:val="18"/>
                <w:szCs w:val="18"/>
                <w:color w:val="auto"/>
              </w:rPr>
              <w:t>Yes</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4DC1E4"/>
              </w:rPr>
              <w:t>to our Ninth Amended and Restated Certificate</w:t>
            </w:r>
          </w:p>
        </w:tc>
        <w:tc>
          <w:tcPr>
            <w:tcW w:w="1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outstanding shares of</w:t>
            </w:r>
          </w:p>
        </w:tc>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have the effect of a vote against the</w:t>
            </w:r>
          </w:p>
        </w:tc>
        <w:tc>
          <w:tcPr>
            <w:tcW w:w="1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4DC1E4"/>
              </w:rPr>
              <w:t>of Incorporation, as Amended, to Increase the</w:t>
            </w:r>
          </w:p>
        </w:tc>
        <w:tc>
          <w:tcPr>
            <w:tcW w:w="1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 stock</w:t>
            </w:r>
          </w:p>
        </w:tc>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proposal</w:t>
            </w:r>
          </w:p>
        </w:tc>
        <w:tc>
          <w:tcPr>
            <w:tcW w:w="1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4DC1E4"/>
              </w:rPr>
              <w:t>Number of Authorized Shares of our Common</w:t>
            </w:r>
          </w:p>
        </w:tc>
        <w:tc>
          <w:tcPr>
            <w:tcW w:w="1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entitled to vote</w:t>
            </w:r>
          </w:p>
        </w:tc>
        <w:tc>
          <w:tcPr>
            <w:tcW w:w="3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Borders>
              <w:bottom w:val="single" w:sz="8" w:color="auto"/>
            </w:tcBorders>
            <w:shd w:val="clear" w:color="auto" w:fill="000000"/>
          </w:tcPr>
          <w:p>
            <w:pPr>
              <w:spacing w:after="0"/>
              <w:rPr>
                <w:sz w:val="20"/>
                <w:szCs w:val="20"/>
                <w:color w:val="auto"/>
              </w:rPr>
            </w:pPr>
          </w:p>
        </w:tc>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4DC1E4"/>
              </w:rPr>
              <w:t>Stock from 115,000,000 to 215,000,000</w:t>
            </w:r>
          </w:p>
        </w:tc>
        <w:tc>
          <w:tcPr>
            <w:tcW w:w="17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4DC1E4"/>
              </w:rPr>
              <w:t>PROPOSAL 6</w:t>
            </w:r>
            <w:r>
              <w:rPr>
                <w:rFonts w:ascii="Times New Roman" w:cs="Times New Roman" w:eastAsia="Times New Roman" w:hAnsi="Times New Roman"/>
                <w:sz w:val="18"/>
                <w:szCs w:val="18"/>
                <w:color w:val="4DC1E4"/>
              </w:rPr>
              <w:t>: Approval of an Adjournment</w:t>
            </w:r>
          </w:p>
        </w:tc>
        <w:tc>
          <w:tcPr>
            <w:tcW w:w="17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Majority of the votes</w:t>
            </w:r>
          </w:p>
        </w:tc>
        <w:tc>
          <w:tcPr>
            <w:tcW w:w="33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Abstentions and broker non-votes will</w:t>
            </w:r>
          </w:p>
        </w:tc>
        <w:tc>
          <w:tcPr>
            <w:tcW w:w="120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Yes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shd w:val="clear" w:color="auto" w:fill="000000"/>
          </w:tcPr>
          <w:p>
            <w:pPr>
              <w:spacing w:after="0"/>
              <w:rPr>
                <w:sz w:val="17"/>
                <w:szCs w:val="17"/>
                <w:color w:val="auto"/>
              </w:rPr>
            </w:pPr>
          </w:p>
        </w:tc>
        <w:tc>
          <w:tcPr>
            <w:tcW w:w="346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334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4DC1E4"/>
              </w:rPr>
              <w:t>of the Annual Meeting to the Extent There are</w:t>
            </w:r>
          </w:p>
        </w:tc>
        <w:tc>
          <w:tcPr>
            <w:tcW w:w="1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cast</w:t>
            </w:r>
          </w:p>
        </w:tc>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 be taken into account in determining</w:t>
            </w:r>
          </w:p>
        </w:tc>
        <w:tc>
          <w:tcPr>
            <w:tcW w:w="1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4DC1E4"/>
              </w:rPr>
              <w:t>Insufficient Votes at the Annual Meeting to</w:t>
            </w:r>
          </w:p>
        </w:tc>
        <w:tc>
          <w:tcPr>
            <w:tcW w:w="1700" w:type="dxa"/>
            <w:vAlign w:val="bottom"/>
          </w:tcPr>
          <w:p>
            <w:pPr>
              <w:spacing w:after="0"/>
              <w:rPr>
                <w:sz w:val="18"/>
                <w:szCs w:val="18"/>
                <w:color w:val="auto"/>
              </w:rPr>
            </w:pPr>
          </w:p>
        </w:tc>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outcome of the proposal</w:t>
            </w:r>
          </w:p>
        </w:tc>
        <w:tc>
          <w:tcPr>
            <w:tcW w:w="1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Borders>
              <w:bottom w:val="single" w:sz="8" w:color="auto"/>
            </w:tcBorders>
            <w:shd w:val="clear" w:color="auto" w:fill="000000"/>
          </w:tcPr>
          <w:p>
            <w:pPr>
              <w:spacing w:after="0"/>
              <w:rPr>
                <w:sz w:val="20"/>
                <w:szCs w:val="20"/>
                <w:color w:val="auto"/>
              </w:rPr>
            </w:pPr>
          </w:p>
        </w:tc>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4DC1E4"/>
              </w:rPr>
              <w:t>Approve Proposal 5</w:t>
            </w:r>
          </w:p>
        </w:tc>
        <w:tc>
          <w:tcPr>
            <w:tcW w:w="17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must have a quorum to conduct business at the Annual Meeting. A quorum consists of the presence at the Annual Meeting, either attending the meeting virtually or represented by proxy, of the holders of a majority of the outstanding shares of our common stock entitled to vote. For the purpose of establishing a quorum, abstentions, including brokers holding customers’ shares of record who cause abstentions to be recorded at the meeting, and broker non-votes are considered stockholders who are present and entitled to vote, and count toward the quorum. If there is no quorum, the holders of a majority of shares virtually attending the Annual Meeting or represented by proxy or the presiding officer of the meeting may adjourn the Annual Meeting to another date.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SOLICITATION COSTS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pay the cost of soliciting proxies. Proxies will be solicited on behalf of the Board by mail, telephone, and other electronic means or in person. Directors and employees will not be paid any additional compensation for soliciting proxies. We may reimburse brokerage firms, banks and other agents for the cost of forwarding proxy materials to beneficial owners.</w:t>
      </w:r>
    </w:p>
    <w:p>
      <w:pPr>
        <w:spacing w:after="0" w:line="293" w:lineRule="exact"/>
        <w:rPr>
          <w:sz w:val="20"/>
          <w:szCs w:val="20"/>
          <w:color w:val="auto"/>
        </w:rPr>
      </w:pPr>
    </w:p>
    <w:p>
      <w:pPr>
        <w:jc w:val="right"/>
        <w:spacing w:after="0"/>
        <w:tabs>
          <w:tab w:leader="none" w:pos="6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w:t>
      </w:r>
      <w:r>
        <w:rPr>
          <w:sz w:val="20"/>
          <w:szCs w:val="20"/>
          <w:color w:val="auto"/>
        </w:rPr>
        <w:tab/>
      </w:r>
      <w:r>
        <w:rPr>
          <w:rFonts w:ascii="Times New Roman" w:cs="Times New Roman" w:eastAsia="Times New Roman" w:hAnsi="Times New Roman"/>
          <w:sz w:val="16"/>
          <w:szCs w:val="16"/>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200" w:right="1099" w:bottom="1440" w:gutter="0" w:footer="0" w:header="0"/>
        </w:sectPr>
      </w:pPr>
    </w:p>
    <w:bookmarkStart w:id="14" w:name="page15"/>
    <w:bookmarkEnd w:id="14"/>
    <w:p>
      <w:pPr>
        <w:ind w:left="100"/>
        <w:spacing w:after="0"/>
        <w:rPr>
          <w:sz w:val="20"/>
          <w:szCs w:val="20"/>
          <w:color w:val="auto"/>
        </w:rPr>
      </w:pPr>
      <w:r>
        <w:rPr>
          <w:rFonts w:ascii="Times New Roman" w:cs="Times New Roman" w:eastAsia="Times New Roman" w:hAnsi="Times New Roman"/>
          <w:sz w:val="22"/>
          <w:szCs w:val="22"/>
          <w:b w:val="1"/>
          <w:bCs w:val="1"/>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-140335</wp:posOffset>
            </wp:positionV>
            <wp:extent cx="617220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4DC1E4"/>
        </w:rPr>
        <w:t>Our Board has nominated Frank Thomas, Carole S. Ben-Maimon, M.D. and Joseph Truitt for re-election as Class III directors at our Annual Meeting to hold office until our 2029 Annual Meeting of Stockholders.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is the Company’s ultimate decision-making body, except with respect to those matters reserved to the stockholders. Our Board selects the members of our senior management team, who in turn are responsible for the day-to-day operations of the Company. Our Board acts as an advisor and counselor to senior management and oversees its performance.</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is divided into three classes, with each class holding office for a three-year term. Frank Thomas, Carole S. Ben-Maimon, M.D. and Joseph Truitt, the current Class III directors, have been nominated by our Board for re-election at the Annual Meeting for three-year terms that will expire at our 2029 Annual Meeting of Stockholders and until their successors, if any, are elected or appointed, or their earlier death, resignation, or removal. Each of the nominees has agreed to be named and to serve, and we expect each nominee to be able to serve if elected. If any nominee is unable to serve, the Nominating and Corporate Governance Committee will recommend to our Board a replacement nominee. The Board may then designate the other nominee to stand for election. If you voted for the unavailable nominee, your vote will be cast for his or her replacement.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STRUCTURE AND COMPOSITION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recommending the composition and structure of our Board and for developing criteria for Board membership. The Nominating and Corporate Governance Committee regularly reviews director competencies, qualities and experiences, with the goal of ensuring that our Board is comprised of an effective team of directors who function collegially and who can apply their experience toward meaningful contributions to our business strategy and oversight of our performance, risk management, organizational development and succession planning.</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Amended and Restated Bylaws (the “Bylaws”) provide that the number of members of our Board shall be fixed by the Board from time to time. Our Board is currently fixed at six members. Our Board is divided into three classes with staggered three-year terms. The Nominating and Corporate Governance Committee is responsible for identifying individuals that it believes are qualified to become Board members.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CRITERIA FOR BOARD MEMBERSHIP</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considers certain criteria in identifying director nominees. Important general criteria and considerations for Board membership include: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FFFF"/>
        </w:rPr>
        <w:t>G</w:t>
      </w:r>
      <w:r>
        <w:rPr>
          <w:rFonts w:ascii="Times New Roman" w:cs="Times New Roman" w:eastAsia="Times New Roman" w:hAnsi="Times New Roman"/>
          <w:sz w:val="13"/>
          <w:szCs w:val="13"/>
          <w:b w:val="1"/>
          <w:bCs w:val="1"/>
          <w:color w:val="FFFFFF"/>
        </w:rPr>
        <w:t>ENERAL</w:t>
      </w:r>
      <w:r>
        <w:rPr>
          <w:rFonts w:ascii="Times New Roman" w:cs="Times New Roman" w:eastAsia="Times New Roman" w:hAnsi="Times New Roman"/>
          <w:sz w:val="18"/>
          <w:szCs w:val="18"/>
          <w:b w:val="1"/>
          <w:bCs w:val="1"/>
          <w:color w:val="FFFFFF"/>
        </w:rPr>
        <w:t xml:space="preserve"> C</w:t>
      </w:r>
      <w:r>
        <w:rPr>
          <w:rFonts w:ascii="Times New Roman" w:cs="Times New Roman" w:eastAsia="Times New Roman" w:hAnsi="Times New Roman"/>
          <w:sz w:val="13"/>
          <w:szCs w:val="13"/>
          <w:b w:val="1"/>
          <w:bCs w:val="1"/>
          <w:color w:val="FFFFFF"/>
        </w:rPr>
        <w:t>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-116840</wp:posOffset>
            </wp:positionV>
            <wp:extent cx="617220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72200" cy="137160"/>
                    </a:xfrm>
                    <a:prstGeom prst="rect">
                      <a:avLst/>
                    </a:prstGeom>
                    <a:noFill/>
                  </pic:spPr>
                </pic:pic>
              </a:graphicData>
            </a:graphic>
          </wp:anchor>
        </w:drawing>
      </w:r>
    </w:p>
    <w:p>
      <w:pPr>
        <w:spacing w:after="0" w:line="209" w:lineRule="exact"/>
        <w:rPr>
          <w:sz w:val="20"/>
          <w:szCs w:val="20"/>
          <w:color w:val="auto"/>
        </w:rPr>
      </w:pPr>
    </w:p>
    <w:p>
      <w:pPr>
        <w:ind w:left="1220" w:hanging="658"/>
        <w:spacing w:after="0" w:line="261" w:lineRule="auto"/>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contribute to the Board’s range of talent, skill, and experience to provide sound and prudent guidance with respect to the Company’s strategy and operations, including, but not limited to:</w:t>
      </w:r>
    </w:p>
    <w:p>
      <w:pPr>
        <w:ind w:left="2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Experience at senior levels in public companies;</w:t>
      </w:r>
    </w:p>
    <w:p>
      <w:pPr>
        <w:spacing w:after="0" w:line="9" w:lineRule="exact"/>
        <w:rPr>
          <w:rFonts w:ascii="Times New Roman" w:cs="Times New Roman" w:eastAsia="Times New Roman" w:hAnsi="Times New Roman"/>
          <w:sz w:val="18"/>
          <w:szCs w:val="18"/>
          <w:color w:val="auto"/>
        </w:rPr>
      </w:pPr>
    </w:p>
    <w:p>
      <w:pPr>
        <w:ind w:left="2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Financial expertise;</w:t>
      </w:r>
    </w:p>
    <w:p>
      <w:pPr>
        <w:spacing w:after="0" w:line="9" w:lineRule="exact"/>
        <w:rPr>
          <w:rFonts w:ascii="Times New Roman" w:cs="Times New Roman" w:eastAsia="Times New Roman" w:hAnsi="Times New Roman"/>
          <w:sz w:val="18"/>
          <w:szCs w:val="18"/>
          <w:color w:val="auto"/>
        </w:rPr>
      </w:pPr>
    </w:p>
    <w:p>
      <w:pPr>
        <w:ind w:left="2760" w:hanging="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oExperience in leadership roles in clinical and commercial-stage companies in the biotechnology or healthcare fields;</w:t>
      </w:r>
    </w:p>
    <w:p>
      <w:pPr>
        <w:ind w:left="1220" w:hanging="658"/>
        <w:spacing w:after="0"/>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integrity and ethical character, commitment and independence of thought and judgment;</w:t>
      </w:r>
    </w:p>
    <w:p>
      <w:pPr>
        <w:spacing w:after="0" w:line="9" w:lineRule="exact"/>
        <w:rPr>
          <w:rFonts w:ascii="Times New Roman" w:cs="Times New Roman" w:eastAsia="Times New Roman" w:hAnsi="Times New Roman"/>
          <w:sz w:val="18"/>
          <w:szCs w:val="18"/>
          <w:color w:val="auto"/>
        </w:rPr>
      </w:pPr>
    </w:p>
    <w:p>
      <w:pPr>
        <w:ind w:left="1220" w:hanging="658"/>
        <w:spacing w:after="0"/>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Capability to fairly and equally act in the best interest of our stockholders;</w:t>
      </w:r>
    </w:p>
    <w:p>
      <w:pPr>
        <w:spacing w:after="0" w:line="9" w:lineRule="exact"/>
        <w:rPr>
          <w:rFonts w:ascii="Times New Roman" w:cs="Times New Roman" w:eastAsia="Times New Roman" w:hAnsi="Times New Roman"/>
          <w:sz w:val="18"/>
          <w:szCs w:val="18"/>
          <w:color w:val="auto"/>
        </w:rPr>
      </w:pPr>
    </w:p>
    <w:p>
      <w:pPr>
        <w:jc w:val="both"/>
        <w:ind w:left="1220" w:hanging="658"/>
        <w:spacing w:after="0" w:line="250" w:lineRule="auto"/>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Confidence and willingness to express ideas and engage in constructive discussion with other Board members and management, to actively participate in the Board’s decision-making process and make difficult decisions in the best interest of the Company and our stockholders;</w:t>
      </w:r>
    </w:p>
    <w:p>
      <w:pPr>
        <w:spacing w:after="0" w:line="1" w:lineRule="exact"/>
        <w:rPr>
          <w:rFonts w:ascii="Times New Roman" w:cs="Times New Roman" w:eastAsia="Times New Roman" w:hAnsi="Times New Roman"/>
          <w:sz w:val="18"/>
          <w:szCs w:val="18"/>
          <w:color w:val="auto"/>
        </w:rPr>
      </w:pPr>
    </w:p>
    <w:p>
      <w:pPr>
        <w:ind w:left="1220" w:hanging="658"/>
        <w:spacing w:after="0" w:line="250" w:lineRule="auto"/>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contribute to the diversity of personal and professional experiences, skills, knowledge, opinions, perspectives, and backgrounds on the Board;</w:t>
      </w:r>
    </w:p>
    <w:p>
      <w:pPr>
        <w:ind w:left="1220" w:hanging="658"/>
        <w:spacing w:after="0" w:line="250" w:lineRule="auto"/>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Willingness and ability to devote sufficient time, energy and attention to the affairs of the Company and the Board; and</w:t>
      </w:r>
    </w:p>
    <w:p>
      <w:pPr>
        <w:ind w:left="1220" w:hanging="658"/>
        <w:spacing w:after="0"/>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actual and potential conflicts of interest.</w:t>
      </w:r>
    </w:p>
    <w:p>
      <w:pPr>
        <w:spacing w:after="0" w:line="324" w:lineRule="exact"/>
        <w:rPr>
          <w:sz w:val="20"/>
          <w:szCs w:val="20"/>
          <w:color w:val="auto"/>
        </w:rPr>
      </w:pPr>
    </w:p>
    <w:p>
      <w:pPr>
        <w:jc w:val="right"/>
        <w:spacing w:after="0"/>
        <w:tabs>
          <w:tab w:leader="none" w:pos="6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w:t>
      </w:r>
      <w:r>
        <w:rPr>
          <w:sz w:val="20"/>
          <w:szCs w:val="20"/>
          <w:color w:val="auto"/>
        </w:rPr>
        <w:tab/>
      </w:r>
      <w:r>
        <w:rPr>
          <w:rFonts w:ascii="Times New Roman" w:cs="Times New Roman" w:eastAsia="Times New Roman" w:hAnsi="Times New Roman"/>
          <w:sz w:val="16"/>
          <w:szCs w:val="16"/>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8" w:right="1099" w:bottom="1440" w:gutter="0" w:footer="0" w:header="0"/>
        </w:sectPr>
      </w:pPr>
    </w:p>
    <w:bookmarkStart w:id="15" w:name="page16"/>
    <w:bookmarkEnd w:id="15"/>
    <w:p>
      <w:pPr>
        <w:ind w:left="100"/>
        <w:spacing w:after="0"/>
        <w:rPr>
          <w:sz w:val="20"/>
          <w:szCs w:val="20"/>
          <w:color w:val="auto"/>
        </w:rPr>
      </w:pPr>
      <w:r>
        <w:rPr>
          <w:rFonts w:ascii="Times New Roman" w:cs="Times New Roman" w:eastAsia="Times New Roman" w:hAnsi="Times New Roman"/>
          <w:sz w:val="22"/>
          <w:szCs w:val="22"/>
          <w:b w:val="1"/>
          <w:bCs w:val="1"/>
          <w:color w:val="auto"/>
        </w:rPr>
        <w:t>BOARD OF DIRECTORS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also considers, on an ongoing basis, the background, experience, skills and overall service to the Company, including level of participation and quality of performance, of the incumbent directors that are important to our current and future business needs, including, among others, the combined mix of experience in the following areas: finance, executive management, the formation and development of start-up companies in the life sciences industry, public company governance and management and biopharmaceutical product development/commercialization.</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recruiting and selecting Board candidates, the Nominating and Corporate Governance Committee considers the size of the Board and the skills of the candidates. The Nominating and Corporate Governance Committee reviews the professional experience and qualifications of each Board member and candidate to determine whether a particular Board member or candidate possesses the necessary skills and/or other attributes to qualify him or her for service on a particular committee. The Nominating and Corporate Governance Committee also considers a wide range of additional factors including other positions the director or candidate holds, including other boards of directors on which he or she serves, and the independence of each director and candidate, to ensure that a substantial majority of the Board is independent. While the Company does not have a formal policy on Board diversity, the Company seeks to maintain a Board comprised of talented and dedicated directors whose skills and backgrounds reflect the diverse nature of the business environment in which the Company operates. The Nominating and Corporate Governance Committee considers the value of diversity on the Board in evaluating director nominees and accordingly, includes in their evaluation consideration of their ability to contribute to the diversity of personal and professional experiences, skills, knowledge, opinions, perspectives and backgrounds on the Board.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Director Candidates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an ongoing basis, the Nominating and Corporate Governance Committee considers potential director candidates identified on its own initiative, as well as candidates referred or recommended to it by other directors, members of management, search firms, stockholders and others (including individuals seeking to join the Board). Stockholders who wish to recommend candidates may contact the Nominating and Corporate Governance Committee in the manner described in “Stockholder Communications to the Board.” Stockholder nominations must be made according to the procedures required under our Bylaws and described in this Proxy Statement under the heading “Requirements for Submission of Stockholder Proposals for Next Year’s Annual Meeting.” Stockholder-recommended candidates and stockholder nominees whose nominations comply with these procedures and who meet the criteria referred to above will be evaluated by the Nominating and Corporate Governance Committee in the same manner as the Nominating and Corporate Governance Committee’s nominees.</w:t>
      </w:r>
    </w:p>
    <w:p>
      <w:pPr>
        <w:spacing w:after="0" w:line="184" w:lineRule="exact"/>
        <w:rPr>
          <w:sz w:val="20"/>
          <w:szCs w:val="20"/>
          <w:color w:val="auto"/>
        </w:rPr>
      </w:pPr>
    </w:p>
    <w:p>
      <w:pPr>
        <w:ind w:right="1040"/>
        <w:spacing w:after="0" w:line="286" w:lineRule="auto"/>
        <w:rPr>
          <w:sz w:val="20"/>
          <w:szCs w:val="20"/>
          <w:color w:val="auto"/>
        </w:rPr>
      </w:pPr>
      <w:r>
        <w:rPr>
          <w:rFonts w:ascii="Times New Roman" w:cs="Times New Roman" w:eastAsia="Times New Roman" w:hAnsi="Times New Roman"/>
          <w:sz w:val="18"/>
          <w:szCs w:val="18"/>
          <w:b w:val="1"/>
          <w:bCs w:val="1"/>
          <w:color w:val="auto"/>
        </w:rPr>
        <w:t>BOARD OVERSIGHT OF COMPANY CULTURE AND ENVIRONMENTAL, SOCIAL AND GOVERNANCE HIGHLIGHTS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is committed to fostering a strong culture of compliance and ethical conduct and has structured its committees and their activities to support its commitment. Our Board supports management’s promotion of a corporate culture of integrity, ethical behavior and compliance with laws and regulations and for ensuring that the Company’s culture and its strategy are aligned. Our Board expects all directors, as well as officers and employees, to conduct themselves in a manner consistent with our Code of Business Conduct and Ethics (the “Code of Conduct”) and our values. Our Board believes that a strong culture of integrity, ethics and compliance is fundamental to the conduct of the Company’s business, and is necessary for effective risk management, maintaining investor trust, and successful corporate governance.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corporate responsibility is essential for good governance because it strengthens the accountability of our Board and management team. We view Environmental, Social and Governance (“ESG”) initiatives as long-term value drivers for the Company and our stockholders. Our focus on, and commitment to ESG initiatives, is tied to our belief that achieving and sustaining business excellence goes hand-in-hand with strong corporate leadership and stewardship. Our Board is primarily responsible for overseeing our corporate strategy, which includes the oversight of ESG matters that impact our business and related risks.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current ESG policies and practices:</w:t>
      </w:r>
    </w:p>
    <w:p>
      <w:pPr>
        <w:spacing w:after="0" w:line="181" w:lineRule="exact"/>
        <w:rPr>
          <w:sz w:val="20"/>
          <w:szCs w:val="20"/>
          <w:color w:val="auto"/>
        </w:rPr>
      </w:pPr>
    </w:p>
    <w:p>
      <w:pPr>
        <w:jc w:val="both"/>
        <w:ind w:left="1200" w:hanging="652"/>
        <w:spacing w:after="0" w:line="257" w:lineRule="auto"/>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Separate Chairperson of the Board and Chief Executive Officer: </w:t>
      </w:r>
      <w:r>
        <w:rPr>
          <w:rFonts w:ascii="Times New Roman" w:cs="Times New Roman" w:eastAsia="Times New Roman" w:hAnsi="Times New Roman"/>
          <w:sz w:val="18"/>
          <w:szCs w:val="18"/>
          <w:color w:val="auto"/>
        </w:rPr>
        <w:t>The offices of Chief Executive Officer (“CEO”)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Chairperson of the Board are separated, which allows our CEO to focus on strategic planning and execution, as well as our day-to-day business operations, while allowing the Chairperson of the Board to lead the Board in its fundamental role of providing advice to, and oversight of, management. While our Bylaws do not require the Chairperson of the Board and CEO positions to be separate, our Board believes that having separate positions is the appropriate leadership structure for us currently and demonstrates our commitment to good corporate governance.</w:t>
      </w:r>
    </w:p>
    <w:p>
      <w:pPr>
        <w:spacing w:after="0" w:line="304" w:lineRule="exact"/>
        <w:rPr>
          <w:sz w:val="20"/>
          <w:szCs w:val="20"/>
          <w:color w:val="auto"/>
        </w:rPr>
      </w:pPr>
    </w:p>
    <w:p>
      <w:pPr>
        <w:jc w:val="right"/>
        <w:spacing w:after="0"/>
        <w:tabs>
          <w:tab w:leader="none" w:pos="6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w:t>
      </w:r>
      <w:r>
        <w:rPr>
          <w:sz w:val="20"/>
          <w:szCs w:val="20"/>
          <w:color w:val="auto"/>
        </w:rPr>
        <w:tab/>
      </w:r>
      <w:r>
        <w:rPr>
          <w:rFonts w:ascii="Times New Roman" w:cs="Times New Roman" w:eastAsia="Times New Roman" w:hAnsi="Times New Roman"/>
          <w:sz w:val="16"/>
          <w:szCs w:val="16"/>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b w:val="1"/>
          <w:bCs w:val="1"/>
          <w:color w:val="auto"/>
        </w:rPr>
        <w:t>BOARD OF DIRECTORS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7" w:lineRule="exact"/>
        <w:rPr>
          <w:sz w:val="20"/>
          <w:szCs w:val="20"/>
          <w:color w:val="auto"/>
        </w:rPr>
      </w:pPr>
    </w:p>
    <w:p>
      <w:pPr>
        <w:ind w:left="1200" w:hanging="652"/>
        <w:spacing w:after="0"/>
        <w:tabs>
          <w:tab w:leader="none" w:pos="1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Independent Committees: </w:t>
      </w:r>
      <w:r>
        <w:rPr>
          <w:rFonts w:ascii="Times New Roman" w:cs="Times New Roman" w:eastAsia="Times New Roman" w:hAnsi="Times New Roman"/>
          <w:sz w:val="18"/>
          <w:szCs w:val="18"/>
          <w:color w:val="auto"/>
        </w:rPr>
        <w:t>Each of our committees consist entirely of independent directors.</w:t>
      </w:r>
    </w:p>
    <w:p>
      <w:pPr>
        <w:spacing w:after="0" w:line="31" w:lineRule="exact"/>
        <w:rPr>
          <w:rFonts w:ascii="Times New Roman" w:cs="Times New Roman" w:eastAsia="Times New Roman" w:hAnsi="Times New Roman"/>
          <w:sz w:val="18"/>
          <w:szCs w:val="18"/>
          <w:color w:val="auto"/>
        </w:rPr>
      </w:pPr>
    </w:p>
    <w:p>
      <w:pPr>
        <w:jc w:val="both"/>
        <w:ind w:left="1200" w:hanging="652"/>
        <w:spacing w:after="0" w:line="250" w:lineRule="auto"/>
        <w:tabs>
          <w:tab w:leader="none" w:pos="1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Regularly Held Executive Sessions: </w:t>
      </w:r>
      <w:r>
        <w:rPr>
          <w:rFonts w:ascii="Times New Roman" w:cs="Times New Roman" w:eastAsia="Times New Roman" w:hAnsi="Times New Roman"/>
          <w:sz w:val="18"/>
          <w:szCs w:val="18"/>
          <w:color w:val="auto"/>
        </w:rPr>
        <w:t>The independent directors of our Board meet separately in executive session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regular basis to discuss matters relating to the Company and the Board, without members of the management team present.</w:t>
      </w:r>
    </w:p>
    <w:p>
      <w:pPr>
        <w:spacing w:after="0" w:line="1" w:lineRule="exact"/>
        <w:rPr>
          <w:rFonts w:ascii="Times New Roman" w:cs="Times New Roman" w:eastAsia="Times New Roman" w:hAnsi="Times New Roman"/>
          <w:sz w:val="18"/>
          <w:szCs w:val="18"/>
          <w:color w:val="auto"/>
        </w:rPr>
      </w:pPr>
    </w:p>
    <w:p>
      <w:pPr>
        <w:ind w:left="1200" w:hanging="652"/>
        <w:spacing w:after="0" w:line="250" w:lineRule="auto"/>
        <w:tabs>
          <w:tab w:leader="none" w:pos="1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Code of Conduct: </w:t>
      </w:r>
      <w:r>
        <w:rPr>
          <w:rFonts w:ascii="Times New Roman" w:cs="Times New Roman" w:eastAsia="Times New Roman" w:hAnsi="Times New Roman"/>
          <w:sz w:val="18"/>
          <w:szCs w:val="18"/>
          <w:color w:val="auto"/>
        </w:rPr>
        <w:t>All of our directors, officers and employees are subject to the "Code of Business Conduct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Ethics", which is available on our website at </w:t>
      </w:r>
      <w:r>
        <w:rPr>
          <w:rFonts w:ascii="Times New Roman" w:cs="Times New Roman" w:eastAsia="Times New Roman" w:hAnsi="Times New Roman"/>
          <w:sz w:val="18"/>
          <w:szCs w:val="18"/>
          <w:u w:val="single" w:color="auto"/>
          <w:color w:val="2B7CF4"/>
        </w:rPr>
        <w:t>www.larimartx.com</w:t>
      </w:r>
      <w:r>
        <w:rPr>
          <w:rFonts w:ascii="Times New Roman" w:cs="Times New Roman" w:eastAsia="Times New Roman" w:hAnsi="Times New Roman"/>
          <w:sz w:val="18"/>
          <w:szCs w:val="18"/>
          <w:color w:val="auto"/>
        </w:rPr>
        <w:t xml:space="preserve"> under “Investors – Corporate Governance.”</w:t>
      </w:r>
    </w:p>
    <w:p>
      <w:pPr>
        <w:jc w:val="both"/>
        <w:ind w:left="1200" w:hanging="652"/>
        <w:spacing w:after="0" w:line="255" w:lineRule="auto"/>
        <w:tabs>
          <w:tab w:leader="none" w:pos="1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Human Capital Management: </w:t>
      </w:r>
      <w:r>
        <w:rPr>
          <w:rFonts w:ascii="Times New Roman" w:cs="Times New Roman" w:eastAsia="Times New Roman" w:hAnsi="Times New Roman"/>
          <w:sz w:val="18"/>
          <w:szCs w:val="18"/>
          <w:color w:val="auto"/>
        </w:rPr>
        <w:t>We are committed to the health and welfare of our employees. We support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of our employees with a competitive compensation and benefits package, health and wellness programs, internal advancement, and individualized development opportunities.</w:t>
      </w:r>
    </w:p>
    <w:p>
      <w:pPr>
        <w:spacing w:after="0" w:line="1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4DC1E4"/>
        </w:rPr>
        <w:t>In each of the director nominee and continuing director biographies that follow, we highlight the specific experience, qualifications, attributes and skills that led the Board to conclude that the director nominee or continuing director should serve on our Board at this time.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NOMINEES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CLASS III DIRECTORS — PRESENT TERMS EXPIRING AT THE ANNUAL MEETING AND PROPOSED TERMS TO EXPIRE AT THE 2029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6176010" cy="2273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76010" cy="227330"/>
                    </a:xfrm>
                    <a:prstGeom prst="rect">
                      <a:avLst/>
                    </a:prstGeom>
                    <a:noFill/>
                  </pic:spPr>
                </pic:pic>
              </a:graphicData>
            </a:graphic>
          </wp:anchor>
        </w:drawing>
      </w:r>
    </w:p>
    <w:p>
      <w:pPr>
        <w:spacing w:after="0" w:line="20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FFFFFF"/>
        </w:rPr>
        <w:t>F</w:t>
      </w:r>
      <w:r>
        <w:rPr>
          <w:rFonts w:ascii="Times New Roman" w:cs="Times New Roman" w:eastAsia="Times New Roman" w:hAnsi="Times New Roman"/>
          <w:sz w:val="13"/>
          <w:szCs w:val="13"/>
          <w:b w:val="1"/>
          <w:bCs w:val="1"/>
          <w:color w:val="FFFFFF"/>
        </w:rPr>
        <w:t>RANK</w:t>
      </w:r>
      <w:r>
        <w:rPr>
          <w:rFonts w:ascii="Times New Roman" w:cs="Times New Roman" w:eastAsia="Times New Roman" w:hAnsi="Times New Roman"/>
          <w:sz w:val="18"/>
          <w:szCs w:val="18"/>
          <w:b w:val="1"/>
          <w:bCs w:val="1"/>
          <w:color w:val="FFFFFF"/>
        </w:rPr>
        <w:t xml:space="preserve"> T</w:t>
      </w:r>
      <w:r>
        <w:rPr>
          <w:rFonts w:ascii="Times New Roman" w:cs="Times New Roman" w:eastAsia="Times New Roman" w:hAnsi="Times New Roman"/>
          <w:sz w:val="13"/>
          <w:szCs w:val="13"/>
          <w:b w:val="1"/>
          <w:bCs w:val="1"/>
          <w:color w:val="FFFFFF"/>
        </w:rPr>
        <w:t>HOMAS</w:t>
      </w:r>
    </w:p>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260" w:type="dxa"/>
            <w:vAlign w:val="bottom"/>
            <w:tcBorders>
              <w:top w:val="single" w:sz="8" w:color="auto"/>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56</w:t>
            </w:r>
          </w:p>
        </w:tc>
        <w:tc>
          <w:tcPr>
            <w:tcW w:w="316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Committee Memberships:</w:t>
            </w:r>
          </w:p>
        </w:tc>
        <w:tc>
          <w:tcPr>
            <w:tcW w:w="332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Other Public Directorships:</w:t>
            </w:r>
          </w:p>
        </w:tc>
      </w:tr>
      <w:tr>
        <w:trPr>
          <w:trHeight w:val="238"/>
        </w:trPr>
        <w:tc>
          <w:tcPr>
            <w:tcW w:w="32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2014</w:t>
            </w:r>
          </w:p>
        </w:tc>
        <w:tc>
          <w:tcPr>
            <w:tcW w:w="31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Audit (Chair), Compensation</w:t>
            </w:r>
          </w:p>
        </w:tc>
        <w:tc>
          <w:tcPr>
            <w:tcW w:w="33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Spero Therapeutics, Inc.</w:t>
            </w:r>
          </w:p>
        </w:tc>
      </w:tr>
      <w:tr>
        <w:trPr>
          <w:trHeight w:val="216"/>
        </w:trPr>
        <w:tc>
          <w:tcPr>
            <w:tcW w:w="3260" w:type="dxa"/>
            <w:vAlign w:val="bottom"/>
            <w:tcBorders>
              <w:left w:val="single" w:sz="8" w:color="auto"/>
              <w:bottom w:val="single" w:sz="8" w:color="auto"/>
              <w:right w:val="single" w:sz="8" w:color="auto"/>
            </w:tcBorders>
          </w:tcPr>
          <w:p>
            <w:pPr>
              <w:spacing w:after="0"/>
              <w:rPr>
                <w:sz w:val="18"/>
                <w:szCs w:val="18"/>
                <w:color w:val="auto"/>
              </w:rPr>
            </w:pPr>
          </w:p>
        </w:tc>
        <w:tc>
          <w:tcPr>
            <w:tcW w:w="3160" w:type="dxa"/>
            <w:vAlign w:val="bottom"/>
            <w:tcBorders>
              <w:bottom w:val="single" w:sz="8" w:color="auto"/>
              <w:right w:val="single" w:sz="8" w:color="auto"/>
            </w:tcBorders>
          </w:tcPr>
          <w:p>
            <w:pPr>
              <w:spacing w:after="0"/>
              <w:rPr>
                <w:sz w:val="18"/>
                <w:szCs w:val="18"/>
                <w:color w:val="auto"/>
              </w:rPr>
            </w:pPr>
          </w:p>
        </w:tc>
        <w:tc>
          <w:tcPr>
            <w:tcW w:w="3320" w:type="dxa"/>
            <w:vAlign w:val="bottom"/>
            <w:tcBorders>
              <w:bottom w:val="single" w:sz="8" w:color="auto"/>
              <w:right w:val="single" w:sz="8" w:color="auto"/>
            </w:tcBorders>
          </w:tcPr>
          <w:p>
            <w:pPr>
              <w:spacing w:after="0"/>
              <w:rPr>
                <w:sz w:val="18"/>
                <w:szCs w:val="18"/>
                <w:color w:val="auto"/>
              </w:rPr>
            </w:pPr>
          </w:p>
        </w:tc>
      </w:tr>
    </w:tbl>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Frank Thomas </w:t>
      </w:r>
      <w:r>
        <w:rPr>
          <w:rFonts w:ascii="Times New Roman" w:cs="Times New Roman" w:eastAsia="Times New Roman" w:hAnsi="Times New Roman"/>
          <w:sz w:val="18"/>
          <w:szCs w:val="18"/>
          <w:color w:val="auto"/>
        </w:rPr>
        <w:t>has served as a member of the Board since June 2014. Mr. Thomas has been the President and Chief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of Orchard Therapeutics plc (“Orchard”), a biotechnology company dedicated to using gene therapy to end the devastation caused by genetic and other severe diseases, since March 2020. Mr. Thomas served as Chief Operating Officer and Chief Financial Officer of Orchard from January 2020 to March 2020 and the Chief Financial Officer and Chief Business Officer of Orchard from January 2018 to December 2019. In January 2024, Orchard was acquired by Kyowa Kirin Co., Ltd., a Japan-based global specialty pharmaceutical company. Prior to joining Orchard, Mr. Thomas served as President and Chief Operating Officer of AMAG Pharmaceuticals, Inc. (“AMAG”), a specialty pharmaceutical company, from April 2015 to April 2017, and previously served as AMAG’s Executive Vice President and Chief Operating Officer from May 2012 through April 2015, and as Executive Vice President, Chief Financial Officer and Treasurer from August 2011 through May 2012. Prior to joining AMAG, he served in various executive roles at public and private biotechnology and medical diagnostics companies, including Molecular Biometrics, Inc., a commercial stage medical diagnostics company, Critical Therapeutics, Inc. (“Critical Therapeutics”), a biopharmaceutical company, and Esperion Therapeutics, Inc., a biopharmaceutical company. His roles at these companies ranged at various times from Chief Executive Officer, Chief Operating Officer and Chief Financial Officer. He also served on the board of directors of Critical Therapeutics. Since July 2017, Mr. Thomas has served on the board of directors of Spero Therapeutics, Inc., a publicly traded biopharmaceutical company, and as chairman of its board of directors since January 2025. Mr. Thomas was a member of the board of directors of the Massachusetts Biotechnology Council from 2007 to 2015. Mr. Thomas holds a B.B.A. from the University of Michigan, Ann Arbor.</w:t>
      </w:r>
    </w:p>
    <w:p>
      <w:pPr>
        <w:spacing w:after="0" w:line="15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Skills &amp; Qualifications: </w:t>
      </w:r>
      <w:r>
        <w:rPr>
          <w:rFonts w:ascii="Times New Roman" w:cs="Times New Roman" w:eastAsia="Times New Roman" w:hAnsi="Times New Roman"/>
          <w:sz w:val="18"/>
          <w:szCs w:val="18"/>
          <w:color w:val="auto"/>
        </w:rPr>
        <w:t>Mr. Thomas’ qualifications to sit on the Board include his extensive executive, financial and operational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experience at biopharmaceutical companies, including board of director roles at various biopharmaceutical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6176010" cy="2273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76010" cy="227330"/>
                    </a:xfrm>
                    <a:prstGeom prst="rect">
                      <a:avLst/>
                    </a:prstGeom>
                    <a:noFill/>
                  </pic:spPr>
                </pic:pic>
              </a:graphicData>
            </a:graphic>
          </wp:anchor>
        </w:drawing>
      </w:r>
    </w:p>
    <w:p>
      <w:pPr>
        <w:spacing w:after="0" w:line="20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FFFFFF"/>
        </w:rPr>
        <w:t>C</w:t>
      </w:r>
      <w:r>
        <w:rPr>
          <w:rFonts w:ascii="Times New Roman" w:cs="Times New Roman" w:eastAsia="Times New Roman" w:hAnsi="Times New Roman"/>
          <w:sz w:val="13"/>
          <w:szCs w:val="13"/>
          <w:b w:val="1"/>
          <w:bCs w:val="1"/>
          <w:color w:val="FFFFFF"/>
        </w:rPr>
        <w:t>AROLE</w:t>
      </w:r>
      <w:r>
        <w:rPr>
          <w:rFonts w:ascii="Times New Roman" w:cs="Times New Roman" w:eastAsia="Times New Roman" w:hAnsi="Times New Roman"/>
          <w:sz w:val="18"/>
          <w:szCs w:val="18"/>
          <w:b w:val="1"/>
          <w:bCs w:val="1"/>
          <w:color w:val="FFFFFF"/>
        </w:rPr>
        <w:t xml:space="preserve"> S. B</w:t>
      </w:r>
      <w:r>
        <w:rPr>
          <w:rFonts w:ascii="Times New Roman" w:cs="Times New Roman" w:eastAsia="Times New Roman" w:hAnsi="Times New Roman"/>
          <w:sz w:val="13"/>
          <w:szCs w:val="13"/>
          <w:b w:val="1"/>
          <w:bCs w:val="1"/>
          <w:color w:val="FFFFFF"/>
        </w:rPr>
        <w:t>EN</w:t>
      </w:r>
      <w:r>
        <w:rPr>
          <w:rFonts w:ascii="Times New Roman" w:cs="Times New Roman" w:eastAsia="Times New Roman" w:hAnsi="Times New Roman"/>
          <w:sz w:val="18"/>
          <w:szCs w:val="18"/>
          <w:b w:val="1"/>
          <w:bCs w:val="1"/>
          <w:color w:val="FFFFFF"/>
        </w:rPr>
        <w:t>-M</w:t>
      </w:r>
      <w:r>
        <w:rPr>
          <w:rFonts w:ascii="Times New Roman" w:cs="Times New Roman" w:eastAsia="Times New Roman" w:hAnsi="Times New Roman"/>
          <w:sz w:val="13"/>
          <w:szCs w:val="13"/>
          <w:b w:val="1"/>
          <w:bCs w:val="1"/>
          <w:color w:val="FFFFFF"/>
        </w:rPr>
        <w:t>AIMON</w:t>
      </w:r>
      <w:r>
        <w:rPr>
          <w:rFonts w:ascii="Times New Roman" w:cs="Times New Roman" w:eastAsia="Times New Roman" w:hAnsi="Times New Roman"/>
          <w:sz w:val="18"/>
          <w:szCs w:val="18"/>
          <w:b w:val="1"/>
          <w:bCs w:val="1"/>
          <w:color w:val="FFFFFF"/>
        </w:rPr>
        <w:t>, M.D.</w:t>
      </w:r>
    </w:p>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260" w:type="dxa"/>
            <w:vAlign w:val="bottom"/>
            <w:tcBorders>
              <w:top w:val="single" w:sz="8" w:color="auto"/>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67</w:t>
            </w:r>
          </w:p>
        </w:tc>
        <w:tc>
          <w:tcPr>
            <w:tcW w:w="324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Committee Memberships:</w:t>
            </w:r>
          </w:p>
        </w:tc>
        <w:tc>
          <w:tcPr>
            <w:tcW w:w="324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Other Public Directorships:</w:t>
            </w:r>
          </w:p>
        </w:tc>
      </w:tr>
      <w:tr>
        <w:trPr>
          <w:trHeight w:val="238"/>
        </w:trPr>
        <w:tc>
          <w:tcPr>
            <w:tcW w:w="32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2020</w:t>
            </w:r>
          </w:p>
        </w:tc>
        <w:tc>
          <w:tcPr>
            <w:tcW w:w="32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None</w:t>
            </w:r>
          </w:p>
        </w:tc>
        <w:tc>
          <w:tcPr>
            <w:tcW w:w="32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260" w:type="dxa"/>
            <w:vAlign w:val="bottom"/>
            <w:tcBorders>
              <w:left w:val="single" w:sz="8" w:color="auto"/>
              <w:bottom w:val="single" w:sz="8" w:color="auto"/>
              <w:right w:val="single" w:sz="8" w:color="auto"/>
            </w:tcBorders>
          </w:tcPr>
          <w:p>
            <w:pPr>
              <w:spacing w:after="0"/>
              <w:rPr>
                <w:sz w:val="18"/>
                <w:szCs w:val="18"/>
                <w:color w:val="auto"/>
              </w:rPr>
            </w:pPr>
          </w:p>
        </w:tc>
        <w:tc>
          <w:tcPr>
            <w:tcW w:w="3240" w:type="dxa"/>
            <w:vAlign w:val="bottom"/>
            <w:tcBorders>
              <w:bottom w:val="single" w:sz="8" w:color="auto"/>
              <w:right w:val="single" w:sz="8" w:color="auto"/>
            </w:tcBorders>
          </w:tcPr>
          <w:p>
            <w:pPr>
              <w:spacing w:after="0"/>
              <w:rPr>
                <w:sz w:val="18"/>
                <w:szCs w:val="18"/>
                <w:color w:val="auto"/>
              </w:rPr>
            </w:pPr>
          </w:p>
        </w:tc>
        <w:tc>
          <w:tcPr>
            <w:tcW w:w="3240" w:type="dxa"/>
            <w:vAlign w:val="bottom"/>
            <w:tcBorders>
              <w:bottom w:val="single" w:sz="8" w:color="auto"/>
              <w:right w:val="single" w:sz="8" w:color="auto"/>
            </w:tcBorders>
          </w:tcPr>
          <w:p>
            <w:pPr>
              <w:spacing w:after="0"/>
              <w:rPr>
                <w:sz w:val="18"/>
                <w:szCs w:val="18"/>
                <w:color w:val="auto"/>
              </w:rPr>
            </w:pPr>
          </w:p>
        </w:tc>
      </w:tr>
    </w:tbl>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Carole S. Ben-Maimon, M.D. </w:t>
      </w:r>
      <w:r>
        <w:rPr>
          <w:rFonts w:ascii="Times New Roman" w:cs="Times New Roman" w:eastAsia="Times New Roman" w:hAnsi="Times New Roman"/>
          <w:sz w:val="18"/>
          <w:szCs w:val="18"/>
          <w:color w:val="auto"/>
        </w:rPr>
        <w:t>has served as a member of the Board since May 2020. Dr. Ben-Maimon has served as the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Chief Executive Officer of the Company since May 2020. Dr. Ben-Maimon served as the President, Chief Executive Officer of Chondrial Therapeutics, Inc. (“Chondrial”), with which we completed a business combination with in 2020, and as a member of Chondrial’s board of directors from December 2016 until May 2020. Prior thereto and from 2014 to 2016, she served as an independent consultant at CSGB Consulting, LLC, where she participated in the evaluation of investment opportunities in the brand</w:t>
      </w:r>
    </w:p>
    <w:p>
      <w:pPr>
        <w:spacing w:after="0" w:line="301" w:lineRule="exact"/>
        <w:rPr>
          <w:sz w:val="20"/>
          <w:szCs w:val="20"/>
          <w:color w:val="auto"/>
        </w:rPr>
      </w:pPr>
    </w:p>
    <w:p>
      <w:pPr>
        <w:jc w:val="right"/>
        <w:spacing w:after="0"/>
        <w:tabs>
          <w:tab w:leader="none" w:pos="6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w:t>
      </w:r>
      <w:r>
        <w:rPr>
          <w:sz w:val="20"/>
          <w:szCs w:val="20"/>
          <w:color w:val="auto"/>
        </w:rPr>
        <w:tab/>
      </w:r>
      <w:r>
        <w:rPr>
          <w:rFonts w:ascii="Times New Roman" w:cs="Times New Roman" w:eastAsia="Times New Roman" w:hAnsi="Times New Roman"/>
          <w:sz w:val="16"/>
          <w:szCs w:val="16"/>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b w:val="1"/>
          <w:bCs w:val="1"/>
          <w:color w:val="auto"/>
        </w:rPr>
        <w:t>BOARD OF DIRECTORS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20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and generic industry on behalf of investment firms. Prior thereto, from September 2011 to November 2014, Dr. Ben-Maimon was the President of Global Pharmaceuticals, a subsidiary of Impax Laboratories (“Impax”), which was responsible for Impax’s generic business. Prior to Global Pharmaceuticals, she served as Senior Vice President, Corporate Strategy at Qualitest Pharmaceuticals, Inc. (“Qualitest”) from July 2009 to July 2010. Prior to her role at Qualitest, she served as Founder, President and Chief Executive Officer and director of Alita Pharmaceuticals, Inc., an early stage, privately held specialty pharmaceutical company, from September 2006 to June 2009. Dr. Ben-Maimon also held executive positions with and served as a member of the board with Barr Pharmaceuticals Inc. (“Barr”) from 2001 to 2006, including as President and Chief Operating Officer of Duramed Research, Inc., a wholly-owned subsidiary of Barr, where she led Barr’s branded female healthcare business and also served as a member of its board of directors. Prior to that, from 1993 to 2001, Dr. Ben-Maimon was at Teva Pharmaceutical Industries in various roles, including being responsible for research and development and public policy in North America from 2000 to 2001. From 2016 to 2022, Dr. Ben-Maimon served as a member of the board of directors and the audit and nominating and corporate governance committees of the board of Teligent, Inc. Dr. Ben-Maimon also serves on the board of directors of a privately-held pharmaceutical company and on the board of a not-for-profit hospital in Philadelphia, Pennsylvania. Dr. Ben-Maimon received her B.S. from the University of Pennsylvania and her M.D. from Jefferson Medical College. She completed clinical and research training in internal medicine and nephrology at Thomas Jefferson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133985</wp:posOffset>
            </wp:positionV>
            <wp:extent cx="6176010" cy="2273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76010" cy="227330"/>
                    </a:xfrm>
                    <a:prstGeom prst="rect">
                      <a:avLst/>
                    </a:prstGeom>
                    <a:noFill/>
                  </pic:spPr>
                </pic:pic>
              </a:graphicData>
            </a:graphic>
          </wp:anchor>
        </w:drawing>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FFFFFF"/>
        </w:rPr>
        <w:t>J</w:t>
      </w:r>
      <w:r>
        <w:rPr>
          <w:rFonts w:ascii="Times New Roman" w:cs="Times New Roman" w:eastAsia="Times New Roman" w:hAnsi="Times New Roman"/>
          <w:sz w:val="13"/>
          <w:szCs w:val="13"/>
          <w:b w:val="1"/>
          <w:bCs w:val="1"/>
          <w:color w:val="FFFFFF"/>
        </w:rPr>
        <w:t>OSEPH</w:t>
      </w:r>
      <w:r>
        <w:rPr>
          <w:rFonts w:ascii="Times New Roman" w:cs="Times New Roman" w:eastAsia="Times New Roman" w:hAnsi="Times New Roman"/>
          <w:sz w:val="18"/>
          <w:szCs w:val="18"/>
          <w:b w:val="1"/>
          <w:bCs w:val="1"/>
          <w:color w:val="FFFFFF"/>
        </w:rPr>
        <w:t xml:space="preserve"> T</w:t>
      </w:r>
      <w:r>
        <w:rPr>
          <w:rFonts w:ascii="Times New Roman" w:cs="Times New Roman" w:eastAsia="Times New Roman" w:hAnsi="Times New Roman"/>
          <w:sz w:val="13"/>
          <w:szCs w:val="13"/>
          <w:b w:val="1"/>
          <w:bCs w:val="1"/>
          <w:color w:val="FFFFFF"/>
        </w:rPr>
        <w:t>RUITT</w:t>
      </w:r>
    </w:p>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260" w:type="dxa"/>
            <w:vAlign w:val="bottom"/>
            <w:tcBorders>
              <w:top w:val="single" w:sz="8" w:color="auto"/>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61</w:t>
            </w:r>
          </w:p>
        </w:tc>
        <w:tc>
          <w:tcPr>
            <w:tcW w:w="324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Committee Memberships:</w:t>
            </w:r>
          </w:p>
        </w:tc>
        <w:tc>
          <w:tcPr>
            <w:tcW w:w="324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Other Public Directorships:</w:t>
            </w:r>
          </w:p>
        </w:tc>
      </w:tr>
      <w:tr>
        <w:trPr>
          <w:trHeight w:val="238"/>
        </w:trPr>
        <w:tc>
          <w:tcPr>
            <w:tcW w:w="32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2020</w:t>
            </w:r>
          </w:p>
        </w:tc>
        <w:tc>
          <w:tcPr>
            <w:tcW w:w="32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Audit, Compensation (Chair)</w:t>
            </w:r>
          </w:p>
        </w:tc>
        <w:tc>
          <w:tcPr>
            <w:tcW w:w="32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260" w:type="dxa"/>
            <w:vAlign w:val="bottom"/>
            <w:tcBorders>
              <w:left w:val="single" w:sz="8" w:color="auto"/>
              <w:bottom w:val="single" w:sz="8" w:color="auto"/>
              <w:right w:val="single" w:sz="8" w:color="auto"/>
            </w:tcBorders>
          </w:tcPr>
          <w:p>
            <w:pPr>
              <w:spacing w:after="0"/>
              <w:rPr>
                <w:sz w:val="18"/>
                <w:szCs w:val="18"/>
                <w:color w:val="auto"/>
              </w:rPr>
            </w:pPr>
          </w:p>
        </w:tc>
        <w:tc>
          <w:tcPr>
            <w:tcW w:w="3240" w:type="dxa"/>
            <w:vAlign w:val="bottom"/>
            <w:tcBorders>
              <w:bottom w:val="single" w:sz="8" w:color="auto"/>
              <w:right w:val="single" w:sz="8" w:color="auto"/>
            </w:tcBorders>
          </w:tcPr>
          <w:p>
            <w:pPr>
              <w:spacing w:after="0"/>
              <w:rPr>
                <w:sz w:val="18"/>
                <w:szCs w:val="18"/>
                <w:color w:val="auto"/>
              </w:rPr>
            </w:pPr>
          </w:p>
        </w:tc>
        <w:tc>
          <w:tcPr>
            <w:tcW w:w="3240" w:type="dxa"/>
            <w:vAlign w:val="bottom"/>
            <w:tcBorders>
              <w:bottom w:val="single" w:sz="8" w:color="auto"/>
              <w:right w:val="single" w:sz="8" w:color="auto"/>
            </w:tcBorders>
          </w:tcPr>
          <w:p>
            <w:pPr>
              <w:spacing w:after="0"/>
              <w:rPr>
                <w:sz w:val="18"/>
                <w:szCs w:val="18"/>
                <w:color w:val="auto"/>
              </w:rPr>
            </w:pPr>
          </w:p>
        </w:tc>
      </w:tr>
    </w:tbl>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Joseph Truitt </w:t>
      </w:r>
      <w:r>
        <w:rPr>
          <w:rFonts w:ascii="Times New Roman" w:cs="Times New Roman" w:eastAsia="Times New Roman" w:hAnsi="Times New Roman"/>
          <w:sz w:val="18"/>
          <w:szCs w:val="18"/>
          <w:color w:val="auto"/>
        </w:rPr>
        <w:t>has served as a member of the Board since May 2020. Mr. Truitt has served as the Chief Executive Officer and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of iECURE, Inc., a gene editing company, since March 2021 and has served on the board of Code Biotherapeutics, Inc., a gene therapy development company since December 2020. From May 2020 through December 2020, Mr. Truitt served as Chief Executive Officer of BioSpecifics Technologies Corp. (“BioSpecifics”), a biopharmaceutical company that develops collagenase-based therapies, which was acquired by Endo International plc in December 2020. From May 2018 until April 2020, Mr. Truitt served as President, Chief Executive Officer and member of the board of directors of Achillion Pharmaceuticals, Inc. (“Achillion”), a publicly-traded clinical-stage biopharmaceutical company developing small molecule drug therapies for immune system disorders, which was acquired by Alexion Pharmaceuticals, a global biopharmaceutical company, in January 2020. Prior to his appointment to the offices or President and Chief Executive Officer in 2018, Mr. Truitt served in a number of various positions at Achillion, including: Executive Vice President, Chief Operations Officer, from September 2017 until May 2018; Executive Vice President, Chief Commercial Officer, from March 2014 until September 2017; and Senior Vice President, Business Development and Chief Commercial Officer, from January 2009 until March 2014. Before joining Achillion, from July 2006 to December 2008, Mr. Truitt served as Vice President, Business Development and Product Strategy of Lev Pharmaceuticals, Inc. and, from 2000 to 2006, he served as Vice President, Sales and Operations of Johnson &amp; Johnson – OraPharma, Inc. Prior to this, be spent nine years at TAP Pharmaceuticals Inc. in a variety of sales and marketing roles before a two-year role as a consultant at IMS Health. Mr. Truitt received his B.S. in Marketing from LaSalle University and his MBA from St. Joseph’s University in Pharmaceutical Marketing. Mr. Truitt previously was a Captain in the United States Marine Corps.</w:t>
      </w:r>
    </w:p>
    <w:p>
      <w:pPr>
        <w:spacing w:after="0" w:line="15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Skills &amp; Qualifications: </w:t>
      </w:r>
      <w:r>
        <w:rPr>
          <w:rFonts w:ascii="Times New Roman" w:cs="Times New Roman" w:eastAsia="Times New Roman" w:hAnsi="Times New Roman"/>
          <w:sz w:val="18"/>
          <w:szCs w:val="18"/>
          <w:color w:val="auto"/>
        </w:rPr>
        <w:t>Mr. Truitt’s qualifications to sit on the Board include extensive management experience, his prior experience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a public company director and his deep knowledge of the biopharmaceutical business.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tabs>
          <w:tab w:leader="none" w:pos="6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w:t>
      </w:r>
      <w:r>
        <w:rPr>
          <w:sz w:val="20"/>
          <w:szCs w:val="20"/>
          <w:color w:val="auto"/>
        </w:rPr>
        <w:tab/>
      </w:r>
      <w:r>
        <w:rPr>
          <w:rFonts w:ascii="Times New Roman" w:cs="Times New Roman" w:eastAsia="Times New Roman" w:hAnsi="Times New Roman"/>
          <w:sz w:val="16"/>
          <w:szCs w:val="16"/>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18" w:name="page19"/>
    <w:bookmarkEnd w:id="18"/>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BOARD OF DIRECTORS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CONTINUING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DIRECTORS — TERMS EXPIRING AT THE 2027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6176010" cy="2273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76010" cy="227330"/>
                    </a:xfrm>
                    <a:prstGeom prst="rect">
                      <a:avLst/>
                    </a:prstGeom>
                    <a:noFill/>
                  </pic:spPr>
                </pic:pic>
              </a:graphicData>
            </a:graphic>
          </wp:anchor>
        </w:drawing>
      </w:r>
    </w:p>
    <w:p>
      <w:pPr>
        <w:spacing w:after="0" w:line="27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FFFFFF"/>
        </w:rPr>
        <w:t>J</w:t>
      </w:r>
      <w:r>
        <w:rPr>
          <w:rFonts w:ascii="Times New Roman" w:cs="Times New Roman" w:eastAsia="Times New Roman" w:hAnsi="Times New Roman"/>
          <w:sz w:val="12"/>
          <w:szCs w:val="12"/>
          <w:b w:val="1"/>
          <w:bCs w:val="1"/>
          <w:color w:val="FFFFFF"/>
        </w:rPr>
        <w:t>onathan</w:t>
      </w:r>
      <w:r>
        <w:rPr>
          <w:rFonts w:ascii="Times New Roman" w:cs="Times New Roman" w:eastAsia="Times New Roman" w:hAnsi="Times New Roman"/>
          <w:sz w:val="18"/>
          <w:szCs w:val="18"/>
          <w:b w:val="1"/>
          <w:bCs w:val="1"/>
          <w:color w:val="FFFFFF"/>
        </w:rPr>
        <w:t xml:space="preserve"> L</w:t>
      </w:r>
      <w:r>
        <w:rPr>
          <w:rFonts w:ascii="Times New Roman" w:cs="Times New Roman" w:eastAsia="Times New Roman" w:hAnsi="Times New Roman"/>
          <w:sz w:val="12"/>
          <w:szCs w:val="12"/>
          <w:b w:val="1"/>
          <w:bCs w:val="1"/>
          <w:color w:val="FFFFFF"/>
        </w:rPr>
        <w:t>eff</w:t>
      </w:r>
    </w:p>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260" w:type="dxa"/>
            <w:vAlign w:val="bottom"/>
            <w:tcBorders>
              <w:top w:val="single" w:sz="8" w:color="auto"/>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57</w:t>
            </w:r>
          </w:p>
        </w:tc>
        <w:tc>
          <w:tcPr>
            <w:tcW w:w="324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Committee Memberships:</w:t>
            </w:r>
          </w:p>
        </w:tc>
        <w:tc>
          <w:tcPr>
            <w:tcW w:w="324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Other Public Directorships:</w:t>
            </w:r>
          </w:p>
        </w:tc>
      </w:tr>
      <w:tr>
        <w:trPr>
          <w:trHeight w:val="220"/>
        </w:trPr>
        <w:tc>
          <w:tcPr>
            <w:tcW w:w="32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2020</w:t>
            </w:r>
          </w:p>
        </w:tc>
        <w:tc>
          <w:tcPr>
            <w:tcW w:w="32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Compensation, Nominating and Corporate</w:t>
            </w:r>
          </w:p>
        </w:tc>
        <w:tc>
          <w:tcPr>
            <w:tcW w:w="32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None</w:t>
            </w:r>
          </w:p>
        </w:tc>
      </w:tr>
      <w:tr>
        <w:trPr>
          <w:trHeight w:val="234"/>
        </w:trPr>
        <w:tc>
          <w:tcPr>
            <w:tcW w:w="3260" w:type="dxa"/>
            <w:vAlign w:val="bottom"/>
            <w:tcBorders>
              <w:left w:val="single" w:sz="8" w:color="auto"/>
              <w:right w:val="single" w:sz="8" w:color="auto"/>
            </w:tcBorders>
          </w:tcPr>
          <w:p>
            <w:pPr>
              <w:spacing w:after="0"/>
              <w:rPr>
                <w:sz w:val="20"/>
                <w:szCs w:val="20"/>
                <w:color w:val="auto"/>
              </w:rPr>
            </w:pPr>
          </w:p>
        </w:tc>
        <w:tc>
          <w:tcPr>
            <w:tcW w:w="32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Governance (Chair)</w:t>
            </w:r>
          </w:p>
        </w:tc>
        <w:tc>
          <w:tcPr>
            <w:tcW w:w="3240" w:type="dxa"/>
            <w:vAlign w:val="bottom"/>
            <w:tcBorders>
              <w:right w:val="single" w:sz="8" w:color="auto"/>
            </w:tcBorders>
          </w:tcPr>
          <w:p>
            <w:pPr>
              <w:spacing w:after="0"/>
              <w:rPr>
                <w:sz w:val="20"/>
                <w:szCs w:val="20"/>
                <w:color w:val="auto"/>
              </w:rPr>
            </w:pPr>
          </w:p>
        </w:tc>
      </w:tr>
      <w:tr>
        <w:trPr>
          <w:trHeight w:val="216"/>
        </w:trPr>
        <w:tc>
          <w:tcPr>
            <w:tcW w:w="3260" w:type="dxa"/>
            <w:vAlign w:val="bottom"/>
            <w:tcBorders>
              <w:left w:val="single" w:sz="8" w:color="auto"/>
              <w:bottom w:val="single" w:sz="8" w:color="auto"/>
              <w:right w:val="single" w:sz="8" w:color="auto"/>
            </w:tcBorders>
          </w:tcPr>
          <w:p>
            <w:pPr>
              <w:spacing w:after="0"/>
              <w:rPr>
                <w:sz w:val="18"/>
                <w:szCs w:val="18"/>
                <w:color w:val="auto"/>
              </w:rPr>
            </w:pPr>
          </w:p>
        </w:tc>
        <w:tc>
          <w:tcPr>
            <w:tcW w:w="3240" w:type="dxa"/>
            <w:vAlign w:val="bottom"/>
            <w:tcBorders>
              <w:bottom w:val="single" w:sz="8" w:color="auto"/>
              <w:right w:val="single" w:sz="8" w:color="auto"/>
            </w:tcBorders>
          </w:tcPr>
          <w:p>
            <w:pPr>
              <w:spacing w:after="0"/>
              <w:rPr>
                <w:sz w:val="18"/>
                <w:szCs w:val="18"/>
                <w:color w:val="auto"/>
              </w:rPr>
            </w:pPr>
          </w:p>
        </w:tc>
        <w:tc>
          <w:tcPr>
            <w:tcW w:w="3240" w:type="dxa"/>
            <w:vAlign w:val="bottom"/>
            <w:tcBorders>
              <w:bottom w:val="single" w:sz="8" w:color="auto"/>
              <w:right w:val="single" w:sz="8" w:color="auto"/>
            </w:tcBorders>
          </w:tcPr>
          <w:p>
            <w:pPr>
              <w:spacing w:after="0"/>
              <w:rPr>
                <w:sz w:val="18"/>
                <w:szCs w:val="18"/>
                <w:color w:val="auto"/>
              </w:rPr>
            </w:pPr>
          </w:p>
        </w:tc>
      </w:tr>
    </w:tbl>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Jonathan Leff </w:t>
      </w:r>
      <w:r>
        <w:rPr>
          <w:rFonts w:ascii="Times New Roman" w:cs="Times New Roman" w:eastAsia="Times New Roman" w:hAnsi="Times New Roman"/>
          <w:sz w:val="18"/>
          <w:szCs w:val="18"/>
          <w:color w:val="auto"/>
        </w:rPr>
        <w:t>has served as a member of the Board since May 2020. Mr. Leff served as a member of the Chondrial Board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2016 until May 2020. Mr. Leff is a partner at Deerfield Management Company, L.P. and Chairman of the Deerfield Institute. He joined Deerfield in 2013 and focuses on venture capital and structured investments in biotechnology and pharmaceuticals. Prior thereto, Mr. Leff served as Managing Director at Warburg Pincus LLC from 2000 to 2012, where he led the firm’s investment efforts in biotechnology and pharmaceuticals. Mr. Leff also previously served as a member of the Executive Committee of the Board of the National Venture Capital Association (“NVCA”) and led NVCA’s life sciences industry efforts as Chair of NVCA’s Medical Innovation and Competitiveness Coalition. He also served on the Emerging Companies Section Board of the Biotechnology Industry Organization. Mr. Leff is a board member of several not-for-profit organizations, including the Spinal Muscular Atrophy Foundation and the Columbia University Medical Center Board of Advisors. Mr. Leff served on the board of directors of Biomx Inc., a publicly-traded company, from March 2024 to February 2026. Mr. Leff previously served on the boards of several other publicly-traded biotechnology and pharmaceutical companies, including ARS Pharmaceuticals, Inc. from 2018 to 2023, Proteon Therapeutics, Inc. from 2017 to 2019 and Mirum Pharmaceuticals, Inc. from 2018 to 2019. He currently serves on the boards of several private biopharmaceutical companies and has previously served on the boards of other privately held biopharmaceutical companies. Mr. Leff received his A.B. from Harvard University, MBA from the Stanford University Graduate School of Business and M.S. in Biotechnology from Johns Hopkins University.</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Skills &amp; Qualifications</w:t>
      </w:r>
      <w:r>
        <w:rPr>
          <w:rFonts w:ascii="Times New Roman" w:cs="Times New Roman" w:eastAsia="Times New Roman" w:hAnsi="Times New Roman"/>
          <w:sz w:val="18"/>
          <w:szCs w:val="18"/>
          <w:color w:val="auto"/>
        </w:rPr>
        <w:t>: Mr. Leff’s qualifications to sit on the Board include his extensive leadership, executive, managerial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experience with life sciences companies, including experience in the investment, development and sale of multiple companies in the life sciences sector.</w:t>
      </w:r>
    </w:p>
    <w:p>
      <w:pPr>
        <w:spacing w:after="0" w:line="200" w:lineRule="exact"/>
        <w:rPr>
          <w:sz w:val="20"/>
          <w:szCs w:val="20"/>
          <w:color w:val="auto"/>
        </w:rPr>
      </w:pPr>
    </w:p>
    <w:p>
      <w:pPr>
        <w:spacing w:after="0" w:line="308" w:lineRule="exact"/>
        <w:rPr>
          <w:sz w:val="20"/>
          <w:szCs w:val="20"/>
          <w:color w:val="auto"/>
        </w:rPr>
      </w:pPr>
    </w:p>
    <w:p>
      <w:pPr>
        <w:jc w:val="right"/>
        <w:spacing w:after="0"/>
        <w:tabs>
          <w:tab w:leader="none" w:pos="6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w:t>
      </w:r>
      <w:r>
        <w:rPr>
          <w:sz w:val="20"/>
          <w:szCs w:val="20"/>
          <w:color w:val="auto"/>
        </w:rPr>
        <w:tab/>
      </w:r>
      <w:r>
        <w:rPr>
          <w:rFonts w:ascii="Times New Roman" w:cs="Times New Roman" w:eastAsia="Times New Roman" w:hAnsi="Times New Roman"/>
          <w:sz w:val="16"/>
          <w:szCs w:val="16"/>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19" w:name="page20"/>
    <w:bookmarkEnd w:id="19"/>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BOARD OF DIRECTORS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72200" cy="1543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149860</wp:posOffset>
            </wp:positionV>
            <wp:extent cx="6176010" cy="2273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76010" cy="227330"/>
                    </a:xfrm>
                    <a:prstGeom prst="rect">
                      <a:avLst/>
                    </a:prstGeom>
                    <a:noFill/>
                  </pic:spPr>
                </pic:pic>
              </a:graphicData>
            </a:graphic>
          </wp:anchor>
        </w:drawing>
      </w:r>
    </w:p>
    <w:p>
      <w:pPr>
        <w:spacing w:after="0" w:line="26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FFFFFF"/>
        </w:rPr>
        <w:t>J</w:t>
      </w:r>
      <w:r>
        <w:rPr>
          <w:rFonts w:ascii="Times New Roman" w:cs="Times New Roman" w:eastAsia="Times New Roman" w:hAnsi="Times New Roman"/>
          <w:sz w:val="13"/>
          <w:szCs w:val="13"/>
          <w:b w:val="1"/>
          <w:bCs w:val="1"/>
          <w:color w:val="FFFFFF"/>
        </w:rPr>
        <w:t>EFFREY</w:t>
      </w:r>
      <w:r>
        <w:rPr>
          <w:rFonts w:ascii="Times New Roman" w:cs="Times New Roman" w:eastAsia="Times New Roman" w:hAnsi="Times New Roman"/>
          <w:sz w:val="18"/>
          <w:szCs w:val="18"/>
          <w:b w:val="1"/>
          <w:bCs w:val="1"/>
          <w:color w:val="FFFFFF"/>
        </w:rPr>
        <w:t xml:space="preserve"> W. S</w:t>
      </w:r>
      <w:r>
        <w:rPr>
          <w:rFonts w:ascii="Times New Roman" w:cs="Times New Roman" w:eastAsia="Times New Roman" w:hAnsi="Times New Roman"/>
          <w:sz w:val="13"/>
          <w:szCs w:val="13"/>
          <w:b w:val="1"/>
          <w:bCs w:val="1"/>
          <w:color w:val="FFFFFF"/>
        </w:rPr>
        <w:t>HERMAN</w:t>
      </w:r>
      <w:r>
        <w:rPr>
          <w:rFonts w:ascii="Times New Roman" w:cs="Times New Roman" w:eastAsia="Times New Roman" w:hAnsi="Times New Roman"/>
          <w:sz w:val="18"/>
          <w:szCs w:val="18"/>
          <w:b w:val="1"/>
          <w:bCs w:val="1"/>
          <w:color w:val="FFFFFF"/>
        </w:rPr>
        <w:t>, M.D., F</w:t>
      </w:r>
      <w:r>
        <w:rPr>
          <w:rFonts w:ascii="Times New Roman" w:cs="Times New Roman" w:eastAsia="Times New Roman" w:hAnsi="Times New Roman"/>
          <w:sz w:val="13"/>
          <w:szCs w:val="13"/>
          <w:b w:val="1"/>
          <w:bCs w:val="1"/>
          <w:color w:val="FFFFFF"/>
        </w:rPr>
        <w:t>ACP</w:t>
      </w:r>
    </w:p>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2840" w:type="dxa"/>
            <w:vAlign w:val="bottom"/>
            <w:tcBorders>
              <w:top w:val="single" w:sz="8" w:color="auto"/>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71</w:t>
            </w:r>
          </w:p>
        </w:tc>
        <w:tc>
          <w:tcPr>
            <w:tcW w:w="332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Committee Memberships: </w:t>
            </w:r>
            <w:r>
              <w:rPr>
                <w:rFonts w:ascii="Times New Roman" w:cs="Times New Roman" w:eastAsia="Times New Roman" w:hAnsi="Times New Roman"/>
                <w:sz w:val="18"/>
                <w:szCs w:val="18"/>
                <w:color w:val="auto"/>
              </w:rPr>
              <w:t>Nominating</w:t>
            </w:r>
          </w:p>
        </w:tc>
        <w:tc>
          <w:tcPr>
            <w:tcW w:w="358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Other Public Directorships:</w:t>
            </w:r>
          </w:p>
        </w:tc>
      </w:tr>
      <w:tr>
        <w:trPr>
          <w:trHeight w:val="238"/>
        </w:trPr>
        <w:tc>
          <w:tcPr>
            <w:tcW w:w="28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2023</w:t>
            </w:r>
          </w:p>
        </w:tc>
        <w:tc>
          <w:tcPr>
            <w:tcW w:w="33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and Corporate Governance</w:t>
            </w:r>
          </w:p>
        </w:tc>
        <w:tc>
          <w:tcPr>
            <w:tcW w:w="35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Xeris Biopharma Holdings, Inc.</w:t>
            </w:r>
          </w:p>
        </w:tc>
      </w:tr>
      <w:tr>
        <w:trPr>
          <w:trHeight w:val="216"/>
        </w:trPr>
        <w:tc>
          <w:tcPr>
            <w:tcW w:w="2840" w:type="dxa"/>
            <w:vAlign w:val="bottom"/>
            <w:tcBorders>
              <w:left w:val="single" w:sz="8" w:color="auto"/>
              <w:bottom w:val="single" w:sz="8" w:color="auto"/>
              <w:right w:val="single" w:sz="8" w:color="auto"/>
            </w:tcBorders>
          </w:tcPr>
          <w:p>
            <w:pPr>
              <w:spacing w:after="0"/>
              <w:rPr>
                <w:sz w:val="18"/>
                <w:szCs w:val="18"/>
                <w:color w:val="auto"/>
              </w:rPr>
            </w:pPr>
          </w:p>
        </w:tc>
        <w:tc>
          <w:tcPr>
            <w:tcW w:w="3320" w:type="dxa"/>
            <w:vAlign w:val="bottom"/>
            <w:tcBorders>
              <w:bottom w:val="single" w:sz="8" w:color="auto"/>
              <w:right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r>
    </w:tbl>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Jeffrey W. Sherman, M.D., FACP </w:t>
      </w:r>
      <w:r>
        <w:rPr>
          <w:rFonts w:ascii="Times New Roman" w:cs="Times New Roman" w:eastAsia="Times New Roman" w:hAnsi="Times New Roman"/>
          <w:sz w:val="18"/>
          <w:szCs w:val="18"/>
          <w:color w:val="auto"/>
        </w:rPr>
        <w:t>has served as a member of the Board since October 2023. Dr. Sherman served as a consultant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Amgen Inc., a biopharmaceutical company ("Amgen"), from October 2023 through December 2025. From 2009 to October 2023, Dr. Sherman held several positions of increasing responsibility at Horizon Therapeutics Public Limited Company (“Horizon Therapeutics”), a biotechnology company acquired by Amgen in October 2023, most recently serving as the Executive Vice President, Chief Medical Officer. Before joining Horizon Therapeutics, he held positions at pharmaceutical companies such as IDM Pharma, Inc., Takeda Global Research and Development, NeoPharm Inc., G.D. Searle, LLC/Pharmacia Corporation and Bristol-Myers Squibb. Dr. Sherman is a member of a number of professional societies, a board member of the Center for Healthcare Innovation, a former member of the board of advisors of the Center for Information and Study on Clinical Research Participation, a former steering committee member of the U.S. Food &amp; Drug Administration sponsored Clinical Trial Transformation Initiative, a former board chairperson and now inaugural fellow of the Drug Information Association, a former member of the Global Genes Medical and Scientific Advisory Board, and involved with the National Organization for Rare Disorders and the European Organization for Rare Diseases. He has served as an Adjunct Assistant Professor of Medicine at the Northwestern University Feinberg School of Medicine and is a member of the executive committee of the alumni board, an advisory board member of the Stanford University School of Medicine Master of Science in Translational Research and Applied Medicine program, and a diplomat of the National Board of Medical Examiners and the American Board of Internal Medicine. Dr. Sherman currently serves on the board of directors of Xeris Biopharma Holdings, Inc. (“Xeris Biopharma”), a publicly traded biopharmaceutical company, and previously served on the boards of directors of Strongbridge Biopharma plc (“Strongbridge”) from October 2016 until October 2021 and Xeris Pharmaceuticals, Inc. (“Xeris”) from April 2018 until October 2021. Xeris acquired Strongbridge in October 2021 and in connection therewith both Xeris and Strongbridge became wholly owned subsidiaries of Xeris Biopharma. Additionally, Dr. Sherman serves on the board of directors of Sorriso Pharmaceuticals, Inc. Dr. Sherman holds a B.A. in Biology from Lake Forest College and a M.D. from the Chicago Medical School at Rosalind Franklin University of Medicine and Science. He completed an internal medicine internship, residency and chief medical residency at the McGaw Medical Center at Northwestern University Feinberg School of Medicine, an infectious diseases fellowship at the University of California, San Francisco (“UCSF”), and was a research associate at the Howard Hughes Medical Institute at UCSF.</w:t>
      </w:r>
    </w:p>
    <w:p>
      <w:pPr>
        <w:spacing w:after="0" w:line="1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Skills &amp; Qualifications: </w:t>
      </w:r>
      <w:r>
        <w:rPr>
          <w:rFonts w:ascii="Times New Roman" w:cs="Times New Roman" w:eastAsia="Times New Roman" w:hAnsi="Times New Roman"/>
          <w:sz w:val="18"/>
          <w:szCs w:val="18"/>
          <w:color w:val="auto"/>
        </w:rPr>
        <w:t>Dr. Sherman’s qualifications to sit on the Board include his extensive pharmaceutical experience,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in regulatory and clinical strategy and therapeutic development for rare diseases.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 —  TERM EXPIRING AT THE 2028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6176010" cy="2273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76010" cy="227330"/>
                    </a:xfrm>
                    <a:prstGeom prst="rect">
                      <a:avLst/>
                    </a:prstGeom>
                    <a:noFill/>
                  </pic:spPr>
                </pic:pic>
              </a:graphicData>
            </a:graphic>
          </wp:anchor>
        </w:drawing>
      </w:r>
    </w:p>
    <w:p>
      <w:pPr>
        <w:spacing w:after="0" w:line="27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FFFFFF"/>
        </w:rPr>
        <w:t>T</w:t>
      </w:r>
      <w:r>
        <w:rPr>
          <w:rFonts w:ascii="Times New Roman" w:cs="Times New Roman" w:eastAsia="Times New Roman" w:hAnsi="Times New Roman"/>
          <w:sz w:val="13"/>
          <w:szCs w:val="13"/>
          <w:b w:val="1"/>
          <w:bCs w:val="1"/>
          <w:color w:val="FFFFFF"/>
        </w:rPr>
        <w:t>HOMAS</w:t>
      </w:r>
      <w:r>
        <w:rPr>
          <w:rFonts w:ascii="Times New Roman" w:cs="Times New Roman" w:eastAsia="Times New Roman" w:hAnsi="Times New Roman"/>
          <w:sz w:val="18"/>
          <w:szCs w:val="18"/>
          <w:b w:val="1"/>
          <w:bCs w:val="1"/>
          <w:color w:val="FFFFFF"/>
        </w:rPr>
        <w:t xml:space="preserve"> E. H</w:t>
      </w:r>
      <w:r>
        <w:rPr>
          <w:rFonts w:ascii="Times New Roman" w:cs="Times New Roman" w:eastAsia="Times New Roman" w:hAnsi="Times New Roman"/>
          <w:sz w:val="13"/>
          <w:szCs w:val="13"/>
          <w:b w:val="1"/>
          <w:bCs w:val="1"/>
          <w:color w:val="FFFFFF"/>
        </w:rPr>
        <w:t>AMILTON</w:t>
      </w:r>
    </w:p>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2940" w:type="dxa"/>
            <w:vAlign w:val="bottom"/>
            <w:tcBorders>
              <w:top w:val="single" w:sz="8" w:color="auto"/>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58</w:t>
            </w:r>
          </w:p>
        </w:tc>
        <w:tc>
          <w:tcPr>
            <w:tcW w:w="306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Committee Memberships:</w:t>
            </w:r>
          </w:p>
        </w:tc>
        <w:tc>
          <w:tcPr>
            <w:tcW w:w="374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Other Public Directorships: </w:t>
            </w:r>
            <w:r>
              <w:rPr>
                <w:rFonts w:ascii="Times New Roman" w:cs="Times New Roman" w:eastAsia="Times New Roman" w:hAnsi="Times New Roman"/>
                <w:sz w:val="18"/>
                <w:szCs w:val="18"/>
                <w:color w:val="auto"/>
              </w:rPr>
              <w:t>Annaly Capital</w:t>
            </w:r>
          </w:p>
        </w:tc>
      </w:tr>
      <w:tr>
        <w:trPr>
          <w:trHeight w:val="220"/>
        </w:trPr>
        <w:tc>
          <w:tcPr>
            <w:tcW w:w="29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2020</w:t>
            </w:r>
          </w:p>
        </w:tc>
        <w:tc>
          <w:tcPr>
            <w:tcW w:w="3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Audit, Nominating and Corporate</w:t>
            </w:r>
          </w:p>
        </w:tc>
        <w:tc>
          <w:tcPr>
            <w:tcW w:w="37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Management Inc.</w:t>
            </w:r>
          </w:p>
        </w:tc>
      </w:tr>
      <w:tr>
        <w:trPr>
          <w:trHeight w:val="234"/>
        </w:trPr>
        <w:tc>
          <w:tcPr>
            <w:tcW w:w="2940" w:type="dxa"/>
            <w:vAlign w:val="bottom"/>
            <w:tcBorders>
              <w:left w:val="single" w:sz="8" w:color="auto"/>
              <w:right w:val="single" w:sz="8" w:color="auto"/>
            </w:tcBorders>
          </w:tcPr>
          <w:p>
            <w:pPr>
              <w:spacing w:after="0"/>
              <w:rPr>
                <w:sz w:val="20"/>
                <w:szCs w:val="20"/>
                <w:color w:val="auto"/>
              </w:rPr>
            </w:pPr>
          </w:p>
        </w:tc>
        <w:tc>
          <w:tcPr>
            <w:tcW w:w="3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Governance</w:t>
            </w:r>
          </w:p>
        </w:tc>
        <w:tc>
          <w:tcPr>
            <w:tcW w:w="3740" w:type="dxa"/>
            <w:vAlign w:val="bottom"/>
            <w:tcBorders>
              <w:right w:val="single" w:sz="8" w:color="auto"/>
            </w:tcBorders>
          </w:tcPr>
          <w:p>
            <w:pPr>
              <w:spacing w:after="0"/>
              <w:rPr>
                <w:sz w:val="20"/>
                <w:szCs w:val="20"/>
                <w:color w:val="auto"/>
              </w:rPr>
            </w:pPr>
          </w:p>
        </w:tc>
      </w:tr>
      <w:tr>
        <w:trPr>
          <w:trHeight w:val="216"/>
        </w:trPr>
        <w:tc>
          <w:tcPr>
            <w:tcW w:w="2940" w:type="dxa"/>
            <w:vAlign w:val="bottom"/>
            <w:tcBorders>
              <w:left w:val="single" w:sz="8" w:color="auto"/>
              <w:bottom w:val="single" w:sz="8" w:color="auto"/>
              <w:right w:val="single" w:sz="8" w:color="auto"/>
            </w:tcBorders>
          </w:tcPr>
          <w:p>
            <w:pPr>
              <w:spacing w:after="0"/>
              <w:rPr>
                <w:sz w:val="18"/>
                <w:szCs w:val="18"/>
                <w:color w:val="auto"/>
              </w:rPr>
            </w:pPr>
          </w:p>
        </w:tc>
        <w:tc>
          <w:tcPr>
            <w:tcW w:w="3060" w:type="dxa"/>
            <w:vAlign w:val="bottom"/>
            <w:tcBorders>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r>
    </w:tbl>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Thomas E. Hamilton </w:t>
      </w:r>
      <w:r>
        <w:rPr>
          <w:rFonts w:ascii="Times New Roman" w:cs="Times New Roman" w:eastAsia="Times New Roman" w:hAnsi="Times New Roman"/>
          <w:sz w:val="18"/>
          <w:szCs w:val="18"/>
          <w:color w:val="auto"/>
        </w:rPr>
        <w:t>has served as a member of the Board since May 2020. Mr. Hamilton served as the Chairman of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of Chondrial from Chondrial’s founding in 2013 until May 2020. Since 2013, Mr. Hamilton has served as the managing member of Friedreich’s Ataxia Life Sciences, an early stage biotech investment company focused on bridging the gap to cure Friedreich’s ataxia. From 2013 to 2019, Mr. Hamilton served as the president, chief executive officer and owner of Construction Forms, Inc. (“Construction Forms”), an industrial manufacturing company based in Port Washington, Wisconsin. Prior to founding Construction Forms, Mr. Hamilton spent 25 years in several leadership positions in the financial industry. Most recently, Mr. Hamilton served as a Managing Director and Strategic Advisor to the Head of Fixed Income, Currencies and Commodities at Barclays Capital in New York, New York. Prior to Barclays, Mr. Hamilton held various managing director roles at Citigroup, Inc. and Salomon Brothers, Inc., where he began his career. He also serves as a director and executive committee member of the Friedreich’s Ataxia Research Alliance and is the co-founder of his own charitable scientific effort, the CureFA Foundation. Since March 2019, Mr. Hamilton has served as a Director and as a member of the audit committee, risk committee and compensation committee of the board of Annaly Capital Management, Inc., a leading diversified capital manager that invests in and finances residential and commercial assets. Mr. Hamilton holds a B.S. in finance from the University of Dayton.</w:t>
      </w:r>
    </w:p>
    <w:p>
      <w:pPr>
        <w:spacing w:after="0" w:line="309" w:lineRule="exact"/>
        <w:rPr>
          <w:sz w:val="20"/>
          <w:szCs w:val="20"/>
          <w:color w:val="auto"/>
        </w:rPr>
      </w:pPr>
    </w:p>
    <w:p>
      <w:pPr>
        <w:jc w:val="right"/>
        <w:spacing w:after="0"/>
        <w:tabs>
          <w:tab w:leader="none" w:pos="6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w:t>
      </w:r>
      <w:r>
        <w:rPr>
          <w:sz w:val="20"/>
          <w:szCs w:val="20"/>
          <w:color w:val="auto"/>
        </w:rPr>
        <w:tab/>
      </w:r>
      <w:r>
        <w:rPr>
          <w:rFonts w:ascii="Times New Roman" w:cs="Times New Roman" w:eastAsia="Times New Roman" w:hAnsi="Times New Roman"/>
          <w:sz w:val="16"/>
          <w:szCs w:val="16"/>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b w:val="1"/>
          <w:bCs w:val="1"/>
          <w:color w:val="auto"/>
        </w:rPr>
        <w:t>BOARD OF DIRECTORS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Skills &amp; Qualifications: </w:t>
      </w:r>
      <w:r>
        <w:rPr>
          <w:rFonts w:ascii="Times New Roman" w:cs="Times New Roman" w:eastAsia="Times New Roman" w:hAnsi="Times New Roman"/>
          <w:sz w:val="18"/>
          <w:szCs w:val="18"/>
          <w:color w:val="auto"/>
        </w:rPr>
        <w:t>Mr. Hamilton’s qualifications to sit on the Board include his extensive experience in the financial industry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leadership in developing a cure for Friedreich’s ataxia, including leadership roles in organizations focused on the development of a cure for Friedreich’s ataxia.</w:t>
      </w: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21" w:name="page22"/>
    <w:bookmarkEnd w:id="21"/>
    <w:p>
      <w:pPr>
        <w:ind w:left="100"/>
        <w:spacing w:after="0"/>
        <w:rPr>
          <w:sz w:val="20"/>
          <w:szCs w:val="20"/>
          <w:color w:val="auto"/>
        </w:rPr>
      </w:pPr>
      <w:r>
        <w:rPr>
          <w:rFonts w:ascii="Times New Roman" w:cs="Times New Roman" w:eastAsia="Times New Roman" w:hAnsi="Times New Roman"/>
          <w:sz w:val="22"/>
          <w:szCs w:val="22"/>
          <w:b w:val="1"/>
          <w:bCs w:val="1"/>
          <w:color w:val="auto"/>
        </w:rPr>
        <w:t>CORPORATE GOVERNANCE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-140335</wp:posOffset>
            </wp:positionV>
            <wp:extent cx="617220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4DC1E4"/>
        </w:rPr>
        <w:t>We are committed to good corporate governance and integrity in our business dealings. We believe that strong corporate governance practices that provide meaningful rights to our stockholders and ensure Board and management accountability are key to our relationship with our stockholders. We strive to have regular, constructive conversations with our stockholders to better understand our stockholders’ priorities and perspectives.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4DC1E4"/>
        </w:rPr>
        <w:t xml:space="preserve">Our governance practices are documented in our Ninth Amended and Restated Certificate of Incorporation, as amended, our Bylaws, our Code of Conduct, our Corporate Governance Guidelines and the charters of the committees of the Board (the “Committees”). Aspects of our governance documents are summarized below. You can find our charters for each Committee and our Code of Business Conduct and Ethics on our website at </w:t>
      </w:r>
      <w:r>
        <w:rPr>
          <w:rFonts w:ascii="Times New Roman" w:cs="Times New Roman" w:eastAsia="Times New Roman" w:hAnsi="Times New Roman"/>
          <w:sz w:val="18"/>
          <w:szCs w:val="18"/>
          <w:u w:val="single" w:color="auto"/>
          <w:color w:val="4DC1E4"/>
        </w:rPr>
        <w:t>www.larimartx.com</w:t>
      </w:r>
      <w:r>
        <w:rPr>
          <w:rFonts w:ascii="Times New Roman" w:cs="Times New Roman" w:eastAsia="Times New Roman" w:hAnsi="Times New Roman"/>
          <w:sz w:val="18"/>
          <w:szCs w:val="18"/>
          <w:color w:val="4DC1E4"/>
        </w:rPr>
        <w:t xml:space="preserve"> under “Investors — Corporate Governance.”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INDEPENDENCE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has determined that each of our current directors, with the exception of Dr. Ben-Maimon, are “independent” directors, as defined under the rules of Nasdaq. In making such determination, the Board considered the relationships that each such non-employee director has with the Company and all other facts and circumstances that the Board deemed relevant in determining their independence, including the beneficial ownership of our common stock by each non-employee director. In considering the independence of the directors listed above, the Board also considered the association of each non-employee director with the holders of more than 5% of our common stock. Our independent directors generally meet in executive session at each regularly scheduled Board meeting.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Currently, our leadership structure separates the offices of CEO and Chairperson of the Board with Dr. Ben-Maimon serving as our CEO and Mr. Truitt serving as Chairperson of the Board. Separating these positions allows the CEO to focus on day-to-day business, while allowing the Chairperson of the Board to lead the Board in its fundamental role of providing advice to, and independent oversight of, management. The Board recognizes the time, effort and energy that the CEO must devote to her position in the current business environment, as well as the commitment required to serve as Chairperson of the Board, particularly as the Board’s oversight responsibilities continue to grow. The Board believes it is important to retain its flexibility to allocate the responsibilities of the officers of Chairperson of the Board and CEO in any way that is in the best interest of the Company at a given point in time. Our Board believes that the separation of the positions of CEO and Chairperson of the Board reinforces the independence of the Board from management, creates an environment that encourages objective oversight of management’s performance and enhances the effectiveness of our Board as a whole. Although our Bylaws do not require the Chairperson of the Board and CEO positions to be separate, the Board believes that having separate positions is the appropriate leadership structure for the Company currently. The Nominating and Corporate Governance Committee periodically evaluates our Board leadership structure and whether its leadership structure is appropriate to effectively address the specific needs of our business and the long-term interests of our stockholders.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has established various Committees to assist in discharging its duties: the Audit Committee, the Compensation Committee and the Nominating and Corporate Governance Committee. Each member of our Committees is an “independent director” as that term is defined by the SEC and Nasdaq. The primary responsibilities of each of the Committees and the Committee memberships are provided below under the section entitled “Board Attendance, Committee Meetings and Committee Membership.”</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of the Committees has the authority, as its members deem appropriate, to engage legal counsel or other experts or consultants in order to assist the Committee in carrying out its responsibilities.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the Board has the ultimate oversight responsibility for the risk management process, including monitoring and assessing strategic risk exposure, its Committees oversee risk in certain specified areas. Pursuant to its charter, the Audit Committee oversees management of financial reporting, compliance and litigation risks, including risks related to our insurance, information technology, cybersecurity, human resources and regulatory matters, as well as the steps management has taken to monitor and control such exposures. The Compensation Committee is responsible for overseeing the management of risks relating to our executive compensation policies, plans and arrangements and the extent to which those policies or practices increase or decrease risk for the Company, while the Nominating and Corporate Governance Committee manages risks associated with the independence of the Board, potential conflicts of interest and the effectiveness of the Board.</w:t>
      </w:r>
    </w:p>
    <w:p>
      <w:pPr>
        <w:spacing w:after="0" w:line="3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8" w:right="1099" w:bottom="1440" w:gutter="0" w:footer="0" w:header="0"/>
        </w:sectPr>
      </w:pPr>
    </w:p>
    <w:bookmarkStart w:id="22" w:name="page23"/>
    <w:bookmarkEnd w:id="22"/>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CORPORATE GOVERNANCE AND RISK MANAGEMENT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EVALUATING BOARD EFFECTIVENESS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led by the Nominating and Corporate Governance Committee, is committed to continuous improvement and believes annual self-evaluations are an important tool for evaluating effectiveness. It conducts an annual self-evaluation of the Board, which is presented to the Board for discussion. In addition, each Committee conducts an annual self-assessment in a review process similar to that used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1365250</wp:posOffset>
            </wp:positionH>
            <wp:positionV relativeFrom="paragraph">
              <wp:posOffset>125730</wp:posOffset>
            </wp:positionV>
            <wp:extent cx="3446145" cy="26485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46145" cy="264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 written Code of Business Conduct and Ethics (the "Code of Conduct") that applies to our directors, officers and employees, including our principal executive officer ("PEO"), principal financial officer, principal accounting officer or controller, or persons performing similar functions. The Code of Conduct covers fundamental ethical and compliance-related principles and practices such as accurate accounting records and financial reporting, avoiding conflicts of interest, the protection and use of our property and information and compliance with legal and regulatory requirements. The Code of Conduct and any amendments thereto, or any waivers of its requirements, are disclosed on our website at www.larimartx.com under “Investors – Corporate Governance.”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adopted insider trading policies and procedures governing the purchase, sale, and other dispositions of our securities by directors, officers, and employees that we believe are reasonably designed to promote compliance with insider trading laws, rules and regulations, and applicable Nasdaq listing standards. Our insider trading policy states, among other things, that our directors, officers, and employees are prohibited from trading in such securities while in possession of material, nonpublic information. The foregoing summary of our insider trading policies and procedures does not purport to be complete and is qualified by reference to our Insider Trading Policy filed as an exhibit to our 2025 Annual Report. In addition, with regard to the Company's trading in its own securities, it is our policy to comply with the federal securities laws and the applicable exchange listing requirements.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ORIENTATION AND CONTINUING EDUCATION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director orientation and continuing education programs familiarize new directors with the Company’s businesses, strategies, and policies, and assists new directors in developing the skills and knowledge required for their service on the Board. From time to time, management advises, or invites outside experts to attend Board meetings to advise, the Board on its responsibilities, management’s responsibilities, developments relevant to corporate governance and best corporate practices. Additionally, Board members may attend, and are encouraged to attend, director education programs.</w:t>
      </w:r>
    </w:p>
    <w:p>
      <w:pPr>
        <w:spacing w:after="0" w:line="3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23" w:name="page24"/>
    <w:bookmarkEnd w:id="23"/>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CORPORATE GOVERNANCE AND RISK MANAGEMENT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 written set of Corporate Governance Guidelines that are designed to help ensure effective corporate governance of our Company. Our Corporate Governance Guidelines cover topics including, but not limited to, the size and composition of the Board, Board membership criteria, director qualifications and duties, Board committees, director compensation and director communications with third parties. Succession planning for the Board is critical to our success. Our goal is to achieve a Board that provides effective oversight of the Company. Our Corporate Governance Guidelines are reviewed periodically by the Nominating and Corporate Governance Committee, which recommends any proposed changes to our Board for approval.</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ATTENDANCE, COMMITTEE MEETINGS AND COMMITTEE MEMBERSHIP</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5800" w:type="dxa"/>
            <w:vAlign w:val="bottom"/>
            <w:tcBorders>
              <w:top w:val="single" w:sz="8" w:color="auto"/>
              <w:left w:val="single" w:sz="8" w:color="auto"/>
              <w:bottom w:val="single" w:sz="8" w:color="4DC1E4"/>
            </w:tcBorders>
            <w:shd w:val="clear" w:color="auto" w:fill="4DC1E4"/>
          </w:tcPr>
          <w:p>
            <w:pPr>
              <w:ind w:left="1320"/>
              <w:spacing w:after="0"/>
              <w:rPr>
                <w:sz w:val="20"/>
                <w:szCs w:val="20"/>
                <w:color w:val="auto"/>
              </w:rPr>
            </w:pPr>
            <w:r>
              <w:rPr>
                <w:rFonts w:ascii="Times New Roman" w:cs="Times New Roman" w:eastAsia="Times New Roman" w:hAnsi="Times New Roman"/>
                <w:sz w:val="18"/>
                <w:szCs w:val="18"/>
                <w:b w:val="1"/>
                <w:bCs w:val="1"/>
                <w:color w:val="FFFFFF"/>
              </w:rPr>
              <w:t>D</w:t>
            </w:r>
            <w:r>
              <w:rPr>
                <w:rFonts w:ascii="Times New Roman" w:cs="Times New Roman" w:eastAsia="Times New Roman" w:hAnsi="Times New Roman"/>
                <w:sz w:val="13"/>
                <w:szCs w:val="13"/>
                <w:b w:val="1"/>
                <w:bCs w:val="1"/>
                <w:color w:val="FFFFFF"/>
              </w:rPr>
              <w:t>IRECTOR</w:t>
            </w:r>
          </w:p>
        </w:tc>
        <w:tc>
          <w:tcPr>
            <w:tcW w:w="1460" w:type="dxa"/>
            <w:vAlign w:val="bottom"/>
            <w:tcBorders>
              <w:top w:val="single" w:sz="8" w:color="auto"/>
              <w:bottom w:val="single" w:sz="8" w:color="4DC1E4"/>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rPr>
              <w:t>I</w:t>
            </w:r>
            <w:r>
              <w:rPr>
                <w:rFonts w:ascii="Times New Roman" w:cs="Times New Roman" w:eastAsia="Times New Roman" w:hAnsi="Times New Roman"/>
                <w:sz w:val="13"/>
                <w:szCs w:val="13"/>
                <w:b w:val="1"/>
                <w:bCs w:val="1"/>
                <w:color w:val="FFFFFF"/>
              </w:rPr>
              <w:t>NDEPENDENCE</w:t>
            </w:r>
          </w:p>
        </w:tc>
        <w:tc>
          <w:tcPr>
            <w:tcW w:w="800" w:type="dxa"/>
            <w:vAlign w:val="bottom"/>
            <w:tcBorders>
              <w:top w:val="single" w:sz="8" w:color="auto"/>
              <w:bottom w:val="single" w:sz="8" w:color="4DC1E4"/>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rPr>
              <w:t>B</w:t>
            </w:r>
            <w:r>
              <w:rPr>
                <w:rFonts w:ascii="Times New Roman" w:cs="Times New Roman" w:eastAsia="Times New Roman" w:hAnsi="Times New Roman"/>
                <w:sz w:val="13"/>
                <w:szCs w:val="13"/>
                <w:b w:val="1"/>
                <w:bCs w:val="1"/>
                <w:color w:val="FFFFFF"/>
              </w:rPr>
              <w:t>OARD</w:t>
            </w:r>
          </w:p>
        </w:tc>
        <w:tc>
          <w:tcPr>
            <w:tcW w:w="440" w:type="dxa"/>
            <w:vAlign w:val="bottom"/>
            <w:tcBorders>
              <w:top w:val="single" w:sz="8" w:color="auto"/>
              <w:bottom w:val="single" w:sz="8" w:color="4DC1E4"/>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AC</w:t>
            </w:r>
          </w:p>
        </w:tc>
        <w:tc>
          <w:tcPr>
            <w:tcW w:w="460" w:type="dxa"/>
            <w:vAlign w:val="bottom"/>
            <w:tcBorders>
              <w:top w:val="single" w:sz="8" w:color="auto"/>
              <w:bottom w:val="single" w:sz="8" w:color="4DC1E4"/>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CC</w:t>
            </w:r>
          </w:p>
        </w:tc>
        <w:tc>
          <w:tcPr>
            <w:tcW w:w="780" w:type="dxa"/>
            <w:vAlign w:val="bottom"/>
            <w:tcBorders>
              <w:top w:val="single" w:sz="8" w:color="auto"/>
              <w:bottom w:val="single" w:sz="8" w:color="4DC1E4"/>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rPr>
              <w:t>NCGC</w:t>
            </w:r>
          </w:p>
        </w:tc>
      </w:tr>
      <w:tr>
        <w:trPr>
          <w:trHeight w:val="210"/>
        </w:trPr>
        <w:tc>
          <w:tcPr>
            <w:tcW w:w="5800" w:type="dxa"/>
            <w:vAlign w:val="bottom"/>
            <w:tcBorders>
              <w:top w:val="single" w:sz="8" w:color="auto"/>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Carole S. Ben-Maimon, M.D.</w:t>
            </w:r>
          </w:p>
        </w:tc>
        <w:tc>
          <w:tcPr>
            <w:tcW w:w="14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8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44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right w:val="single" w:sz="8" w:color="auto"/>
            </w:tcBorders>
          </w:tcPr>
          <w:p>
            <w:pPr>
              <w:spacing w:after="0"/>
              <w:rPr>
                <w:sz w:val="18"/>
                <w:szCs w:val="18"/>
                <w:color w:val="auto"/>
              </w:rPr>
            </w:pPr>
          </w:p>
        </w:tc>
      </w:tr>
      <w:tr>
        <w:trPr>
          <w:trHeight w:val="209"/>
        </w:trPr>
        <w:tc>
          <w:tcPr>
            <w:tcW w:w="580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Thomas E. Hamilton</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w:t>
            </w:r>
          </w:p>
        </w:tc>
      </w:tr>
      <w:tr>
        <w:trPr>
          <w:trHeight w:val="210"/>
        </w:trPr>
        <w:tc>
          <w:tcPr>
            <w:tcW w:w="580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Jonathan Leff</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4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w:t>
            </w:r>
          </w:p>
        </w:tc>
      </w:tr>
      <w:tr>
        <w:trPr>
          <w:trHeight w:val="209"/>
        </w:trPr>
        <w:tc>
          <w:tcPr>
            <w:tcW w:w="580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Frank Thomas</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780" w:type="dxa"/>
            <w:vAlign w:val="bottom"/>
            <w:tcBorders>
              <w:bottom w:val="single" w:sz="8" w:color="auto"/>
              <w:right w:val="single" w:sz="8" w:color="auto"/>
            </w:tcBorders>
          </w:tcPr>
          <w:p>
            <w:pPr>
              <w:spacing w:after="0"/>
              <w:rPr>
                <w:sz w:val="18"/>
                <w:szCs w:val="18"/>
                <w:color w:val="auto"/>
              </w:rPr>
            </w:pPr>
          </w:p>
        </w:tc>
      </w:tr>
      <w:tr>
        <w:trPr>
          <w:trHeight w:val="209"/>
        </w:trPr>
        <w:tc>
          <w:tcPr>
            <w:tcW w:w="580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Joseph Truitt</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780" w:type="dxa"/>
            <w:vAlign w:val="bottom"/>
            <w:tcBorders>
              <w:bottom w:val="single" w:sz="8" w:color="auto"/>
              <w:right w:val="single" w:sz="8" w:color="auto"/>
            </w:tcBorders>
          </w:tcPr>
          <w:p>
            <w:pPr>
              <w:spacing w:after="0"/>
              <w:rPr>
                <w:sz w:val="18"/>
                <w:szCs w:val="18"/>
                <w:color w:val="auto"/>
              </w:rPr>
            </w:pPr>
          </w:p>
        </w:tc>
      </w:tr>
      <w:tr>
        <w:trPr>
          <w:trHeight w:val="210"/>
        </w:trPr>
        <w:tc>
          <w:tcPr>
            <w:tcW w:w="580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Jeffrey W. Sherman, M.D., FACP</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4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w:t>
            </w:r>
          </w:p>
        </w:tc>
      </w:tr>
    </w:tbl>
    <w:p>
      <w:pPr>
        <w:spacing w:after="0" w:line="18" w:lineRule="exact"/>
        <w:rPr>
          <w:sz w:val="20"/>
          <w:szCs w:val="20"/>
          <w:color w:val="auto"/>
        </w:rPr>
      </w:pPr>
    </w:p>
    <w:p>
      <w:pPr>
        <w:sectPr>
          <w:pgSz w:w="11900" w:h="16838" w:orient="portrait"/>
          <w:cols w:equalWidth="0" w:num="1">
            <w:col w:w="9720"/>
          </w:cols>
          <w:pgMar w:left="1080" w:top="1186" w:right="1099" w:bottom="1440" w:gutter="0" w:footer="0" w:header="0"/>
        </w:sectPr>
      </w:pPr>
    </w:p>
    <w:p>
      <w:pPr>
        <w:jc w:val="center"/>
        <w:ind w:right="1320"/>
        <w:spacing w:after="0"/>
        <w:rPr>
          <w:sz w:val="20"/>
          <w:szCs w:val="20"/>
          <w:color w:val="auto"/>
        </w:rPr>
      </w:pPr>
      <w:r>
        <w:rPr>
          <w:rFonts w:ascii="Times New Roman" w:cs="Times New Roman" w:eastAsia="Times New Roman" w:hAnsi="Times New Roman"/>
          <w:sz w:val="14"/>
          <w:szCs w:val="14"/>
          <w:color w:val="auto"/>
        </w:rPr>
        <w:t>AC = Audit Committee</w:t>
      </w:r>
    </w:p>
    <w:p>
      <w:pPr>
        <w:spacing w:after="0" w:line="4" w:lineRule="exact"/>
        <w:rPr>
          <w:sz w:val="20"/>
          <w:szCs w:val="20"/>
          <w:color w:val="auto"/>
        </w:rPr>
      </w:pPr>
    </w:p>
    <w:p>
      <w:pPr>
        <w:jc w:val="center"/>
        <w:ind w:right="1320"/>
        <w:spacing w:after="0"/>
        <w:rPr>
          <w:sz w:val="20"/>
          <w:szCs w:val="20"/>
          <w:color w:val="auto"/>
        </w:rPr>
      </w:pPr>
      <w:r>
        <w:rPr>
          <w:rFonts w:ascii="Times New Roman" w:cs="Times New Roman" w:eastAsia="Times New Roman" w:hAnsi="Times New Roman"/>
          <w:sz w:val="14"/>
          <w:szCs w:val="14"/>
          <w:color w:val="auto"/>
        </w:rPr>
        <w:t>CC = Compensation Committee</w:t>
      </w:r>
    </w:p>
    <w:p>
      <w:pPr>
        <w:spacing w:after="0" w:line="20" w:lineRule="exact"/>
        <w:rPr>
          <w:sz w:val="20"/>
          <w:szCs w:val="20"/>
          <w:color w:val="auto"/>
        </w:rPr>
      </w:pPr>
      <w:r>
        <w:rPr>
          <w:sz w:val="20"/>
          <w:szCs w:val="20"/>
          <w:color w:val="auto"/>
        </w:rPr>
        <w:br w:type="column"/>
      </w:r>
    </w:p>
    <w:p>
      <w:pPr>
        <w:jc w:val="center"/>
        <w:ind w:right="2040"/>
        <w:spacing w:after="0"/>
        <w:rPr>
          <w:sz w:val="20"/>
          <w:szCs w:val="20"/>
          <w:color w:val="auto"/>
        </w:rPr>
      </w:pPr>
      <w:r>
        <w:rPr>
          <w:rFonts w:ascii="Times New Roman" w:cs="Times New Roman" w:eastAsia="Times New Roman" w:hAnsi="Times New Roman"/>
          <w:sz w:val="14"/>
          <w:szCs w:val="14"/>
          <w:color w:val="auto"/>
        </w:rPr>
        <w:t>M = Member</w:t>
      </w:r>
    </w:p>
    <w:p>
      <w:pPr>
        <w:spacing w:after="0" w:line="4" w:lineRule="exact"/>
        <w:rPr>
          <w:sz w:val="20"/>
          <w:szCs w:val="20"/>
          <w:color w:val="auto"/>
        </w:rPr>
      </w:pPr>
    </w:p>
    <w:p>
      <w:pPr>
        <w:jc w:val="center"/>
        <w:ind w:right="2040"/>
        <w:spacing w:after="0"/>
        <w:rPr>
          <w:sz w:val="20"/>
          <w:szCs w:val="20"/>
          <w:color w:val="auto"/>
        </w:rPr>
      </w:pPr>
      <w:r>
        <w:rPr>
          <w:rFonts w:ascii="Times New Roman" w:cs="Times New Roman" w:eastAsia="Times New Roman" w:hAnsi="Times New Roman"/>
          <w:sz w:val="14"/>
          <w:szCs w:val="14"/>
          <w:color w:val="auto"/>
        </w:rPr>
        <w:t>C = Chair</w:t>
      </w:r>
    </w:p>
    <w:p>
      <w:pPr>
        <w:spacing w:after="0" w:line="39" w:lineRule="exact"/>
        <w:rPr>
          <w:sz w:val="20"/>
          <w:szCs w:val="20"/>
          <w:color w:val="auto"/>
        </w:rPr>
      </w:pPr>
    </w:p>
    <w:p>
      <w:pPr>
        <w:sectPr>
          <w:pgSz w:w="11900" w:h="16838" w:orient="portrait"/>
          <w:cols w:equalWidth="0" w:num="2">
            <w:col w:w="6180" w:space="720"/>
            <w:col w:w="2820"/>
          </w:cols>
          <w:pgMar w:left="1080" w:top="1186" w:right="1099"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14"/>
          <w:szCs w:val="14"/>
          <w:color w:val="auto"/>
        </w:rPr>
        <w:t>NCGC = Nominating and Corporate Governance Committee</w:t>
      </w:r>
    </w:p>
    <w:p>
      <w:pPr>
        <w:sectPr>
          <w:pgSz w:w="11900" w:h="16838" w:orient="portrait"/>
          <w:cols w:equalWidth="0" w:num="1">
            <w:col w:w="9720"/>
          </w:cols>
          <w:pgMar w:left="1080" w:top="1186" w:right="1099" w:bottom="1440" w:gutter="0" w:footer="0" w:header="0"/>
          <w:type w:val="continuous"/>
        </w:sectPr>
      </w:pP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2025, our Board held thirteen meetings, our Audit Committee held five meetings, our Compensation Committee held four meetings and our Nominating and Corporate Governance Committee held three meetings. Each director attended at least 75% of the meetings of the Board and meetings of each Committee on which he or she served during 2025.</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Directors are encouraged, but not required, to attend our annual stockholder meetings. All of our directors attended the 2025 Annual Meeting of Stockholders.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assists the Board by providing oversight of our financial management, independent auditor, and financial reporting procedures, as well as such other matters as directed by the Board or the Audit Committee Charter.</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other things, the Audit Committee’s responsibilities include:</w:t>
      </w:r>
    </w:p>
    <w:p>
      <w:pPr>
        <w:spacing w:after="0" w:line="158" w:lineRule="exact"/>
        <w:rPr>
          <w:sz w:val="20"/>
          <w:szCs w:val="20"/>
          <w:color w:val="auto"/>
        </w:rPr>
      </w:pPr>
    </w:p>
    <w:p>
      <w:pPr>
        <w:ind w:left="1440" w:hanging="658"/>
        <w:spacing w:after="0" w:line="261" w:lineRule="auto"/>
        <w:tabs>
          <w:tab w:leader="none" w:pos="1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firm to serve as the independent registered accounting firm to audit our consolidated financial statements;</w:t>
      </w:r>
    </w:p>
    <w:p>
      <w:pPr>
        <w:ind w:left="1440" w:hanging="658"/>
        <w:spacing w:after="0"/>
        <w:tabs>
          <w:tab w:leader="none" w:pos="1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the independence of the independent registered public accounting firm;</w:t>
      </w:r>
    </w:p>
    <w:p>
      <w:pPr>
        <w:spacing w:after="0" w:line="9" w:lineRule="exact"/>
        <w:rPr>
          <w:rFonts w:ascii="Times New Roman" w:cs="Times New Roman" w:eastAsia="Times New Roman" w:hAnsi="Times New Roman"/>
          <w:sz w:val="18"/>
          <w:szCs w:val="18"/>
          <w:color w:val="auto"/>
        </w:rPr>
      </w:pPr>
    </w:p>
    <w:p>
      <w:pPr>
        <w:ind w:left="1440" w:hanging="658"/>
        <w:spacing w:after="0" w:line="250" w:lineRule="auto"/>
        <w:tabs>
          <w:tab w:leader="none" w:pos="1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that firm, our interim and year-end operating results;</w:t>
      </w:r>
    </w:p>
    <w:p>
      <w:pPr>
        <w:ind w:left="1440" w:hanging="658"/>
        <w:spacing w:after="0" w:line="250" w:lineRule="auto"/>
        <w:tabs>
          <w:tab w:leader="none" w:pos="1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employees to anonymously submit concerns about questionable accounting or audit matters;</w:t>
      </w:r>
    </w:p>
    <w:p>
      <w:pPr>
        <w:ind w:left="1440" w:hanging="658"/>
        <w:spacing w:after="0"/>
        <w:tabs>
          <w:tab w:leader="none" w:pos="1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the adequacy of our internal controls and internal audit function;</w:t>
      </w:r>
    </w:p>
    <w:p>
      <w:pPr>
        <w:spacing w:after="0" w:line="9" w:lineRule="exact"/>
        <w:rPr>
          <w:rFonts w:ascii="Times New Roman" w:cs="Times New Roman" w:eastAsia="Times New Roman" w:hAnsi="Times New Roman"/>
          <w:sz w:val="18"/>
          <w:szCs w:val="18"/>
          <w:color w:val="auto"/>
        </w:rPr>
      </w:pPr>
    </w:p>
    <w:p>
      <w:pPr>
        <w:ind w:left="1440" w:hanging="658"/>
        <w:spacing w:after="0"/>
        <w:tabs>
          <w:tab w:leader="none" w:pos="1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the Code of Conduct for financial management;</w:t>
      </w:r>
    </w:p>
    <w:p>
      <w:pPr>
        <w:spacing w:after="0" w:line="9" w:lineRule="exact"/>
        <w:rPr>
          <w:rFonts w:ascii="Times New Roman" w:cs="Times New Roman" w:eastAsia="Times New Roman" w:hAnsi="Times New Roman"/>
          <w:sz w:val="18"/>
          <w:szCs w:val="18"/>
          <w:color w:val="auto"/>
        </w:rPr>
      </w:pPr>
    </w:p>
    <w:p>
      <w:pPr>
        <w:jc w:val="both"/>
        <w:ind w:left="1440" w:hanging="658"/>
        <w:spacing w:after="0" w:line="250" w:lineRule="auto"/>
        <w:tabs>
          <w:tab w:leader="none" w:pos="1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significant existing and emerging cybersecurity risks, material cybersecurity incidents or threats, the impact on the Company of any significant cybersecurity incident or threat and any disclosure obligations arising from such incident or threat, and all back-up of information systems and other measures the Company has implemented to monitor and control such exposures;</w:t>
      </w:r>
    </w:p>
    <w:p>
      <w:pPr>
        <w:spacing w:after="0" w:line="1" w:lineRule="exact"/>
        <w:rPr>
          <w:rFonts w:ascii="Times New Roman" w:cs="Times New Roman" w:eastAsia="Times New Roman" w:hAnsi="Times New Roman"/>
          <w:sz w:val="18"/>
          <w:szCs w:val="18"/>
          <w:color w:val="auto"/>
        </w:rPr>
      </w:pPr>
    </w:p>
    <w:p>
      <w:pPr>
        <w:ind w:left="1440" w:hanging="658"/>
        <w:spacing w:after="0"/>
        <w:tabs>
          <w:tab w:leader="none" w:pos="1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material related party transactions or those that require disclosure; and</w:t>
      </w:r>
    </w:p>
    <w:p>
      <w:pPr>
        <w:spacing w:after="0" w:line="9" w:lineRule="exact"/>
        <w:rPr>
          <w:rFonts w:ascii="Times New Roman" w:cs="Times New Roman" w:eastAsia="Times New Roman" w:hAnsi="Times New Roman"/>
          <w:sz w:val="18"/>
          <w:szCs w:val="18"/>
          <w:color w:val="auto"/>
        </w:rPr>
      </w:pPr>
    </w:p>
    <w:p>
      <w:pPr>
        <w:ind w:left="1440" w:hanging="658"/>
        <w:spacing w:after="0" w:line="260" w:lineRule="auto"/>
        <w:tabs>
          <w:tab w:leader="none" w:pos="1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non-audit services to be performed by the independent registered public accounting firm.</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members of our Audit Committee are Mr. Thomas (chair), Mr. Hamilton and Mr. Truitt. All members of our Audit Committee are deemed “independent” and financially literate under the applicable rules and regulations of the SEC and Nasdaq. Our Board has determined that each of Messrs. Thomas and Truitt qualify as an “audit committee financial expert” within the meaning of SEC regulations. This designation does not impose any duties, obligations or liabilities that are greater than are generally imposed on members of our Audit Committee and our Board.</w:t>
      </w:r>
    </w:p>
    <w:p>
      <w:pPr>
        <w:spacing w:after="0" w:line="30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type w:val="continuous"/>
        </w:sectPr>
      </w:pPr>
    </w:p>
    <w:bookmarkStart w:id="24" w:name="page25"/>
    <w:bookmarkEnd w:id="24"/>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CORPORATE GOVERNANCE AND RISK MANAGEMENT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identifies qualified individuals for membership on the Board, recommends to the Board the director nominees to fill vacancies on the Board and to stand for election at the next annual meeting of stockholders, develops and recommends to the Board a set of corporate governance guidelines for the Board and provides oversight of the corporate governance affairs of the Board, as well as such other matters as directed by the Board or the Nominating and Corporate Governance Charter. Among other things, our Nominating and Corporate Governance Committee’s responsibilities include:</w:t>
      </w:r>
    </w:p>
    <w:p>
      <w:pPr>
        <w:spacing w:after="0" w:line="156" w:lineRule="exact"/>
        <w:rPr>
          <w:sz w:val="20"/>
          <w:szCs w:val="20"/>
          <w:color w:val="auto"/>
        </w:rPr>
      </w:pPr>
    </w:p>
    <w:p>
      <w:pPr>
        <w:ind w:left="1440" w:hanging="658"/>
        <w:spacing w:after="0"/>
        <w:tabs>
          <w:tab w:leader="none" w:pos="1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recommending candidates for membership on our Board;</w:t>
      </w:r>
    </w:p>
    <w:p>
      <w:pPr>
        <w:spacing w:after="0" w:line="27" w:lineRule="exact"/>
        <w:rPr>
          <w:rFonts w:ascii="Times New Roman" w:cs="Times New Roman" w:eastAsia="Times New Roman" w:hAnsi="Times New Roman"/>
          <w:sz w:val="18"/>
          <w:szCs w:val="18"/>
          <w:color w:val="auto"/>
        </w:rPr>
      </w:pPr>
    </w:p>
    <w:p>
      <w:pPr>
        <w:ind w:left="1440" w:hanging="658"/>
        <w:spacing w:after="0"/>
        <w:tabs>
          <w:tab w:leader="none" w:pos="1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our corporate governance guidelines and policies;</w:t>
      </w:r>
    </w:p>
    <w:p>
      <w:pPr>
        <w:spacing w:after="0" w:line="9" w:lineRule="exact"/>
        <w:rPr>
          <w:rFonts w:ascii="Times New Roman" w:cs="Times New Roman" w:eastAsia="Times New Roman" w:hAnsi="Times New Roman"/>
          <w:sz w:val="18"/>
          <w:szCs w:val="18"/>
          <w:color w:val="auto"/>
        </w:rPr>
      </w:pPr>
    </w:p>
    <w:p>
      <w:pPr>
        <w:ind w:left="1440" w:hanging="658"/>
        <w:spacing w:after="0"/>
        <w:tabs>
          <w:tab w:leader="none" w:pos="1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proposed waivers of the Code of Conduct for directors and executive officers;</w:t>
      </w:r>
    </w:p>
    <w:p>
      <w:pPr>
        <w:spacing w:after="0" w:line="9" w:lineRule="exact"/>
        <w:rPr>
          <w:rFonts w:ascii="Times New Roman" w:cs="Times New Roman" w:eastAsia="Times New Roman" w:hAnsi="Times New Roman"/>
          <w:sz w:val="18"/>
          <w:szCs w:val="18"/>
          <w:color w:val="auto"/>
        </w:rPr>
      </w:pPr>
    </w:p>
    <w:p>
      <w:pPr>
        <w:ind w:left="1440" w:hanging="658"/>
        <w:spacing w:after="0"/>
        <w:tabs>
          <w:tab w:leader="none" w:pos="1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process of evaluating the performance of our Board; and</w:t>
      </w:r>
    </w:p>
    <w:p>
      <w:pPr>
        <w:spacing w:after="0" w:line="9" w:lineRule="exact"/>
        <w:rPr>
          <w:rFonts w:ascii="Times New Roman" w:cs="Times New Roman" w:eastAsia="Times New Roman" w:hAnsi="Times New Roman"/>
          <w:sz w:val="18"/>
          <w:szCs w:val="18"/>
          <w:color w:val="auto"/>
        </w:rPr>
      </w:pPr>
    </w:p>
    <w:p>
      <w:pPr>
        <w:ind w:left="1440" w:hanging="658"/>
        <w:spacing w:after="0"/>
        <w:tabs>
          <w:tab w:leader="none" w:pos="1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our Board on corporate governance matters.</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identifying individuals that the Nominating and Corporate Governance Committee believes are qualified to become Board members, as described above in the sections entitled “Board Structure and Composition” and “Criteria for Board Membership.”</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members of our Nominating and Corporate Governance Committee are Mr. Leff (chair), Mr. Hamilton and Dr. Sherman. The Board has determined that all Nominating and Corporate Governance Committee members are independent under the listing standards of Nasdaq.</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reviews the performance and development of our management in achieving corporate goals and objectives and assures that our executive officers (including our CEO) are compensated effectively in a manner consistent with our strategy, competitive practices and stockholder interests, as well as such other matters as directed by the Board or the Compensation Committee Charter. Among other things, the Compensation Committee’s responsibilities include:</w:t>
      </w:r>
    </w:p>
    <w:p>
      <w:pPr>
        <w:spacing w:after="0" w:line="139" w:lineRule="exact"/>
        <w:rPr>
          <w:sz w:val="20"/>
          <w:szCs w:val="20"/>
          <w:color w:val="auto"/>
        </w:rPr>
      </w:pPr>
    </w:p>
    <w:p>
      <w:pPr>
        <w:ind w:left="1440" w:hanging="658"/>
        <w:spacing w:after="0"/>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approve, the compensation of our executive officers;</w:t>
      </w:r>
    </w:p>
    <w:p>
      <w:pPr>
        <w:spacing w:after="0" w:line="27" w:lineRule="exact"/>
        <w:rPr>
          <w:rFonts w:ascii="Times New Roman" w:cs="Times New Roman" w:eastAsia="Times New Roman" w:hAnsi="Times New Roman"/>
          <w:sz w:val="18"/>
          <w:szCs w:val="18"/>
          <w:color w:val="auto"/>
        </w:rPr>
      </w:pPr>
    </w:p>
    <w:p>
      <w:pPr>
        <w:ind w:left="1440" w:hanging="658"/>
        <w:spacing w:after="0"/>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the compensation of our directors;</w:t>
      </w:r>
    </w:p>
    <w:p>
      <w:pPr>
        <w:spacing w:after="0" w:line="9" w:lineRule="exact"/>
        <w:rPr>
          <w:rFonts w:ascii="Times New Roman" w:cs="Times New Roman" w:eastAsia="Times New Roman" w:hAnsi="Times New Roman"/>
          <w:sz w:val="18"/>
          <w:szCs w:val="18"/>
          <w:color w:val="auto"/>
        </w:rPr>
      </w:pPr>
    </w:p>
    <w:p>
      <w:pPr>
        <w:ind w:left="1440" w:hanging="658"/>
        <w:spacing w:after="0"/>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stock and equity incentive plans;</w:t>
      </w:r>
    </w:p>
    <w:p>
      <w:pPr>
        <w:spacing w:after="0" w:line="9" w:lineRule="exact"/>
        <w:rPr>
          <w:rFonts w:ascii="Times New Roman" w:cs="Times New Roman" w:eastAsia="Times New Roman" w:hAnsi="Times New Roman"/>
          <w:sz w:val="18"/>
          <w:szCs w:val="18"/>
          <w:color w:val="auto"/>
        </w:rPr>
      </w:pPr>
    </w:p>
    <w:p>
      <w:pPr>
        <w:ind w:left="1440" w:hanging="658"/>
        <w:spacing w:after="0"/>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compensation recovery policy;</w:t>
      </w:r>
    </w:p>
    <w:p>
      <w:pPr>
        <w:spacing w:after="0" w:line="9" w:lineRule="exact"/>
        <w:rPr>
          <w:rFonts w:ascii="Times New Roman" w:cs="Times New Roman" w:eastAsia="Times New Roman" w:hAnsi="Times New Roman"/>
          <w:sz w:val="18"/>
          <w:szCs w:val="18"/>
          <w:color w:val="auto"/>
        </w:rPr>
      </w:pPr>
    </w:p>
    <w:p>
      <w:pPr>
        <w:ind w:left="1440" w:hanging="658"/>
        <w:spacing w:after="0" w:line="250" w:lineRule="auto"/>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our Board with respect to, incentive compensation and equity plans;</w:t>
      </w:r>
    </w:p>
    <w:p>
      <w:pPr>
        <w:ind w:left="1440" w:hanging="658"/>
        <w:spacing w:after="0"/>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overall compensation philosophy; and</w:t>
      </w:r>
    </w:p>
    <w:p>
      <w:pPr>
        <w:spacing w:after="0" w:line="9" w:lineRule="exact"/>
        <w:rPr>
          <w:rFonts w:ascii="Times New Roman" w:cs="Times New Roman" w:eastAsia="Times New Roman" w:hAnsi="Times New Roman"/>
          <w:sz w:val="18"/>
          <w:szCs w:val="18"/>
          <w:color w:val="auto"/>
        </w:rPr>
      </w:pPr>
    </w:p>
    <w:p>
      <w:pPr>
        <w:ind w:left="1440" w:hanging="658"/>
        <w:spacing w:after="0"/>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key human capital management strategies.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certain limitations, our Compensation Committee has delegated authority to our CEO to grant options or other stock awards to our non-executive officers. Our Compensation Committee also has the authority to form and delegate authority to one or more subcommittees as it deems appropriate from time to time under the circumstances. The Compensation Committee annually reviews the performance of each of the executive officers, including the CEO. It then determines and approves the compensation of each executive officer, other than the CEO, and determines and makes recommendations regarding the CEO’s compensation level to the Board for approval.</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Aon’s Human Capital Solutions practice, a division of Aon plc ("Aon"), a widely recognized leader in gathering and analyzing industry compensation trends, serves as our independent compensation consultant for executive compensation. Aon reports directly to the Compensation Committee and provides various executive compensation services to the Compensation Committee, including advising the Compensation Committee on the principal aspects of our executive compensation program and evolving industry practices and providing market information and analysis regarding the competitiveness of our compensation program design and our award values in relation to performance. In addition, Aon serves as our insurance broker for all of our commercial lines of insurance.</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members of our Compensation Committee are Mr. Truitt (Chair), Mr. Leff and Mr. Thomas. The Board has determined that all Compensation Committee members are independent under the listing standards of Nasdaq, and that they are “non-employee directors” for purposes of Rule 16b-3 under the Securities Exchange Act of 1934 (the “Exchange Act”).</w:t>
      </w:r>
    </w:p>
    <w:p>
      <w:pPr>
        <w:spacing w:after="0" w:line="2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25" w:name="page26"/>
    <w:bookmarkEnd w:id="25"/>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CORPORATE GOVERNANCE AND RISK MANAGEMENT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year ended December 31, 2025 and as of the date of this Proxy Statement, none of the members of the Compensation Committee was or is one of our officers or employees, and none of our executive officers has served or serves on the compensation committee or board of any company that employed or employs any member of our Compensation Committee or Board.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ENGAGEMENT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Connect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Engaging with investors is fundamental to our commitment to good corporate governance and essential to maintaining strong corporate governance practices. Throughout the year, we seek opportunities to connect with our investors to gain and share valuable insights into current and emerging global governance trends.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Collaborate</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strive for a collaborative approach to stockholder engagement and value the variety of investors’ perspectives received, which helps deepen our understanding of their interests and motivations.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goal is to communicate with our stockholders through various platforms, including via our website at </w:t>
      </w:r>
      <w:r>
        <w:rPr>
          <w:rFonts w:ascii="Times New Roman" w:cs="Times New Roman" w:eastAsia="Times New Roman" w:hAnsi="Times New Roman"/>
          <w:sz w:val="18"/>
          <w:szCs w:val="18"/>
          <w:u w:val="single" w:color="auto"/>
          <w:color w:val="2175FF"/>
        </w:rPr>
        <w:t>www.larimartx.com</w:t>
      </w:r>
      <w:r>
        <w:rPr>
          <w:rFonts w:ascii="Times New Roman" w:cs="Times New Roman" w:eastAsia="Times New Roman" w:hAnsi="Times New Roman"/>
          <w:sz w:val="18"/>
          <w:szCs w:val="18"/>
          <w:color w:val="auto"/>
        </w:rPr>
        <w:t>, in print and in person at investor presentations or stockholder meetings. We view communication between our stockholders and our Board as a dialogue.</w:t>
      </w:r>
    </w:p>
    <w:p>
      <w:pPr>
        <w:spacing w:after="0" w:line="172"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308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7"/>
              </w:rPr>
              <w:t>How to</w:t>
            </w:r>
          </w:p>
        </w:tc>
        <w:tc>
          <w:tcPr>
            <w:tcW w:w="324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7"/>
              </w:rPr>
              <w:t>By mail:</w:t>
            </w:r>
          </w:p>
        </w:tc>
      </w:tr>
      <w:tr>
        <w:trPr>
          <w:trHeight w:val="220"/>
        </w:trPr>
        <w:tc>
          <w:tcPr>
            <w:tcW w:w="308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Communicate with our Directors</w:t>
            </w:r>
          </w:p>
        </w:tc>
        <w:tc>
          <w:tcPr>
            <w:tcW w:w="324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Secretary, Larimar Therapeutics, Inc.</w:t>
            </w:r>
          </w:p>
        </w:tc>
      </w:tr>
      <w:tr>
        <w:trPr>
          <w:trHeight w:val="216"/>
        </w:trPr>
        <w:tc>
          <w:tcPr>
            <w:tcW w:w="3080" w:type="dxa"/>
            <w:vAlign w:val="bottom"/>
          </w:tcPr>
          <w:p>
            <w:pPr>
              <w:spacing w:after="0"/>
              <w:rPr>
                <w:sz w:val="18"/>
                <w:szCs w:val="18"/>
                <w:color w:val="auto"/>
              </w:rPr>
            </w:pPr>
          </w:p>
        </w:tc>
        <w:tc>
          <w:tcPr>
            <w:tcW w:w="324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Three Bala Plaza East, Suite 506</w:t>
            </w:r>
          </w:p>
        </w:tc>
      </w:tr>
      <w:tr>
        <w:trPr>
          <w:trHeight w:val="234"/>
        </w:trPr>
        <w:tc>
          <w:tcPr>
            <w:tcW w:w="3080" w:type="dxa"/>
            <w:vAlign w:val="bottom"/>
          </w:tcPr>
          <w:p>
            <w:pPr>
              <w:spacing w:after="0"/>
              <w:rPr>
                <w:sz w:val="20"/>
                <w:szCs w:val="20"/>
                <w:color w:val="auto"/>
              </w:rPr>
            </w:pPr>
          </w:p>
        </w:tc>
        <w:tc>
          <w:tcPr>
            <w:tcW w:w="324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Bala Cynwyd, PA 19004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145415</wp:posOffset>
            </wp:positionV>
            <wp:extent cx="4568825" cy="1534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568825" cy="153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26" w:name="page27"/>
    <w:bookmarkEnd w:id="26"/>
    <w:p>
      <w:pPr>
        <w:ind w:left="760"/>
        <w:spacing w:after="0"/>
        <w:rPr>
          <w:sz w:val="20"/>
          <w:szCs w:val="20"/>
          <w:color w:val="auto"/>
        </w:rPr>
      </w:pPr>
      <w:r>
        <w:rPr>
          <w:rFonts w:ascii="Times New Roman" w:cs="Times New Roman" w:eastAsia="Times New Roman" w:hAnsi="Times New Roman"/>
          <w:sz w:val="22"/>
          <w:szCs w:val="22"/>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-140335</wp:posOffset>
            </wp:positionV>
            <wp:extent cx="617220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9" w:lineRule="exact"/>
        <w:rPr>
          <w:sz w:val="20"/>
          <w:szCs w:val="20"/>
          <w:color w:val="auto"/>
        </w:rPr>
      </w:pPr>
    </w:p>
    <w:p>
      <w:pPr>
        <w:jc w:val="both"/>
        <w:ind w:left="660" w:right="660"/>
        <w:spacing w:after="0" w:line="282" w:lineRule="auto"/>
        <w:rPr>
          <w:sz w:val="20"/>
          <w:szCs w:val="20"/>
          <w:color w:val="auto"/>
        </w:rPr>
      </w:pPr>
      <w:r>
        <w:rPr>
          <w:rFonts w:ascii="Times New Roman" w:cs="Times New Roman" w:eastAsia="Times New Roman" w:hAnsi="Times New Roman"/>
          <w:sz w:val="18"/>
          <w:szCs w:val="18"/>
          <w:color w:val="auto"/>
        </w:rPr>
        <w:t>We have designed and implemented our compensation program for our non-employee directors to attract, motivate and retain individuals who are committed to our values and goals and who have the expertise and experience that we need to achieve those goals.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2025 non-employee director compensation policy is set forth in the table below.</w:t>
      </w:r>
    </w:p>
    <w:p>
      <w:pPr>
        <w:spacing w:after="0" w:line="2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FFFFFF"/>
        </w:rPr>
        <w:t>C</w:t>
      </w:r>
      <w:r>
        <w:rPr>
          <w:rFonts w:ascii="Times New Roman" w:cs="Times New Roman" w:eastAsia="Times New Roman" w:hAnsi="Times New Roman"/>
          <w:sz w:val="13"/>
          <w:szCs w:val="13"/>
          <w:b w:val="1"/>
          <w:bCs w:val="1"/>
          <w:color w:val="FFFFFF"/>
        </w:rPr>
        <w:t>OMPENSATION</w:t>
      </w:r>
      <w:r>
        <w:rPr>
          <w:rFonts w:ascii="Times New Roman" w:cs="Times New Roman" w:eastAsia="Times New Roman" w:hAnsi="Times New Roman"/>
          <w:sz w:val="18"/>
          <w:szCs w:val="18"/>
          <w:b w:val="1"/>
          <w:bCs w:val="1"/>
          <w:color w:val="FFFFFF"/>
        </w:rPr>
        <w:t xml:space="preserve"> E</w:t>
      </w:r>
      <w:r>
        <w:rPr>
          <w:rFonts w:ascii="Times New Roman" w:cs="Times New Roman" w:eastAsia="Times New Roman" w:hAnsi="Times New Roman"/>
          <w:sz w:val="13"/>
          <w:szCs w:val="13"/>
          <w:b w:val="1"/>
          <w:bCs w:val="1"/>
          <w:color w:val="FFFFFF"/>
        </w:rPr>
        <w:t>LEMENTS –</w:t>
      </w:r>
      <w:r>
        <w:rPr>
          <w:rFonts w:ascii="Times New Roman" w:cs="Times New Roman" w:eastAsia="Times New Roman" w:hAnsi="Times New Roman"/>
          <w:sz w:val="18"/>
          <w:szCs w:val="18"/>
          <w:b w:val="1"/>
          <w:bCs w:val="1"/>
          <w:color w:val="FFFFFF"/>
        </w:rPr>
        <w:t xml:space="preserve"> N</w:t>
      </w:r>
      <w:r>
        <w:rPr>
          <w:rFonts w:ascii="Times New Roman" w:cs="Times New Roman" w:eastAsia="Times New Roman" w:hAnsi="Times New Roman"/>
          <w:sz w:val="13"/>
          <w:szCs w:val="13"/>
          <w:b w:val="1"/>
          <w:bCs w:val="1"/>
          <w:color w:val="FFFFFF"/>
        </w:rPr>
        <w:t>ON-</w:t>
      </w:r>
      <w:r>
        <w:rPr>
          <w:rFonts w:ascii="Times New Roman" w:cs="Times New Roman" w:eastAsia="Times New Roman" w:hAnsi="Times New Roman"/>
          <w:sz w:val="18"/>
          <w:szCs w:val="18"/>
          <w:b w:val="1"/>
          <w:bCs w:val="1"/>
          <w:color w:val="FFFFFF"/>
        </w:rPr>
        <w:t>E</w:t>
      </w:r>
      <w:r>
        <w:rPr>
          <w:rFonts w:ascii="Times New Roman" w:cs="Times New Roman" w:eastAsia="Times New Roman" w:hAnsi="Times New Roman"/>
          <w:sz w:val="13"/>
          <w:szCs w:val="13"/>
          <w:b w:val="1"/>
          <w:bCs w:val="1"/>
          <w:color w:val="FFFFFF"/>
        </w:rPr>
        <w:t>MPLOYEE</w:t>
      </w:r>
      <w:r>
        <w:rPr>
          <w:rFonts w:ascii="Times New Roman" w:cs="Times New Roman" w:eastAsia="Times New Roman" w:hAnsi="Times New Roman"/>
          <w:sz w:val="18"/>
          <w:szCs w:val="18"/>
          <w:b w:val="1"/>
          <w:bCs w:val="1"/>
          <w:color w:val="FFFFFF"/>
        </w:rPr>
        <w:t xml:space="preserve"> D</w:t>
      </w:r>
      <w:r>
        <w:rPr>
          <w:rFonts w:ascii="Times New Roman" w:cs="Times New Roman" w:eastAsia="Times New Roman" w:hAnsi="Times New Roman"/>
          <w:sz w:val="13"/>
          <w:szCs w:val="13"/>
          <w:b w:val="1"/>
          <w:bCs w:val="1"/>
          <w:color w:val="FFFFFF"/>
        </w:rPr>
        <w:t>IRECTOR</w:t>
      </w:r>
      <w:r>
        <w:rPr>
          <w:rFonts w:ascii="Times New Roman" w:cs="Times New Roman" w:eastAsia="Times New Roman" w:hAnsi="Times New Roman"/>
          <w:sz w:val="18"/>
          <w:szCs w:val="18"/>
          <w:b w:val="1"/>
          <w:bCs w:val="1"/>
          <w:color w:val="FFFFFF"/>
        </w:rPr>
        <w:t xml:space="preserve"> C</w:t>
      </w:r>
      <w:r>
        <w:rPr>
          <w:rFonts w:ascii="Times New Roman" w:cs="Times New Roman" w:eastAsia="Times New Roman" w:hAnsi="Times New Roman"/>
          <w:sz w:val="13"/>
          <w:szCs w:val="13"/>
          <w:b w:val="1"/>
          <w:bCs w:val="1"/>
          <w:color w:val="FFFFFF"/>
        </w:rPr>
        <w:t>OMPENSATION</w:t>
      </w:r>
      <w:r>
        <w:rPr>
          <w:rFonts w:ascii="Times New Roman" w:cs="Times New Roman" w:eastAsia="Times New Roman" w:hAnsi="Times New Roman"/>
          <w:sz w:val="18"/>
          <w:szCs w:val="18"/>
          <w:b w:val="1"/>
          <w:bCs w:val="1"/>
          <w:color w:val="FFFFFF"/>
        </w:rPr>
        <w:t xml:space="preserve"> P</w:t>
      </w:r>
      <w:r>
        <w:rPr>
          <w:rFonts w:ascii="Times New Roman" w:cs="Times New Roman" w:eastAsia="Times New Roman" w:hAnsi="Times New Roman"/>
          <w:sz w:val="13"/>
          <w:szCs w:val="13"/>
          <w:b w:val="1"/>
          <w:bCs w:val="1"/>
          <w:color w:val="FFFFFF"/>
        </w:rPr>
        <w:t>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-125095</wp:posOffset>
            </wp:positionV>
            <wp:extent cx="6172200" cy="29057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172200" cy="2905760"/>
                    </a:xfrm>
                    <a:prstGeom prst="rect">
                      <a:avLst/>
                    </a:prstGeom>
                    <a:noFill/>
                  </pic:spPr>
                </pic:pic>
              </a:graphicData>
            </a:graphic>
          </wp:anchor>
        </w:drawing>
      </w:r>
    </w:p>
    <w:p>
      <w:pPr>
        <w:spacing w:after="0" w:line="32"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448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Cash Retainers</w:t>
            </w:r>
          </w:p>
        </w:tc>
        <w:tc>
          <w:tcPr>
            <w:tcW w:w="5240" w:type="dxa"/>
            <w:vAlign w:val="bottom"/>
            <w:tcBorders>
              <w:top w:val="single" w:sz="8" w:color="auto"/>
              <w:bottom w:val="single" w:sz="8" w:color="auto"/>
            </w:tcBorders>
          </w:tcPr>
          <w:p>
            <w:pPr>
              <w:spacing w:after="0"/>
              <w:rPr>
                <w:sz w:val="19"/>
                <w:szCs w:val="19"/>
                <w:color w:val="auto"/>
              </w:rPr>
            </w:pPr>
          </w:p>
        </w:tc>
      </w:tr>
      <w:tr>
        <w:trPr>
          <w:trHeight w:val="210"/>
        </w:trPr>
        <w:tc>
          <w:tcPr>
            <w:tcW w:w="44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Annual Cash Retainer</w:t>
            </w:r>
          </w:p>
        </w:tc>
        <w:tc>
          <w:tcPr>
            <w:tcW w:w="5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$35,000</w:t>
            </w:r>
          </w:p>
        </w:tc>
      </w:tr>
      <w:tr>
        <w:trPr>
          <w:trHeight w:val="209"/>
        </w:trPr>
        <w:tc>
          <w:tcPr>
            <w:tcW w:w="44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Chairperson of the Board of Directors</w:t>
            </w:r>
          </w:p>
        </w:tc>
        <w:tc>
          <w:tcPr>
            <w:tcW w:w="5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$30,000</w:t>
            </w:r>
          </w:p>
        </w:tc>
      </w:tr>
      <w:tr>
        <w:trPr>
          <w:trHeight w:val="209"/>
        </w:trPr>
        <w:tc>
          <w:tcPr>
            <w:tcW w:w="44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Annual Committee Chair Retainer</w:t>
            </w:r>
          </w:p>
        </w:tc>
        <w:tc>
          <w:tcPr>
            <w:tcW w:w="5240" w:type="dxa"/>
            <w:vAlign w:val="bottom"/>
            <w:tcBorders>
              <w:bottom w:val="single" w:sz="8" w:color="auto"/>
            </w:tcBorders>
          </w:tcPr>
          <w:p>
            <w:pPr>
              <w:spacing w:after="0"/>
              <w:rPr>
                <w:sz w:val="18"/>
                <w:szCs w:val="18"/>
                <w:color w:val="auto"/>
              </w:rPr>
            </w:pPr>
          </w:p>
        </w:tc>
      </w:tr>
      <w:tr>
        <w:trPr>
          <w:trHeight w:val="210"/>
        </w:trPr>
        <w:tc>
          <w:tcPr>
            <w:tcW w:w="448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Audit</w:t>
            </w:r>
          </w:p>
        </w:tc>
        <w:tc>
          <w:tcPr>
            <w:tcW w:w="5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$15,000</w:t>
            </w:r>
          </w:p>
        </w:tc>
      </w:tr>
      <w:tr>
        <w:trPr>
          <w:trHeight w:val="209"/>
        </w:trPr>
        <w:tc>
          <w:tcPr>
            <w:tcW w:w="448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Compensation</w:t>
            </w:r>
          </w:p>
        </w:tc>
        <w:tc>
          <w:tcPr>
            <w:tcW w:w="5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$10,000</w:t>
            </w:r>
          </w:p>
        </w:tc>
      </w:tr>
      <w:tr>
        <w:trPr>
          <w:trHeight w:val="209"/>
        </w:trPr>
        <w:tc>
          <w:tcPr>
            <w:tcW w:w="448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Nominating and Corporate Governance</w:t>
            </w:r>
          </w:p>
        </w:tc>
        <w:tc>
          <w:tcPr>
            <w:tcW w:w="5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$7,500</w:t>
            </w:r>
          </w:p>
        </w:tc>
      </w:tr>
      <w:tr>
        <w:trPr>
          <w:trHeight w:val="210"/>
        </w:trPr>
        <w:tc>
          <w:tcPr>
            <w:tcW w:w="44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Annual Committee Member Retainer</w:t>
            </w:r>
          </w:p>
        </w:tc>
        <w:tc>
          <w:tcPr>
            <w:tcW w:w="5240" w:type="dxa"/>
            <w:vAlign w:val="bottom"/>
            <w:tcBorders>
              <w:bottom w:val="single" w:sz="8" w:color="auto"/>
            </w:tcBorders>
          </w:tcPr>
          <w:p>
            <w:pPr>
              <w:spacing w:after="0"/>
              <w:rPr>
                <w:sz w:val="18"/>
                <w:szCs w:val="18"/>
                <w:color w:val="auto"/>
              </w:rPr>
            </w:pPr>
          </w:p>
        </w:tc>
      </w:tr>
      <w:tr>
        <w:trPr>
          <w:trHeight w:val="209"/>
        </w:trPr>
        <w:tc>
          <w:tcPr>
            <w:tcW w:w="448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Audit</w:t>
            </w:r>
          </w:p>
        </w:tc>
        <w:tc>
          <w:tcPr>
            <w:tcW w:w="5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$7,500</w:t>
            </w:r>
          </w:p>
        </w:tc>
      </w:tr>
      <w:tr>
        <w:trPr>
          <w:trHeight w:val="210"/>
        </w:trPr>
        <w:tc>
          <w:tcPr>
            <w:tcW w:w="448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Compensation</w:t>
            </w:r>
          </w:p>
        </w:tc>
        <w:tc>
          <w:tcPr>
            <w:tcW w:w="5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$5,000</w:t>
            </w:r>
          </w:p>
        </w:tc>
      </w:tr>
      <w:tr>
        <w:trPr>
          <w:trHeight w:val="209"/>
        </w:trPr>
        <w:tc>
          <w:tcPr>
            <w:tcW w:w="448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Nominating and Corporate Governance</w:t>
            </w:r>
          </w:p>
        </w:tc>
        <w:tc>
          <w:tcPr>
            <w:tcW w:w="5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$3,750</w:t>
            </w:r>
          </w:p>
        </w:tc>
      </w:tr>
      <w:tr>
        <w:trPr>
          <w:trHeight w:val="209"/>
        </w:trPr>
        <w:tc>
          <w:tcPr>
            <w:tcW w:w="44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Equity Awards</w:t>
            </w:r>
          </w:p>
        </w:tc>
        <w:tc>
          <w:tcPr>
            <w:tcW w:w="5240" w:type="dxa"/>
            <w:vAlign w:val="bottom"/>
            <w:tcBorders>
              <w:bottom w:val="single" w:sz="8" w:color="auto"/>
            </w:tcBorders>
          </w:tcPr>
          <w:p>
            <w:pPr>
              <w:spacing w:after="0"/>
              <w:rPr>
                <w:sz w:val="18"/>
                <w:szCs w:val="18"/>
                <w:color w:val="auto"/>
              </w:rPr>
            </w:pPr>
          </w:p>
        </w:tc>
      </w:tr>
      <w:tr>
        <w:trPr>
          <w:trHeight w:val="191"/>
        </w:trPr>
        <w:tc>
          <w:tcPr>
            <w:tcW w:w="44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Initial Equity Grant</w:t>
            </w:r>
          </w:p>
        </w:tc>
        <w:tc>
          <w:tcPr>
            <w:tcW w:w="5240" w:type="dxa"/>
            <w:vAlign w:val="bottom"/>
          </w:tcPr>
          <w:p>
            <w:pPr>
              <w:ind w:left="340"/>
              <w:spacing w:after="0" w:line="191" w:lineRule="exact"/>
              <w:rPr>
                <w:sz w:val="20"/>
                <w:szCs w:val="20"/>
                <w:color w:val="auto"/>
              </w:rPr>
            </w:pPr>
            <w:r>
              <w:rPr>
                <w:rFonts w:ascii="Times New Roman" w:cs="Times New Roman" w:eastAsia="Times New Roman" w:hAnsi="Times New Roman"/>
                <w:sz w:val="18"/>
                <w:szCs w:val="18"/>
                <w:color w:val="auto"/>
              </w:rPr>
              <w:t>Option to purchase 38,000 shares of common stock, vesting</w:t>
            </w:r>
          </w:p>
        </w:tc>
      </w:tr>
      <w:tr>
        <w:trPr>
          <w:trHeight w:val="216"/>
        </w:trPr>
        <w:tc>
          <w:tcPr>
            <w:tcW w:w="4480" w:type="dxa"/>
            <w:vAlign w:val="bottom"/>
            <w:tcBorders>
              <w:right w:val="single" w:sz="8" w:color="auto"/>
            </w:tcBorders>
          </w:tcPr>
          <w:p>
            <w:pPr>
              <w:spacing w:after="0"/>
              <w:rPr>
                <w:sz w:val="18"/>
                <w:szCs w:val="18"/>
                <w:color w:val="auto"/>
              </w:rPr>
            </w:pPr>
          </w:p>
        </w:tc>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monthly</w:t>
            </w:r>
          </w:p>
        </w:tc>
      </w:tr>
      <w:tr>
        <w:trPr>
          <w:trHeight w:val="234"/>
        </w:trPr>
        <w:tc>
          <w:tcPr>
            <w:tcW w:w="4480" w:type="dxa"/>
            <w:vAlign w:val="bottom"/>
            <w:tcBorders>
              <w:bottom w:val="single" w:sz="8" w:color="auto"/>
              <w:right w:val="single" w:sz="8" w:color="auto"/>
            </w:tcBorders>
          </w:tcPr>
          <w:p>
            <w:pPr>
              <w:spacing w:after="0"/>
              <w:rPr>
                <w:sz w:val="20"/>
                <w:szCs w:val="20"/>
                <w:color w:val="auto"/>
              </w:rPr>
            </w:pPr>
          </w:p>
        </w:tc>
        <w:tc>
          <w:tcPr>
            <w:tcW w:w="5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over a three year period</w:t>
            </w:r>
          </w:p>
        </w:tc>
      </w:tr>
      <w:tr>
        <w:trPr>
          <w:trHeight w:val="191"/>
        </w:trPr>
        <w:tc>
          <w:tcPr>
            <w:tcW w:w="44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Annual Equity Grant</w:t>
            </w:r>
          </w:p>
        </w:tc>
        <w:tc>
          <w:tcPr>
            <w:tcW w:w="5240" w:type="dxa"/>
            <w:vAlign w:val="bottom"/>
          </w:tcPr>
          <w:p>
            <w:pPr>
              <w:ind w:left="340"/>
              <w:spacing w:after="0" w:line="191" w:lineRule="exact"/>
              <w:rPr>
                <w:sz w:val="20"/>
                <w:szCs w:val="20"/>
                <w:color w:val="auto"/>
              </w:rPr>
            </w:pPr>
            <w:r>
              <w:rPr>
                <w:rFonts w:ascii="Times New Roman" w:cs="Times New Roman" w:eastAsia="Times New Roman" w:hAnsi="Times New Roman"/>
                <w:sz w:val="18"/>
                <w:szCs w:val="18"/>
                <w:color w:val="auto"/>
              </w:rPr>
              <w:t>Option to purchase 19,000 shares of common stock, vesting upon</w:t>
            </w:r>
          </w:p>
        </w:tc>
      </w:tr>
      <w:tr>
        <w:trPr>
          <w:trHeight w:val="216"/>
        </w:trPr>
        <w:tc>
          <w:tcPr>
            <w:tcW w:w="4480" w:type="dxa"/>
            <w:vAlign w:val="bottom"/>
            <w:tcBorders>
              <w:right w:val="single" w:sz="8" w:color="auto"/>
            </w:tcBorders>
          </w:tcPr>
          <w:p>
            <w:pPr>
              <w:spacing w:after="0"/>
              <w:rPr>
                <w:sz w:val="18"/>
                <w:szCs w:val="18"/>
                <w:color w:val="auto"/>
              </w:rPr>
            </w:pPr>
          </w:p>
        </w:tc>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w:t>
            </w:r>
          </w:p>
        </w:tc>
      </w:tr>
      <w:tr>
        <w:trPr>
          <w:trHeight w:val="216"/>
        </w:trPr>
        <w:tc>
          <w:tcPr>
            <w:tcW w:w="4480" w:type="dxa"/>
            <w:vAlign w:val="bottom"/>
            <w:tcBorders>
              <w:right w:val="single" w:sz="8" w:color="auto"/>
            </w:tcBorders>
          </w:tcPr>
          <w:p>
            <w:pPr>
              <w:spacing w:after="0"/>
              <w:rPr>
                <w:sz w:val="18"/>
                <w:szCs w:val="18"/>
                <w:color w:val="auto"/>
              </w:rPr>
            </w:pPr>
          </w:p>
        </w:tc>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earlier of the first anniversary of the date of grant or the date of the</w:t>
            </w:r>
          </w:p>
        </w:tc>
      </w:tr>
      <w:tr>
        <w:trPr>
          <w:trHeight w:val="234"/>
        </w:trPr>
        <w:tc>
          <w:tcPr>
            <w:tcW w:w="4480" w:type="dxa"/>
            <w:vAlign w:val="bottom"/>
            <w:tcBorders>
              <w:bottom w:val="single" w:sz="8" w:color="auto"/>
              <w:right w:val="single" w:sz="8" w:color="auto"/>
            </w:tcBorders>
          </w:tcPr>
          <w:p>
            <w:pPr>
              <w:spacing w:after="0"/>
              <w:rPr>
                <w:sz w:val="20"/>
                <w:szCs w:val="20"/>
                <w:color w:val="auto"/>
              </w:rPr>
            </w:pPr>
          </w:p>
        </w:tc>
        <w:tc>
          <w:tcPr>
            <w:tcW w:w="5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following annual meeting of stockholders after the grant date</w:t>
            </w:r>
          </w:p>
        </w:tc>
      </w:tr>
    </w:tbl>
    <w:p>
      <w:pPr>
        <w:spacing w:after="0" w:line="198" w:lineRule="exact"/>
        <w:rPr>
          <w:sz w:val="20"/>
          <w:szCs w:val="20"/>
          <w:color w:val="auto"/>
        </w:rPr>
      </w:pPr>
    </w:p>
    <w:p>
      <w:pPr>
        <w:ind w:left="660" w:right="700"/>
        <w:spacing w:after="0" w:line="266" w:lineRule="auto"/>
        <w:rPr>
          <w:sz w:val="20"/>
          <w:szCs w:val="20"/>
          <w:color w:val="auto"/>
        </w:rPr>
      </w:pPr>
      <w:r>
        <w:rPr>
          <w:rFonts w:ascii="Times New Roman" w:cs="Times New Roman" w:eastAsia="Times New Roman" w:hAnsi="Times New Roman"/>
          <w:sz w:val="18"/>
          <w:szCs w:val="18"/>
          <w:color w:val="auto"/>
        </w:rPr>
        <w:t>The Board approved, based on Aon’s assessment of publicly available director compensation data, an amendment to our director compensation policy, which became effective on January 1, 2026. The table below depicts the compensation elements of our amended director compensation policy: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Borders>
              <w:right w:val="single" w:sz="8" w:color="auto"/>
            </w:tcBorders>
          </w:tcPr>
          <w:p>
            <w:pPr>
              <w:spacing w:after="0"/>
              <w:rPr>
                <w:sz w:val="19"/>
                <w:szCs w:val="19"/>
                <w:color w:val="auto"/>
              </w:rPr>
            </w:pPr>
          </w:p>
        </w:tc>
        <w:tc>
          <w:tcPr>
            <w:tcW w:w="9720" w:type="dxa"/>
            <w:vAlign w:val="bottom"/>
            <w:tcBorders>
              <w:top w:val="single" w:sz="8" w:color="auto"/>
              <w:bottom w:val="single" w:sz="8" w:color="auto"/>
              <w:right w:val="single" w:sz="8" w:color="auto"/>
            </w:tcBorders>
            <w:gridSpan w:val="5"/>
            <w:shd w:val="clear" w:color="auto" w:fill="4DC1E4"/>
          </w:tcPr>
          <w:p>
            <w:pPr>
              <w:ind w:left="60"/>
              <w:spacing w:after="0"/>
              <w:rPr>
                <w:sz w:val="20"/>
                <w:szCs w:val="20"/>
                <w:color w:val="auto"/>
              </w:rPr>
            </w:pPr>
            <w:r>
              <w:rPr>
                <w:rFonts w:ascii="Times New Roman" w:cs="Times New Roman" w:eastAsia="Times New Roman" w:hAnsi="Times New Roman"/>
                <w:sz w:val="18"/>
                <w:szCs w:val="18"/>
                <w:b w:val="1"/>
                <w:bCs w:val="1"/>
                <w:color w:val="FFFFFF"/>
              </w:rPr>
              <w:t>C</w:t>
            </w:r>
            <w:r>
              <w:rPr>
                <w:rFonts w:ascii="Times New Roman" w:cs="Times New Roman" w:eastAsia="Times New Roman" w:hAnsi="Times New Roman"/>
                <w:sz w:val="13"/>
                <w:szCs w:val="13"/>
                <w:b w:val="1"/>
                <w:bCs w:val="1"/>
                <w:color w:val="FFFFFF"/>
              </w:rPr>
              <w:t>OMPENSATION</w:t>
            </w:r>
            <w:r>
              <w:rPr>
                <w:rFonts w:ascii="Times New Roman" w:cs="Times New Roman" w:eastAsia="Times New Roman" w:hAnsi="Times New Roman"/>
                <w:sz w:val="18"/>
                <w:szCs w:val="18"/>
                <w:b w:val="1"/>
                <w:bCs w:val="1"/>
                <w:color w:val="FFFFFF"/>
              </w:rPr>
              <w:t xml:space="preserve"> E</w:t>
            </w:r>
            <w:r>
              <w:rPr>
                <w:rFonts w:ascii="Times New Roman" w:cs="Times New Roman" w:eastAsia="Times New Roman" w:hAnsi="Times New Roman"/>
                <w:sz w:val="13"/>
                <w:szCs w:val="13"/>
                <w:b w:val="1"/>
                <w:bCs w:val="1"/>
                <w:color w:val="FFFFFF"/>
              </w:rPr>
              <w:t>LEMENTS –</w:t>
            </w:r>
            <w:r>
              <w:rPr>
                <w:rFonts w:ascii="Times New Roman" w:cs="Times New Roman" w:eastAsia="Times New Roman" w:hAnsi="Times New Roman"/>
                <w:sz w:val="18"/>
                <w:szCs w:val="18"/>
                <w:b w:val="1"/>
                <w:bCs w:val="1"/>
                <w:color w:val="FFFFFF"/>
              </w:rPr>
              <w:t xml:space="preserve"> A</w:t>
            </w:r>
            <w:r>
              <w:rPr>
                <w:rFonts w:ascii="Times New Roman" w:cs="Times New Roman" w:eastAsia="Times New Roman" w:hAnsi="Times New Roman"/>
                <w:sz w:val="13"/>
                <w:szCs w:val="13"/>
                <w:b w:val="1"/>
                <w:bCs w:val="1"/>
                <w:color w:val="FFFFFF"/>
              </w:rPr>
              <w:t>MENDED</w:t>
            </w:r>
            <w:r>
              <w:rPr>
                <w:rFonts w:ascii="Times New Roman" w:cs="Times New Roman" w:eastAsia="Times New Roman" w:hAnsi="Times New Roman"/>
                <w:sz w:val="18"/>
                <w:szCs w:val="18"/>
                <w:b w:val="1"/>
                <w:bCs w:val="1"/>
                <w:color w:val="FFFFFF"/>
              </w:rPr>
              <w:t xml:space="preserve"> N</w:t>
            </w:r>
            <w:r>
              <w:rPr>
                <w:rFonts w:ascii="Times New Roman" w:cs="Times New Roman" w:eastAsia="Times New Roman" w:hAnsi="Times New Roman"/>
                <w:sz w:val="13"/>
                <w:szCs w:val="13"/>
                <w:b w:val="1"/>
                <w:bCs w:val="1"/>
                <w:color w:val="FFFFFF"/>
              </w:rPr>
              <w:t>ON-</w:t>
            </w:r>
            <w:r>
              <w:rPr>
                <w:rFonts w:ascii="Times New Roman" w:cs="Times New Roman" w:eastAsia="Times New Roman" w:hAnsi="Times New Roman"/>
                <w:sz w:val="18"/>
                <w:szCs w:val="18"/>
                <w:b w:val="1"/>
                <w:bCs w:val="1"/>
                <w:color w:val="FFFFFF"/>
              </w:rPr>
              <w:t>E</w:t>
            </w:r>
            <w:r>
              <w:rPr>
                <w:rFonts w:ascii="Times New Roman" w:cs="Times New Roman" w:eastAsia="Times New Roman" w:hAnsi="Times New Roman"/>
                <w:sz w:val="13"/>
                <w:szCs w:val="13"/>
                <w:b w:val="1"/>
                <w:bCs w:val="1"/>
                <w:color w:val="FFFFFF"/>
              </w:rPr>
              <w:t>MPLOYEE</w:t>
            </w:r>
            <w:r>
              <w:rPr>
                <w:rFonts w:ascii="Times New Roman" w:cs="Times New Roman" w:eastAsia="Times New Roman" w:hAnsi="Times New Roman"/>
                <w:sz w:val="18"/>
                <w:szCs w:val="18"/>
                <w:b w:val="1"/>
                <w:bCs w:val="1"/>
                <w:color w:val="FFFFFF"/>
              </w:rPr>
              <w:t xml:space="preserve"> D</w:t>
            </w:r>
            <w:r>
              <w:rPr>
                <w:rFonts w:ascii="Times New Roman" w:cs="Times New Roman" w:eastAsia="Times New Roman" w:hAnsi="Times New Roman"/>
                <w:sz w:val="13"/>
                <w:szCs w:val="13"/>
                <w:b w:val="1"/>
                <w:bCs w:val="1"/>
                <w:color w:val="FFFFFF"/>
              </w:rPr>
              <w:t>IRECTOR</w:t>
            </w:r>
            <w:r>
              <w:rPr>
                <w:rFonts w:ascii="Times New Roman" w:cs="Times New Roman" w:eastAsia="Times New Roman" w:hAnsi="Times New Roman"/>
                <w:sz w:val="18"/>
                <w:szCs w:val="18"/>
                <w:b w:val="1"/>
                <w:bCs w:val="1"/>
                <w:color w:val="FFFFFF"/>
              </w:rPr>
              <w:t xml:space="preserve"> C</w:t>
            </w:r>
            <w:r>
              <w:rPr>
                <w:rFonts w:ascii="Times New Roman" w:cs="Times New Roman" w:eastAsia="Times New Roman" w:hAnsi="Times New Roman"/>
                <w:sz w:val="13"/>
                <w:szCs w:val="13"/>
                <w:b w:val="1"/>
                <w:bCs w:val="1"/>
                <w:color w:val="FFFFFF"/>
              </w:rPr>
              <w:t>OMPENSATION</w:t>
            </w:r>
            <w:r>
              <w:rPr>
                <w:rFonts w:ascii="Times New Roman" w:cs="Times New Roman" w:eastAsia="Times New Roman" w:hAnsi="Times New Roman"/>
                <w:sz w:val="18"/>
                <w:szCs w:val="18"/>
                <w:b w:val="1"/>
                <w:bCs w:val="1"/>
                <w:color w:val="FFFFFF"/>
              </w:rPr>
              <w:t xml:space="preserve"> P</w:t>
            </w:r>
            <w:r>
              <w:rPr>
                <w:rFonts w:ascii="Times New Roman" w:cs="Times New Roman" w:eastAsia="Times New Roman" w:hAnsi="Times New Roman"/>
                <w:sz w:val="13"/>
                <w:szCs w:val="13"/>
                <w:b w:val="1"/>
                <w:bCs w:val="1"/>
                <w:color w:val="FFFFFF"/>
              </w:rPr>
              <w:t>ROGRAM</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0" w:type="dxa"/>
            <w:vAlign w:val="bottom"/>
            <w:tcBorders>
              <w:right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Cash Retainers</w:t>
            </w:r>
          </w:p>
        </w:tc>
        <w:tc>
          <w:tcPr>
            <w:tcW w:w="1240" w:type="dxa"/>
            <w:vAlign w:val="bottom"/>
            <w:tcBorders>
              <w:bottom w:val="single" w:sz="8" w:color="auto"/>
              <w:right w:val="single" w:sz="8" w:color="auto"/>
            </w:tcBorders>
          </w:tcPr>
          <w:p>
            <w:pPr>
              <w:spacing w:after="0"/>
              <w:rPr>
                <w:sz w:val="18"/>
                <w:szCs w:val="18"/>
                <w:color w:val="auto"/>
              </w:rPr>
            </w:pPr>
          </w:p>
        </w:tc>
        <w:tc>
          <w:tcPr>
            <w:tcW w:w="4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 w:type="dxa"/>
            <w:vAlign w:val="bottom"/>
            <w:tcBorders>
              <w:right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Annual Cash Retainer</w:t>
            </w:r>
          </w:p>
        </w:tc>
        <w:tc>
          <w:tcPr>
            <w:tcW w:w="1240" w:type="dxa"/>
            <w:vAlign w:val="bottom"/>
            <w:tcBorders>
              <w:bottom w:val="single" w:sz="8" w:color="auto"/>
              <w:right w:val="single" w:sz="8" w:color="auto"/>
            </w:tcBorders>
          </w:tcPr>
          <w:p>
            <w:pPr>
              <w:spacing w:after="0"/>
              <w:rPr>
                <w:sz w:val="18"/>
                <w:szCs w:val="18"/>
                <w:color w:val="auto"/>
              </w:rPr>
            </w:pP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$40,000</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tcBorders>
              <w:right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Chairperson of Board of Directors</w:t>
            </w:r>
          </w:p>
        </w:tc>
        <w:tc>
          <w:tcPr>
            <w:tcW w:w="1240" w:type="dxa"/>
            <w:vAlign w:val="bottom"/>
            <w:tcBorders>
              <w:bottom w:val="single" w:sz="8" w:color="auto"/>
              <w:right w:val="single" w:sz="8" w:color="auto"/>
            </w:tcBorders>
          </w:tcPr>
          <w:p>
            <w:pPr>
              <w:spacing w:after="0"/>
              <w:rPr>
                <w:sz w:val="18"/>
                <w:szCs w:val="18"/>
                <w:color w:val="auto"/>
              </w:rPr>
            </w:pP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$35,000</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tcBorders>
              <w:right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Annual Committee Chair Retainer</w:t>
            </w:r>
          </w:p>
        </w:tc>
        <w:tc>
          <w:tcPr>
            <w:tcW w:w="1240" w:type="dxa"/>
            <w:vAlign w:val="bottom"/>
            <w:tcBorders>
              <w:bottom w:val="single" w:sz="8" w:color="auto"/>
              <w:right w:val="single" w:sz="8" w:color="auto"/>
            </w:tcBorders>
          </w:tcPr>
          <w:p>
            <w:pPr>
              <w:spacing w:after="0"/>
              <w:rPr>
                <w:sz w:val="18"/>
                <w:szCs w:val="18"/>
                <w:color w:val="auto"/>
              </w:rPr>
            </w:pPr>
          </w:p>
        </w:tc>
        <w:tc>
          <w:tcPr>
            <w:tcW w:w="4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tcBorders>
              <w:right w:val="single" w:sz="8" w:color="auto"/>
            </w:tcBorders>
          </w:tcPr>
          <w:p>
            <w:pPr>
              <w:spacing w:after="0"/>
              <w:rPr>
                <w:sz w:val="18"/>
                <w:szCs w:val="18"/>
                <w:color w:val="auto"/>
              </w:rPr>
            </w:pPr>
          </w:p>
        </w:tc>
        <w:tc>
          <w:tcPr>
            <w:tcW w:w="36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Audit</w:t>
            </w:r>
          </w:p>
        </w:tc>
        <w:tc>
          <w:tcPr>
            <w:tcW w:w="1240" w:type="dxa"/>
            <w:vAlign w:val="bottom"/>
            <w:tcBorders>
              <w:bottom w:val="single" w:sz="8" w:color="auto"/>
              <w:right w:val="single" w:sz="8" w:color="auto"/>
            </w:tcBorders>
          </w:tcPr>
          <w:p>
            <w:pPr>
              <w:spacing w:after="0"/>
              <w:rPr>
                <w:sz w:val="18"/>
                <w:szCs w:val="18"/>
                <w:color w:val="auto"/>
              </w:rPr>
            </w:pP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$20,000</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tcBorders>
              <w:right w:val="single" w:sz="8" w:color="auto"/>
            </w:tcBorders>
          </w:tcPr>
          <w:p>
            <w:pPr>
              <w:spacing w:after="0"/>
              <w:rPr>
                <w:sz w:val="18"/>
                <w:szCs w:val="18"/>
                <w:color w:val="auto"/>
              </w:rPr>
            </w:pPr>
          </w:p>
        </w:tc>
        <w:tc>
          <w:tcPr>
            <w:tcW w:w="36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Compensation</w:t>
            </w:r>
          </w:p>
        </w:tc>
        <w:tc>
          <w:tcPr>
            <w:tcW w:w="1240" w:type="dxa"/>
            <w:vAlign w:val="bottom"/>
            <w:tcBorders>
              <w:bottom w:val="single" w:sz="8" w:color="auto"/>
              <w:right w:val="single" w:sz="8" w:color="auto"/>
            </w:tcBorders>
          </w:tcPr>
          <w:p>
            <w:pPr>
              <w:spacing w:after="0"/>
              <w:rPr>
                <w:sz w:val="18"/>
                <w:szCs w:val="18"/>
                <w:color w:val="auto"/>
              </w:rPr>
            </w:pP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$15,000</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 w:type="dxa"/>
            <w:vAlign w:val="bottom"/>
            <w:tcBorders>
              <w:right w:val="single" w:sz="8" w:color="auto"/>
            </w:tcBorders>
          </w:tcPr>
          <w:p>
            <w:pPr>
              <w:spacing w:after="0"/>
              <w:rPr>
                <w:sz w:val="18"/>
                <w:szCs w:val="18"/>
                <w:color w:val="auto"/>
              </w:rPr>
            </w:pPr>
          </w:p>
        </w:tc>
        <w:tc>
          <w:tcPr>
            <w:tcW w:w="36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Nominating and Corporate Governance</w:t>
            </w:r>
          </w:p>
        </w:tc>
        <w:tc>
          <w:tcPr>
            <w:tcW w:w="1240" w:type="dxa"/>
            <w:vAlign w:val="bottom"/>
            <w:tcBorders>
              <w:bottom w:val="single" w:sz="8" w:color="auto"/>
              <w:right w:val="single" w:sz="8" w:color="auto"/>
            </w:tcBorders>
          </w:tcPr>
          <w:p>
            <w:pPr>
              <w:spacing w:after="0"/>
              <w:rPr>
                <w:sz w:val="18"/>
                <w:szCs w:val="18"/>
                <w:color w:val="auto"/>
              </w:rPr>
            </w:pP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$10,000</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tcBorders>
              <w:right w:val="single" w:sz="8" w:color="auto"/>
            </w:tcBorders>
          </w:tcPr>
          <w:p>
            <w:pPr>
              <w:spacing w:after="0"/>
              <w:rPr>
                <w:sz w:val="18"/>
                <w:szCs w:val="18"/>
                <w:color w:val="auto"/>
              </w:rPr>
            </w:pPr>
          </w:p>
        </w:tc>
        <w:tc>
          <w:tcPr>
            <w:tcW w:w="3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i w:val="1"/>
                <w:iCs w:val="1"/>
                <w:color w:val="auto"/>
              </w:rPr>
              <w:t>Annual Committee Member Retainer</w:t>
            </w:r>
          </w:p>
        </w:tc>
        <w:tc>
          <w:tcPr>
            <w:tcW w:w="1240" w:type="dxa"/>
            <w:vAlign w:val="bottom"/>
            <w:tcBorders>
              <w:bottom w:val="single" w:sz="8" w:color="auto"/>
              <w:right w:val="single" w:sz="8" w:color="auto"/>
            </w:tcBorders>
          </w:tcPr>
          <w:p>
            <w:pPr>
              <w:spacing w:after="0"/>
              <w:rPr>
                <w:sz w:val="18"/>
                <w:szCs w:val="18"/>
                <w:color w:val="auto"/>
              </w:rPr>
            </w:pPr>
          </w:p>
        </w:tc>
        <w:tc>
          <w:tcPr>
            <w:tcW w:w="4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tcBorders>
              <w:right w:val="single" w:sz="8" w:color="auto"/>
            </w:tcBorders>
          </w:tcPr>
          <w:p>
            <w:pPr>
              <w:spacing w:after="0"/>
              <w:rPr>
                <w:sz w:val="18"/>
                <w:szCs w:val="18"/>
                <w:color w:val="auto"/>
              </w:rPr>
            </w:pPr>
          </w:p>
        </w:tc>
        <w:tc>
          <w:tcPr>
            <w:tcW w:w="36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Audit</w:t>
            </w:r>
          </w:p>
        </w:tc>
        <w:tc>
          <w:tcPr>
            <w:tcW w:w="1240" w:type="dxa"/>
            <w:vAlign w:val="bottom"/>
            <w:tcBorders>
              <w:bottom w:val="single" w:sz="8" w:color="auto"/>
              <w:right w:val="single" w:sz="8" w:color="auto"/>
            </w:tcBorders>
          </w:tcPr>
          <w:p>
            <w:pPr>
              <w:spacing w:after="0"/>
              <w:rPr>
                <w:sz w:val="18"/>
                <w:szCs w:val="18"/>
                <w:color w:val="auto"/>
              </w:rPr>
            </w:pP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$10,000</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tcBorders>
              <w:right w:val="single" w:sz="8" w:color="auto"/>
            </w:tcBorders>
          </w:tcPr>
          <w:p>
            <w:pPr>
              <w:spacing w:after="0"/>
              <w:rPr>
                <w:sz w:val="18"/>
                <w:szCs w:val="18"/>
                <w:color w:val="auto"/>
              </w:rPr>
            </w:pPr>
          </w:p>
        </w:tc>
        <w:tc>
          <w:tcPr>
            <w:tcW w:w="36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Compensation</w:t>
            </w:r>
          </w:p>
        </w:tc>
        <w:tc>
          <w:tcPr>
            <w:tcW w:w="1240" w:type="dxa"/>
            <w:vAlign w:val="bottom"/>
            <w:tcBorders>
              <w:bottom w:val="single" w:sz="8" w:color="auto"/>
              <w:right w:val="single" w:sz="8" w:color="auto"/>
            </w:tcBorders>
          </w:tcPr>
          <w:p>
            <w:pPr>
              <w:spacing w:after="0"/>
              <w:rPr>
                <w:sz w:val="18"/>
                <w:szCs w:val="18"/>
                <w:color w:val="auto"/>
              </w:rPr>
            </w:pP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$7,500</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 w:type="dxa"/>
            <w:vAlign w:val="bottom"/>
            <w:tcBorders>
              <w:right w:val="single" w:sz="8" w:color="auto"/>
            </w:tcBorders>
          </w:tcPr>
          <w:p>
            <w:pPr>
              <w:spacing w:after="0"/>
              <w:rPr>
                <w:sz w:val="18"/>
                <w:szCs w:val="18"/>
                <w:color w:val="auto"/>
              </w:rPr>
            </w:pPr>
          </w:p>
        </w:tc>
        <w:tc>
          <w:tcPr>
            <w:tcW w:w="36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Nominating and Corporate Governance</w:t>
            </w:r>
          </w:p>
        </w:tc>
        <w:tc>
          <w:tcPr>
            <w:tcW w:w="1240" w:type="dxa"/>
            <w:vAlign w:val="bottom"/>
            <w:tcBorders>
              <w:bottom w:val="single" w:sz="8" w:color="auto"/>
              <w:right w:val="single" w:sz="8" w:color="auto"/>
            </w:tcBorders>
          </w:tcPr>
          <w:p>
            <w:pPr>
              <w:spacing w:after="0"/>
              <w:rPr>
                <w:sz w:val="18"/>
                <w:szCs w:val="18"/>
                <w:color w:val="auto"/>
              </w:rPr>
            </w:pP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tcBorders>
              <w:right w:val="single" w:sz="8" w:color="auto"/>
            </w:tcBorders>
          </w:tcPr>
          <w:p>
            <w:pPr>
              <w:spacing w:after="0"/>
              <w:rPr>
                <w:sz w:val="18"/>
                <w:szCs w:val="18"/>
                <w:color w:val="auto"/>
              </w:rPr>
            </w:pPr>
          </w:p>
        </w:tc>
        <w:tc>
          <w:tcPr>
            <w:tcW w:w="3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Equity Awards</w:t>
            </w:r>
          </w:p>
        </w:tc>
        <w:tc>
          <w:tcPr>
            <w:tcW w:w="1240" w:type="dxa"/>
            <w:vAlign w:val="bottom"/>
            <w:tcBorders>
              <w:bottom w:val="single" w:sz="8" w:color="auto"/>
              <w:right w:val="single" w:sz="8" w:color="auto"/>
            </w:tcBorders>
          </w:tcPr>
          <w:p>
            <w:pPr>
              <w:spacing w:after="0"/>
              <w:rPr>
                <w:sz w:val="18"/>
                <w:szCs w:val="18"/>
                <w:color w:val="auto"/>
              </w:rPr>
            </w:pPr>
          </w:p>
        </w:tc>
        <w:tc>
          <w:tcPr>
            <w:tcW w:w="4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00" w:type="dxa"/>
            <w:vAlign w:val="bottom"/>
            <w:tcBorders>
              <w:right w:val="single" w:sz="8" w:color="auto"/>
            </w:tcBorders>
          </w:tcPr>
          <w:p>
            <w:pPr>
              <w:spacing w:after="0"/>
              <w:rPr>
                <w:sz w:val="16"/>
                <w:szCs w:val="16"/>
                <w:color w:val="auto"/>
              </w:rPr>
            </w:pPr>
          </w:p>
        </w:tc>
        <w:tc>
          <w:tcPr>
            <w:tcW w:w="360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Initial Equity Grant</w:t>
            </w:r>
          </w:p>
        </w:tc>
        <w:tc>
          <w:tcPr>
            <w:tcW w:w="1240" w:type="dxa"/>
            <w:vAlign w:val="bottom"/>
            <w:tcBorders>
              <w:right w:val="single" w:sz="8" w:color="auto"/>
            </w:tcBorders>
          </w:tcPr>
          <w:p>
            <w:pPr>
              <w:spacing w:after="0"/>
              <w:rPr>
                <w:sz w:val="16"/>
                <w:szCs w:val="16"/>
                <w:color w:val="auto"/>
              </w:rPr>
            </w:pPr>
          </w:p>
        </w:tc>
        <w:tc>
          <w:tcPr>
            <w:tcW w:w="4880" w:type="dxa"/>
            <w:vAlign w:val="bottom"/>
            <w:tcBorders>
              <w:right w:val="single" w:sz="8" w:color="auto"/>
            </w:tcBorders>
            <w:gridSpan w:val="3"/>
          </w:tcPr>
          <w:p>
            <w:pPr>
              <w:spacing w:after="0" w:line="191" w:lineRule="exact"/>
              <w:rPr>
                <w:sz w:val="20"/>
                <w:szCs w:val="20"/>
                <w:color w:val="auto"/>
              </w:rPr>
            </w:pPr>
            <w:r>
              <w:rPr>
                <w:rFonts w:ascii="Times New Roman" w:cs="Times New Roman" w:eastAsia="Times New Roman" w:hAnsi="Times New Roman"/>
                <w:sz w:val="18"/>
                <w:szCs w:val="18"/>
                <w:color w:val="auto"/>
              </w:rPr>
              <w:t>Option to purchase 104,900 shares of common stock, vesting</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00" w:type="dxa"/>
            <w:vAlign w:val="bottom"/>
            <w:tcBorders>
              <w:right w:val="single" w:sz="8" w:color="auto"/>
            </w:tcBorders>
          </w:tcPr>
          <w:p>
            <w:pPr>
              <w:spacing w:after="0"/>
              <w:rPr>
                <w:sz w:val="20"/>
                <w:szCs w:val="20"/>
                <w:color w:val="auto"/>
              </w:rPr>
            </w:pPr>
          </w:p>
        </w:tc>
        <w:tc>
          <w:tcPr>
            <w:tcW w:w="360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48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monthly over a three year period</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00" w:type="dxa"/>
            <w:vAlign w:val="bottom"/>
            <w:tcBorders>
              <w:right w:val="single" w:sz="8" w:color="auto"/>
            </w:tcBorders>
          </w:tcPr>
          <w:p>
            <w:pPr>
              <w:spacing w:after="0"/>
              <w:rPr>
                <w:sz w:val="16"/>
                <w:szCs w:val="16"/>
                <w:color w:val="auto"/>
              </w:rPr>
            </w:pPr>
          </w:p>
        </w:tc>
        <w:tc>
          <w:tcPr>
            <w:tcW w:w="360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Annual Equity Grant</w:t>
            </w:r>
          </w:p>
        </w:tc>
        <w:tc>
          <w:tcPr>
            <w:tcW w:w="1240" w:type="dxa"/>
            <w:vAlign w:val="bottom"/>
            <w:tcBorders>
              <w:right w:val="single" w:sz="8" w:color="auto"/>
            </w:tcBorders>
          </w:tcPr>
          <w:p>
            <w:pPr>
              <w:spacing w:after="0"/>
              <w:rPr>
                <w:sz w:val="16"/>
                <w:szCs w:val="16"/>
                <w:color w:val="auto"/>
              </w:rPr>
            </w:pPr>
          </w:p>
        </w:tc>
        <w:tc>
          <w:tcPr>
            <w:tcW w:w="4880" w:type="dxa"/>
            <w:vAlign w:val="bottom"/>
            <w:tcBorders>
              <w:right w:val="single" w:sz="8" w:color="auto"/>
            </w:tcBorders>
            <w:gridSpan w:val="3"/>
          </w:tcPr>
          <w:p>
            <w:pPr>
              <w:spacing w:after="0" w:line="191" w:lineRule="exact"/>
              <w:rPr>
                <w:sz w:val="20"/>
                <w:szCs w:val="20"/>
                <w:color w:val="auto"/>
              </w:rPr>
            </w:pPr>
            <w:r>
              <w:rPr>
                <w:rFonts w:ascii="Times New Roman" w:cs="Times New Roman" w:eastAsia="Times New Roman" w:hAnsi="Times New Roman"/>
                <w:sz w:val="18"/>
                <w:szCs w:val="18"/>
                <w:color w:val="auto"/>
              </w:rPr>
              <w:t>Option to purchase 55,150 shares of common stock, vesting upon</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0" w:type="dxa"/>
            <w:vAlign w:val="bottom"/>
            <w:tcBorders>
              <w:right w:val="single" w:sz="8" w:color="auto"/>
            </w:tcBorders>
          </w:tcPr>
          <w:p>
            <w:pPr>
              <w:spacing w:after="0"/>
              <w:rPr>
                <w:sz w:val="18"/>
                <w:szCs w:val="18"/>
                <w:color w:val="auto"/>
              </w:rPr>
            </w:pPr>
          </w:p>
        </w:tc>
        <w:tc>
          <w:tcPr>
            <w:tcW w:w="360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8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the earlier of the first anniversary of the date of grant or the date of</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Borders>
              <w:right w:val="single" w:sz="8" w:color="auto"/>
            </w:tcBorders>
          </w:tcPr>
          <w:p>
            <w:pPr>
              <w:spacing w:after="0"/>
              <w:rPr>
                <w:sz w:val="20"/>
                <w:szCs w:val="20"/>
                <w:color w:val="auto"/>
              </w:rPr>
            </w:pPr>
          </w:p>
        </w:tc>
        <w:tc>
          <w:tcPr>
            <w:tcW w:w="360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48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the following annual meeting of stockholders after the grant date</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7"/>
        </w:trPr>
        <w:tc>
          <w:tcPr>
            <w:tcW w:w="7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4DC1E4"/>
                <w:w w:val="99"/>
              </w:rPr>
              <w:t xml:space="preserve">Notice of Annual Meeting of Stockholders </w:t>
            </w:r>
            <w:r>
              <w:rPr>
                <w:rFonts w:ascii="Times New Roman" w:cs="Times New Roman" w:eastAsia="Times New Roman" w:hAnsi="Times New Roman"/>
                <w:sz w:val="18"/>
                <w:szCs w:val="18"/>
                <w:b w:val="1"/>
                <w:bCs w:val="1"/>
                <w:color w:val="000000"/>
                <w:w w:val="99"/>
              </w:rPr>
              <w:t>and 2026 Proxy Statement</w:t>
            </w:r>
          </w:p>
        </w:tc>
        <w:tc>
          <w:tcPr>
            <w:tcW w:w="20" w:type="dxa"/>
            <w:vAlign w:val="bottom"/>
          </w:tcPr>
          <w:p>
            <w:pPr>
              <w:spacing w:after="0"/>
              <w:rPr>
                <w:sz w:val="24"/>
                <w:szCs w:val="24"/>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6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5780" w:type="dxa"/>
            <w:vAlign w:val="bottom"/>
            <w:gridSpan w:val="2"/>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2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58"/>
        </w:trPr>
        <w:tc>
          <w:tcPr>
            <w:tcW w:w="70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88" w:right="439" w:bottom="1440" w:gutter="0" w:footer="0" w:header="0"/>
        </w:sectPr>
      </w:pPr>
    </w:p>
    <w:bookmarkStart w:id="27" w:name="page28"/>
    <w:bookmarkEnd w:id="27"/>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DIRECTOR COMPENSATION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below sets forth summary information regarding the compensation of our non-employee directors for the fiscal year ended December 31, 2025.</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520" w:type="dxa"/>
            <w:vAlign w:val="bottom"/>
            <w:tcBorders>
              <w:top w:val="single" w:sz="8" w:color="auto"/>
              <w:left w:val="single" w:sz="8" w:color="auto"/>
            </w:tcBorders>
            <w:shd w:val="clear" w:color="auto" w:fill="4DC1E4"/>
          </w:tcPr>
          <w:p>
            <w:pPr>
              <w:spacing w:after="0"/>
              <w:rPr>
                <w:sz w:val="18"/>
                <w:szCs w:val="18"/>
                <w:color w:val="auto"/>
              </w:rPr>
            </w:pPr>
          </w:p>
        </w:tc>
        <w:tc>
          <w:tcPr>
            <w:tcW w:w="1560" w:type="dxa"/>
            <w:vAlign w:val="bottom"/>
            <w:tcBorders>
              <w:top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rPr>
              <w:t>F</w:t>
            </w:r>
            <w:r>
              <w:rPr>
                <w:rFonts w:ascii="Times New Roman" w:cs="Times New Roman" w:eastAsia="Times New Roman" w:hAnsi="Times New Roman"/>
                <w:sz w:val="13"/>
                <w:szCs w:val="13"/>
                <w:b w:val="1"/>
                <w:bCs w:val="1"/>
                <w:color w:val="FFFFFF"/>
              </w:rPr>
              <w:t>EES</w:t>
            </w:r>
            <w:r>
              <w:rPr>
                <w:rFonts w:ascii="Times New Roman" w:cs="Times New Roman" w:eastAsia="Times New Roman" w:hAnsi="Times New Roman"/>
                <w:sz w:val="18"/>
                <w:szCs w:val="18"/>
                <w:b w:val="1"/>
                <w:bCs w:val="1"/>
                <w:color w:val="FFFFFF"/>
              </w:rPr>
              <w:t xml:space="preserve"> E</w:t>
            </w:r>
            <w:r>
              <w:rPr>
                <w:rFonts w:ascii="Times New Roman" w:cs="Times New Roman" w:eastAsia="Times New Roman" w:hAnsi="Times New Roman"/>
                <w:sz w:val="13"/>
                <w:szCs w:val="13"/>
                <w:b w:val="1"/>
                <w:bCs w:val="1"/>
                <w:color w:val="FFFFFF"/>
              </w:rPr>
              <w:t>ARNED</w:t>
            </w:r>
          </w:p>
        </w:tc>
        <w:tc>
          <w:tcPr>
            <w:tcW w:w="1320" w:type="dxa"/>
            <w:vAlign w:val="bottom"/>
            <w:tcBorders>
              <w:top w:val="single" w:sz="8" w:color="auto"/>
            </w:tcBorders>
            <w:vMerge w:val="restart"/>
            <w:shd w:val="clear" w:color="auto" w:fill="4DC1E4"/>
          </w:tcPr>
          <w:p>
            <w:pPr>
              <w:jc w:val="center"/>
              <w:ind w:right="19"/>
              <w:spacing w:after="0"/>
              <w:rPr>
                <w:sz w:val="20"/>
                <w:szCs w:val="20"/>
                <w:color w:val="auto"/>
              </w:rPr>
            </w:pPr>
            <w:r>
              <w:rPr>
                <w:rFonts w:ascii="Times New Roman" w:cs="Times New Roman" w:eastAsia="Times New Roman" w:hAnsi="Times New Roman"/>
                <w:sz w:val="13"/>
                <w:szCs w:val="13"/>
                <w:b w:val="1"/>
                <w:bCs w:val="1"/>
                <w:color w:val="FFFFFF"/>
              </w:rPr>
              <w:t>OPTION</w:t>
            </w:r>
          </w:p>
        </w:tc>
        <w:tc>
          <w:tcPr>
            <w:tcW w:w="1340" w:type="dxa"/>
            <w:vAlign w:val="bottom"/>
            <w:tcBorders>
              <w:top w:val="single" w:sz="8" w:color="auto"/>
              <w:right w:val="single" w:sz="8" w:color="auto"/>
            </w:tcBorders>
            <w:shd w:val="clear" w:color="auto" w:fill="4DC1E4"/>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5520" w:type="dxa"/>
            <w:vAlign w:val="bottom"/>
            <w:tcBorders>
              <w:left w:val="single" w:sz="8" w:color="auto"/>
            </w:tcBorders>
            <w:shd w:val="clear" w:color="auto" w:fill="4DC1E4"/>
          </w:tcPr>
          <w:p>
            <w:pPr>
              <w:spacing w:after="0"/>
              <w:rPr>
                <w:sz w:val="5"/>
                <w:szCs w:val="5"/>
                <w:color w:val="auto"/>
              </w:rPr>
            </w:pPr>
          </w:p>
        </w:tc>
        <w:tc>
          <w:tcPr>
            <w:tcW w:w="1560" w:type="dxa"/>
            <w:vAlign w:val="bottom"/>
            <w:vMerge w:val="restart"/>
            <w:shd w:val="clear" w:color="auto" w:fill="4DC1E4"/>
          </w:tcPr>
          <w:p>
            <w:pPr>
              <w:jc w:val="center"/>
              <w:spacing w:after="0"/>
              <w:rPr>
                <w:sz w:val="20"/>
                <w:szCs w:val="20"/>
                <w:color w:val="auto"/>
              </w:rPr>
            </w:pPr>
            <w:r>
              <w:rPr>
                <w:rFonts w:ascii="Times New Roman" w:cs="Times New Roman" w:eastAsia="Times New Roman" w:hAnsi="Times New Roman"/>
                <w:sz w:val="13"/>
                <w:szCs w:val="13"/>
                <w:b w:val="1"/>
                <w:bCs w:val="1"/>
                <w:color w:val="FFFFFF"/>
              </w:rPr>
              <w:t xml:space="preserve">OR </w:t>
            </w:r>
            <w:r>
              <w:rPr>
                <w:rFonts w:ascii="Times New Roman" w:cs="Times New Roman" w:eastAsia="Times New Roman" w:hAnsi="Times New Roman"/>
                <w:sz w:val="17"/>
                <w:szCs w:val="17"/>
                <w:b w:val="1"/>
                <w:bCs w:val="1"/>
                <w:color w:val="FFFFFF"/>
              </w:rPr>
              <w:t>P</w:t>
            </w:r>
            <w:r>
              <w:rPr>
                <w:rFonts w:ascii="Times New Roman" w:cs="Times New Roman" w:eastAsia="Times New Roman" w:hAnsi="Times New Roman"/>
                <w:sz w:val="13"/>
                <w:szCs w:val="13"/>
                <w:b w:val="1"/>
                <w:bCs w:val="1"/>
                <w:color w:val="FFFFFF"/>
              </w:rPr>
              <w:t>AID IN</w:t>
            </w:r>
          </w:p>
        </w:tc>
        <w:tc>
          <w:tcPr>
            <w:tcW w:w="1320" w:type="dxa"/>
            <w:vAlign w:val="bottom"/>
            <w:vMerge w:val="continue"/>
            <w:shd w:val="clear" w:color="auto" w:fill="4DC1E4"/>
          </w:tcPr>
          <w:p>
            <w:pPr>
              <w:spacing w:after="0"/>
              <w:rPr>
                <w:sz w:val="5"/>
                <w:szCs w:val="5"/>
                <w:color w:val="auto"/>
              </w:rPr>
            </w:pPr>
          </w:p>
        </w:tc>
        <w:tc>
          <w:tcPr>
            <w:tcW w:w="1340" w:type="dxa"/>
            <w:vAlign w:val="bottom"/>
            <w:tcBorders>
              <w:right w:val="single" w:sz="8" w:color="auto"/>
            </w:tcBorders>
            <w:shd w:val="clear" w:color="auto" w:fill="4DC1E4"/>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5520" w:type="dxa"/>
            <w:vAlign w:val="bottom"/>
            <w:tcBorders>
              <w:left w:val="single" w:sz="8" w:color="auto"/>
            </w:tcBorders>
            <w:vMerge w:val="restart"/>
            <w:shd w:val="clear" w:color="auto" w:fill="4DC1E4"/>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FFFFFF"/>
              </w:rPr>
              <w:t>N</w:t>
            </w:r>
            <w:r>
              <w:rPr>
                <w:rFonts w:ascii="Times New Roman" w:cs="Times New Roman" w:eastAsia="Times New Roman" w:hAnsi="Times New Roman"/>
                <w:sz w:val="12"/>
                <w:szCs w:val="12"/>
                <w:b w:val="1"/>
                <w:bCs w:val="1"/>
                <w:i w:val="1"/>
                <w:iCs w:val="1"/>
                <w:color w:val="FFFFFF"/>
              </w:rPr>
              <w:t>AME</w:t>
            </w:r>
          </w:p>
        </w:tc>
        <w:tc>
          <w:tcPr>
            <w:tcW w:w="1560" w:type="dxa"/>
            <w:vAlign w:val="bottom"/>
            <w:vMerge w:val="continue"/>
            <w:shd w:val="clear" w:color="auto" w:fill="4DC1E4"/>
          </w:tcPr>
          <w:p>
            <w:pPr>
              <w:spacing w:after="0"/>
              <w:rPr>
                <w:sz w:val="16"/>
                <w:szCs w:val="16"/>
                <w:color w:val="auto"/>
              </w:rPr>
            </w:pPr>
          </w:p>
        </w:tc>
        <w:tc>
          <w:tcPr>
            <w:tcW w:w="1320" w:type="dxa"/>
            <w:vAlign w:val="bottom"/>
            <w:shd w:val="clear" w:color="auto" w:fill="4DC1E4"/>
          </w:tcPr>
          <w:p>
            <w:pPr>
              <w:jc w:val="center"/>
              <w:ind w:right="19"/>
              <w:spacing w:after="0" w:line="184" w:lineRule="exact"/>
              <w:rPr>
                <w:sz w:val="20"/>
                <w:szCs w:val="20"/>
                <w:color w:val="auto"/>
              </w:rPr>
            </w:pPr>
            <w:r>
              <w:rPr>
                <w:rFonts w:ascii="Times New Roman" w:cs="Times New Roman" w:eastAsia="Times New Roman" w:hAnsi="Times New Roman"/>
                <w:sz w:val="18"/>
                <w:szCs w:val="18"/>
                <w:b w:val="1"/>
                <w:bCs w:val="1"/>
                <w:color w:val="FFFFFF"/>
              </w:rPr>
              <w:t>A</w:t>
            </w:r>
            <w:r>
              <w:rPr>
                <w:rFonts w:ascii="Times New Roman" w:cs="Times New Roman" w:eastAsia="Times New Roman" w:hAnsi="Times New Roman"/>
                <w:sz w:val="13"/>
                <w:szCs w:val="13"/>
                <w:b w:val="1"/>
                <w:bCs w:val="1"/>
                <w:color w:val="FFFFFF"/>
              </w:rPr>
              <w:t>WARDS</w:t>
            </w:r>
          </w:p>
        </w:tc>
        <w:tc>
          <w:tcPr>
            <w:tcW w:w="1340" w:type="dxa"/>
            <w:vAlign w:val="bottom"/>
            <w:tcBorders>
              <w:right w:val="single" w:sz="8" w:color="auto"/>
            </w:tcBorders>
            <w:shd w:val="clear" w:color="auto" w:fill="4DC1E4"/>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520" w:type="dxa"/>
            <w:vAlign w:val="bottom"/>
            <w:tcBorders>
              <w:left w:val="single" w:sz="8" w:color="auto"/>
              <w:bottom w:val="single" w:sz="8" w:color="4DC1E4"/>
            </w:tcBorders>
            <w:vMerge w:val="continue"/>
            <w:shd w:val="clear" w:color="auto" w:fill="4DC1E4"/>
          </w:tcPr>
          <w:p>
            <w:pPr>
              <w:spacing w:after="0"/>
              <w:rPr>
                <w:sz w:val="21"/>
                <w:szCs w:val="21"/>
                <w:color w:val="auto"/>
              </w:rPr>
            </w:pPr>
          </w:p>
        </w:tc>
        <w:tc>
          <w:tcPr>
            <w:tcW w:w="1560" w:type="dxa"/>
            <w:vAlign w:val="bottom"/>
            <w:tcBorders>
              <w:bottom w:val="single" w:sz="8" w:color="4DC1E4"/>
            </w:tcBorders>
            <w:shd w:val="clear" w:color="auto" w:fill="4DC1E4"/>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FFFFFF"/>
              </w:rPr>
              <w:t>C</w:t>
            </w:r>
            <w:r>
              <w:rPr>
                <w:rFonts w:ascii="Times New Roman" w:cs="Times New Roman" w:eastAsia="Times New Roman" w:hAnsi="Times New Roman"/>
                <w:sz w:val="13"/>
                <w:szCs w:val="13"/>
                <w:b w:val="1"/>
                <w:bCs w:val="1"/>
                <w:color w:val="FFFFFF"/>
              </w:rPr>
              <w:t>ASH ($)</w:t>
            </w:r>
          </w:p>
        </w:tc>
        <w:tc>
          <w:tcPr>
            <w:tcW w:w="1320" w:type="dxa"/>
            <w:vAlign w:val="bottom"/>
            <w:tcBorders>
              <w:bottom w:val="single" w:sz="8" w:color="4DC1E4"/>
            </w:tcBorders>
            <w:shd w:val="clear" w:color="auto" w:fill="4DC1E4"/>
          </w:tcPr>
          <w:p>
            <w:pPr>
              <w:jc w:val="center"/>
              <w:ind w:right="19"/>
              <w:spacing w:after="0" w:line="202" w:lineRule="exact"/>
              <w:rPr>
                <w:sz w:val="20"/>
                <w:szCs w:val="20"/>
                <w:color w:val="auto"/>
              </w:rPr>
            </w:pPr>
            <w:r>
              <w:rPr>
                <w:rFonts w:ascii="Times New Roman" w:cs="Times New Roman" w:eastAsia="Times New Roman" w:hAnsi="Times New Roman"/>
                <w:sz w:val="23"/>
                <w:szCs w:val="23"/>
                <w:b w:val="1"/>
                <w:bCs w:val="1"/>
                <w:color w:val="FFFFFF"/>
                <w:vertAlign w:val="subscript"/>
              </w:rPr>
              <w:t>($)</w:t>
            </w:r>
            <w:r>
              <w:rPr>
                <w:rFonts w:ascii="Times New Roman" w:cs="Times New Roman" w:eastAsia="Times New Roman" w:hAnsi="Times New Roman"/>
                <w:sz w:val="8"/>
                <w:szCs w:val="8"/>
                <w:b w:val="1"/>
                <w:bCs w:val="1"/>
                <w:color w:val="FFFFFF"/>
              </w:rPr>
              <w:t>(1)(2)</w:t>
            </w:r>
          </w:p>
        </w:tc>
        <w:tc>
          <w:tcPr>
            <w:tcW w:w="1340" w:type="dxa"/>
            <w:vAlign w:val="bottom"/>
            <w:tcBorders>
              <w:bottom w:val="single" w:sz="8" w:color="4DC1E4"/>
              <w:right w:val="single" w:sz="8" w:color="auto"/>
            </w:tcBorders>
            <w:shd w:val="clear" w:color="auto" w:fill="4DC1E4"/>
          </w:tcPr>
          <w:p>
            <w:pPr>
              <w:jc w:val="right"/>
              <w:ind w:right="334"/>
              <w:spacing w:after="0"/>
              <w:rPr>
                <w:sz w:val="20"/>
                <w:szCs w:val="20"/>
                <w:color w:val="auto"/>
              </w:rPr>
            </w:pPr>
            <w:r>
              <w:rPr>
                <w:rFonts w:ascii="Times New Roman" w:cs="Times New Roman" w:eastAsia="Times New Roman" w:hAnsi="Times New Roman"/>
                <w:sz w:val="13"/>
                <w:szCs w:val="13"/>
                <w:b w:val="1"/>
                <w:bCs w:val="1"/>
                <w:color w:val="FFFFFF"/>
              </w:rPr>
              <w:t>Total ($)</w:t>
            </w:r>
          </w:p>
        </w:tc>
        <w:tc>
          <w:tcPr>
            <w:tcW w:w="0" w:type="dxa"/>
            <w:vAlign w:val="bottom"/>
          </w:tcPr>
          <w:p>
            <w:pPr>
              <w:spacing w:after="0"/>
              <w:rPr>
                <w:sz w:val="1"/>
                <w:szCs w:val="1"/>
                <w:color w:val="auto"/>
              </w:rPr>
            </w:pPr>
          </w:p>
        </w:tc>
      </w:tr>
      <w:tr>
        <w:trPr>
          <w:trHeight w:val="210"/>
        </w:trPr>
        <w:tc>
          <w:tcPr>
            <w:tcW w:w="5520" w:type="dxa"/>
            <w:vAlign w:val="bottom"/>
            <w:tcBorders>
              <w:top w:val="single" w:sz="8" w:color="auto"/>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Thomas E. Hamilton</w:t>
            </w:r>
          </w:p>
        </w:tc>
        <w:tc>
          <w:tcPr>
            <w:tcW w:w="156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color w:val="auto"/>
              </w:rPr>
              <w:t>$46,250</w:t>
            </w:r>
          </w:p>
        </w:tc>
        <w:tc>
          <w:tcPr>
            <w:tcW w:w="13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8"/>
                <w:szCs w:val="18"/>
                <w:color w:val="auto"/>
              </w:rPr>
              <w:t>$27,400</w:t>
            </w:r>
          </w:p>
        </w:tc>
        <w:tc>
          <w:tcPr>
            <w:tcW w:w="1340" w:type="dxa"/>
            <w:vAlign w:val="bottom"/>
            <w:tcBorders>
              <w:top w:val="single" w:sz="8" w:color="auto"/>
              <w:bottom w:val="single" w:sz="8" w:color="auto"/>
              <w:right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rPr>
              <w:t>$73,650</w:t>
            </w:r>
          </w:p>
        </w:tc>
        <w:tc>
          <w:tcPr>
            <w:tcW w:w="0" w:type="dxa"/>
            <w:vAlign w:val="bottom"/>
          </w:tcPr>
          <w:p>
            <w:pPr>
              <w:spacing w:after="0"/>
              <w:rPr>
                <w:sz w:val="1"/>
                <w:szCs w:val="1"/>
                <w:color w:val="auto"/>
              </w:rPr>
            </w:pPr>
          </w:p>
        </w:tc>
      </w:tr>
      <w:tr>
        <w:trPr>
          <w:trHeight w:val="209"/>
        </w:trPr>
        <w:tc>
          <w:tcPr>
            <w:tcW w:w="55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Jonathan Leff</w:t>
            </w:r>
          </w:p>
        </w:tc>
        <w:tc>
          <w:tcPr>
            <w:tcW w:w="15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color w:val="auto"/>
              </w:rPr>
              <w:t>$47,500</w:t>
            </w:r>
          </w:p>
        </w:tc>
        <w:tc>
          <w:tcPr>
            <w:tcW w:w="13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8"/>
                <w:szCs w:val="18"/>
                <w:color w:val="auto"/>
              </w:rPr>
              <w:t>$27,400</w:t>
            </w:r>
          </w:p>
        </w:tc>
        <w:tc>
          <w:tcPr>
            <w:tcW w:w="1340" w:type="dxa"/>
            <w:vAlign w:val="bottom"/>
            <w:tcBorders>
              <w:bottom w:val="single" w:sz="8" w:color="auto"/>
              <w:right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rPr>
              <w:t>$74,900</w:t>
            </w:r>
          </w:p>
        </w:tc>
        <w:tc>
          <w:tcPr>
            <w:tcW w:w="0" w:type="dxa"/>
            <w:vAlign w:val="bottom"/>
          </w:tcPr>
          <w:p>
            <w:pPr>
              <w:spacing w:after="0"/>
              <w:rPr>
                <w:sz w:val="1"/>
                <w:szCs w:val="1"/>
                <w:color w:val="auto"/>
              </w:rPr>
            </w:pPr>
          </w:p>
        </w:tc>
      </w:tr>
      <w:tr>
        <w:trPr>
          <w:trHeight w:val="209"/>
        </w:trPr>
        <w:tc>
          <w:tcPr>
            <w:tcW w:w="55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Frank Thomas</w:t>
            </w:r>
          </w:p>
        </w:tc>
        <w:tc>
          <w:tcPr>
            <w:tcW w:w="15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color w:val="auto"/>
              </w:rPr>
              <w:t>$55,000</w:t>
            </w:r>
          </w:p>
        </w:tc>
        <w:tc>
          <w:tcPr>
            <w:tcW w:w="13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8"/>
                <w:szCs w:val="18"/>
                <w:color w:val="auto"/>
              </w:rPr>
              <w:t>$27,400</w:t>
            </w:r>
          </w:p>
        </w:tc>
        <w:tc>
          <w:tcPr>
            <w:tcW w:w="1340" w:type="dxa"/>
            <w:vAlign w:val="bottom"/>
            <w:tcBorders>
              <w:bottom w:val="single" w:sz="8" w:color="auto"/>
              <w:right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rPr>
              <w:t>$82,400</w:t>
            </w:r>
          </w:p>
        </w:tc>
        <w:tc>
          <w:tcPr>
            <w:tcW w:w="0" w:type="dxa"/>
            <w:vAlign w:val="bottom"/>
          </w:tcPr>
          <w:p>
            <w:pPr>
              <w:spacing w:after="0"/>
              <w:rPr>
                <w:sz w:val="1"/>
                <w:szCs w:val="1"/>
                <w:color w:val="auto"/>
              </w:rPr>
            </w:pPr>
          </w:p>
        </w:tc>
      </w:tr>
      <w:tr>
        <w:trPr>
          <w:trHeight w:val="210"/>
        </w:trPr>
        <w:tc>
          <w:tcPr>
            <w:tcW w:w="55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Joseph Truitt</w:t>
            </w:r>
          </w:p>
        </w:tc>
        <w:tc>
          <w:tcPr>
            <w:tcW w:w="15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color w:val="auto"/>
              </w:rPr>
              <w:t>$82,500</w:t>
            </w:r>
          </w:p>
        </w:tc>
        <w:tc>
          <w:tcPr>
            <w:tcW w:w="13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8"/>
                <w:szCs w:val="18"/>
                <w:color w:val="auto"/>
              </w:rPr>
              <w:t>$27,400</w:t>
            </w:r>
          </w:p>
        </w:tc>
        <w:tc>
          <w:tcPr>
            <w:tcW w:w="1340" w:type="dxa"/>
            <w:vAlign w:val="bottom"/>
            <w:tcBorders>
              <w:bottom w:val="single" w:sz="8" w:color="auto"/>
              <w:right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rPr>
              <w:t>$109,900</w:t>
            </w:r>
          </w:p>
        </w:tc>
        <w:tc>
          <w:tcPr>
            <w:tcW w:w="0" w:type="dxa"/>
            <w:vAlign w:val="bottom"/>
          </w:tcPr>
          <w:p>
            <w:pPr>
              <w:spacing w:after="0"/>
              <w:rPr>
                <w:sz w:val="1"/>
                <w:szCs w:val="1"/>
                <w:color w:val="auto"/>
              </w:rPr>
            </w:pPr>
          </w:p>
        </w:tc>
      </w:tr>
      <w:tr>
        <w:trPr>
          <w:trHeight w:val="209"/>
        </w:trPr>
        <w:tc>
          <w:tcPr>
            <w:tcW w:w="55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Jeffrey W. Sherman, M.D., FACP</w:t>
            </w:r>
          </w:p>
        </w:tc>
        <w:tc>
          <w:tcPr>
            <w:tcW w:w="15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color w:val="auto"/>
              </w:rPr>
              <w:t>$38,750</w:t>
            </w:r>
          </w:p>
        </w:tc>
        <w:tc>
          <w:tcPr>
            <w:tcW w:w="13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8"/>
                <w:szCs w:val="18"/>
                <w:color w:val="auto"/>
              </w:rPr>
              <w:t>$27,400</w:t>
            </w:r>
          </w:p>
        </w:tc>
        <w:tc>
          <w:tcPr>
            <w:tcW w:w="1340" w:type="dxa"/>
            <w:vAlign w:val="bottom"/>
            <w:tcBorders>
              <w:bottom w:val="single" w:sz="8" w:color="auto"/>
              <w:right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rPr>
              <w:t>$66,150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hanging="656"/>
        <w:spacing w:after="0" w:line="255"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aggregate grant date fair value of each stock option granted in 2025 determined in accordance with the provisions of Financial Accounting Standards Board Accounting Standards, Codification Topic 718, Compensation — Stock Compensation (“FASB ASC Topic 718”). The assumptions made in the calculation of these amounts are included in Note 7 of the Notes to the Consolidated Financial Statements included in our 2025 Annual Report.</w:t>
      </w:r>
    </w:p>
    <w:p>
      <w:pPr>
        <w:spacing w:after="0" w:line="2" w:lineRule="exact"/>
        <w:rPr>
          <w:rFonts w:ascii="Times New Roman" w:cs="Times New Roman" w:eastAsia="Times New Roman" w:hAnsi="Times New Roman"/>
          <w:sz w:val="18"/>
          <w:szCs w:val="18"/>
          <w:color w:val="auto"/>
        </w:rPr>
      </w:pPr>
    </w:p>
    <w:p>
      <w:pPr>
        <w:ind w:left="660" w:hanging="656"/>
        <w:spacing w:after="0" w:line="26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Dr. Sherman and Messrs. Hamilton, Leff, Thomas and Truitt held options to purchase 54,600, 79,500, 79,500, 87,734 and 79,500 shares of our common stock, respectively.</w:t>
      </w:r>
    </w:p>
    <w:p>
      <w:pPr>
        <w:spacing w:after="0" w:line="29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28" w:name="page29"/>
    <w:bookmarkEnd w:id="28"/>
    <w:p>
      <w:pPr>
        <w:ind w:left="100"/>
        <w:spacing w:after="0"/>
        <w:rPr>
          <w:sz w:val="20"/>
          <w:szCs w:val="20"/>
          <w:color w:val="auto"/>
        </w:rPr>
      </w:pPr>
      <w:r>
        <w:rPr>
          <w:rFonts w:ascii="Times New Roman" w:cs="Times New Roman" w:eastAsia="Times New Roman" w:hAnsi="Times New Roman"/>
          <w:sz w:val="22"/>
          <w:szCs w:val="22"/>
          <w:b w:val="1"/>
          <w:bCs w:val="1"/>
          <w:color w:val="auto"/>
        </w:rPr>
        <w:t>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-140335</wp:posOffset>
            </wp:positionV>
            <wp:extent cx="617220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works with our management in order to negotiate appropriate fees with PwC for the Company and is ultimately responsible for approving those fees. The following is a summary and description of fees for services provided by PwC in 2025 and 2024:</w:t>
      </w:r>
    </w:p>
    <w:p>
      <w:pPr>
        <w:spacing w:after="0" w:line="174" w:lineRule="exact"/>
        <w:rPr>
          <w:sz w:val="20"/>
          <w:szCs w:val="20"/>
          <w:color w:val="auto"/>
        </w:rPr>
      </w:pPr>
    </w:p>
    <w:tbl>
      <w:tblPr>
        <w:tblLayout w:type="fixed"/>
        <w:tblInd w:w="990" w:type="dxa"/>
        <w:tblCellMar>
          <w:top w:w="0" w:type="dxa"/>
          <w:left w:w="0" w:type="dxa"/>
          <w:bottom w:w="0" w:type="dxa"/>
          <w:right w:w="0" w:type="dxa"/>
        </w:tblCellMar>
      </w:tblPr>
      <w:tr>
        <w:trPr>
          <w:trHeight w:val="275"/>
        </w:trPr>
        <w:tc>
          <w:tcPr>
            <w:tcW w:w="5260" w:type="dxa"/>
            <w:vAlign w:val="bottom"/>
            <w:tcBorders>
              <w:top w:val="single" w:sz="8" w:color="auto"/>
              <w:left w:val="single" w:sz="8" w:color="auto"/>
              <w:bottom w:val="single" w:sz="8" w:color="4DC1E4"/>
              <w:right w:val="single" w:sz="8" w:color="auto"/>
            </w:tcBorders>
            <w:shd w:val="clear" w:color="auto" w:fill="4DC1E4"/>
          </w:tcPr>
          <w:p>
            <w:pPr>
              <w:ind w:left="100"/>
              <w:spacing w:after="0"/>
              <w:rPr>
                <w:sz w:val="20"/>
                <w:szCs w:val="20"/>
                <w:color w:val="auto"/>
              </w:rPr>
            </w:pPr>
            <w:r>
              <w:rPr>
                <w:rFonts w:ascii="Times New Roman" w:cs="Times New Roman" w:eastAsia="Times New Roman" w:hAnsi="Times New Roman"/>
                <w:sz w:val="18"/>
                <w:szCs w:val="18"/>
                <w:b w:val="1"/>
                <w:bCs w:val="1"/>
                <w:color w:val="FFFFFF"/>
              </w:rPr>
              <w:t>S</w:t>
            </w:r>
            <w:r>
              <w:rPr>
                <w:rFonts w:ascii="Times New Roman" w:cs="Times New Roman" w:eastAsia="Times New Roman" w:hAnsi="Times New Roman"/>
                <w:sz w:val="13"/>
                <w:szCs w:val="13"/>
                <w:b w:val="1"/>
                <w:bCs w:val="1"/>
                <w:color w:val="FFFFFF"/>
              </w:rPr>
              <w:t>ERVICE</w:t>
            </w:r>
          </w:p>
        </w:tc>
        <w:tc>
          <w:tcPr>
            <w:tcW w:w="1240" w:type="dxa"/>
            <w:vAlign w:val="bottom"/>
            <w:tcBorders>
              <w:top w:val="single" w:sz="8" w:color="auto"/>
              <w:bottom w:val="single" w:sz="8" w:color="4DC1E4"/>
              <w:right w:val="single" w:sz="8" w:color="auto"/>
            </w:tcBorders>
            <w:shd w:val="clear" w:color="auto" w:fill="4DC1E4"/>
          </w:tcPr>
          <w:p>
            <w:pPr>
              <w:jc w:val="right"/>
              <w:ind w:right="310"/>
              <w:spacing w:after="0"/>
              <w:rPr>
                <w:sz w:val="20"/>
                <w:szCs w:val="20"/>
                <w:color w:val="auto"/>
              </w:rPr>
            </w:pPr>
            <w:r>
              <w:rPr>
                <w:rFonts w:ascii="Times New Roman" w:cs="Times New Roman" w:eastAsia="Times New Roman" w:hAnsi="Times New Roman"/>
                <w:sz w:val="18"/>
                <w:szCs w:val="18"/>
                <w:b w:val="1"/>
                <w:bCs w:val="1"/>
                <w:color w:val="FFFFFF"/>
              </w:rPr>
              <w:t>2025</w:t>
            </w:r>
          </w:p>
        </w:tc>
        <w:tc>
          <w:tcPr>
            <w:tcW w:w="1280" w:type="dxa"/>
            <w:vAlign w:val="bottom"/>
            <w:tcBorders>
              <w:top w:val="single" w:sz="8" w:color="auto"/>
              <w:bottom w:val="single" w:sz="8" w:color="4DC1E4"/>
              <w:right w:val="single" w:sz="8" w:color="auto"/>
            </w:tcBorders>
            <w:shd w:val="clear" w:color="auto" w:fill="4DC1E4"/>
          </w:tcPr>
          <w:p>
            <w:pPr>
              <w:jc w:val="right"/>
              <w:ind w:right="330"/>
              <w:spacing w:after="0"/>
              <w:rPr>
                <w:sz w:val="20"/>
                <w:szCs w:val="20"/>
                <w:color w:val="auto"/>
              </w:rPr>
            </w:pPr>
            <w:r>
              <w:rPr>
                <w:rFonts w:ascii="Times New Roman" w:cs="Times New Roman" w:eastAsia="Times New Roman" w:hAnsi="Times New Roman"/>
                <w:sz w:val="18"/>
                <w:szCs w:val="18"/>
                <w:b w:val="1"/>
                <w:bCs w:val="1"/>
                <w:color w:val="FFFFFF"/>
              </w:rPr>
              <w:t>2024</w:t>
            </w:r>
          </w:p>
        </w:tc>
      </w:tr>
      <w:tr>
        <w:trPr>
          <w:trHeight w:val="209"/>
        </w:trPr>
        <w:tc>
          <w:tcPr>
            <w:tcW w:w="526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Audit Fees</w:t>
            </w:r>
          </w:p>
        </w:tc>
        <w:tc>
          <w:tcPr>
            <w:tcW w:w="1240" w:type="dxa"/>
            <w:vAlign w:val="bottom"/>
            <w:tcBorders>
              <w:top w:val="single" w:sz="8" w:color="auto"/>
              <w:bottom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$799,000</w:t>
            </w:r>
          </w:p>
        </w:tc>
        <w:tc>
          <w:tcPr>
            <w:tcW w:w="1280" w:type="dxa"/>
            <w:vAlign w:val="bottom"/>
            <w:tcBorders>
              <w:top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$570,000</w:t>
            </w:r>
          </w:p>
        </w:tc>
      </w:tr>
      <w:tr>
        <w:trPr>
          <w:trHeight w:val="210"/>
        </w:trPr>
        <w:tc>
          <w:tcPr>
            <w:tcW w:w="52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Audit-Related Fees</w:t>
            </w:r>
          </w:p>
        </w:tc>
        <w:tc>
          <w:tcPr>
            <w:tcW w:w="1240" w:type="dxa"/>
            <w:vAlign w:val="bottom"/>
            <w:tcBorders>
              <w:bottom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2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Tax Fees</w:t>
            </w:r>
          </w:p>
        </w:tc>
        <w:tc>
          <w:tcPr>
            <w:tcW w:w="1240" w:type="dxa"/>
            <w:vAlign w:val="bottom"/>
            <w:tcBorders>
              <w:bottom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2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All Other Fees</w:t>
            </w:r>
          </w:p>
        </w:tc>
        <w:tc>
          <w:tcPr>
            <w:tcW w:w="1240" w:type="dxa"/>
            <w:vAlign w:val="bottom"/>
            <w:tcBorders>
              <w:bottom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$2,000</w:t>
            </w:r>
          </w:p>
        </w:tc>
        <w:tc>
          <w:tcPr>
            <w:tcW w:w="128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$2,000</w:t>
            </w:r>
          </w:p>
        </w:tc>
      </w:tr>
      <w:tr>
        <w:trPr>
          <w:trHeight w:val="209"/>
        </w:trPr>
        <w:tc>
          <w:tcPr>
            <w:tcW w:w="52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Borders>
              <w:bottom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$801,000</w:t>
            </w:r>
          </w:p>
        </w:tc>
        <w:tc>
          <w:tcPr>
            <w:tcW w:w="128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$572,000</w:t>
            </w:r>
          </w:p>
        </w:tc>
      </w:tr>
    </w:tbl>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Audit fees</w:t>
      </w:r>
      <w:r>
        <w:rPr>
          <w:rFonts w:ascii="Times New Roman" w:cs="Times New Roman" w:eastAsia="Times New Roman" w:hAnsi="Times New Roman"/>
          <w:sz w:val="18"/>
          <w:szCs w:val="18"/>
          <w:color w:val="auto"/>
        </w:rPr>
        <w:t>” represents the aggregate fees for professional services rendered for the audit of our consolidated financial statements on Form 10-K, consents for the use of audit reports and reference to the auditor as an expert in our registration statements and professional services rendered for the review of our quarterly financial statements on Form 10-Q that are customary under the standards of the Public Company Accounting Oversight Board (United States). Also included are the fees related to our Registration Statements on Form S-3 and Form S-8.</w:t>
      </w:r>
    </w:p>
    <w:p>
      <w:pPr>
        <w:spacing w:after="0" w:line="1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All other fees</w:t>
      </w:r>
      <w:r>
        <w:rPr>
          <w:rFonts w:ascii="Times New Roman" w:cs="Times New Roman" w:eastAsia="Times New Roman" w:hAnsi="Times New Roman"/>
          <w:sz w:val="18"/>
          <w:szCs w:val="18"/>
          <w:color w:val="auto"/>
        </w:rPr>
        <w:t>” represents payment for access to PwC’s technical accounting and reporting software tools. These fees were approved by the Audit Committee.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POLICIES AND PROCEDURES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is responsible for appointing, retaining, setting compensation for, and evaluating and overseeing the work of the independent registered public accounting firm. The Audit Committee’s charter establishes a policy that all audit and permissible non-audit services provided by the independent registered public accounting firm will be pre-approved by the Audit Committee.</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such audit and permissible non-audit services were pre-approved in accordance with this policy during the fiscal year ended December 31, 2025. These services may include audit services, audit-related services, tax services and other services. The Audit Committee considers whether the provision of each non-audit service is compatible with maintaining the independence of our independent registered public accounting firm. The responsibility to pre-approve audit and non-audit services may be delegated by the Audit Committee to one or more members of the Audit Committee; provided that any decisions made by such member or members must be presented to the full Audit Committee at its next scheduled meeting.</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8" w:right="1099" w:bottom="1440" w:gutter="0" w:footer="0" w:header="0"/>
        </w:sectPr>
      </w:pPr>
    </w:p>
    <w:bookmarkStart w:id="29" w:name="page30"/>
    <w:bookmarkEnd w:id="29"/>
    <w:p>
      <w:pPr>
        <w:ind w:left="100"/>
        <w:spacing w:after="0"/>
        <w:rPr>
          <w:sz w:val="20"/>
          <w:szCs w:val="20"/>
          <w:color w:val="auto"/>
        </w:rPr>
      </w:pPr>
      <w:r>
        <w:rPr>
          <w:rFonts w:ascii="Times New Roman" w:cs="Times New Roman" w:eastAsia="Times New Roman" w:hAnsi="Times New Roman"/>
          <w:sz w:val="22"/>
          <w:szCs w:val="22"/>
          <w:b w:val="1"/>
          <w:bCs w:val="1"/>
          <w:color w:val="auto"/>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-140335</wp:posOffset>
            </wp:positionV>
            <wp:extent cx="617220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primary purpose of the Audit Committee is to assist the Board in its general oversight of the Company’s financial reporting process.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is primarily responsible for the preparation, presentation, and integrity of the Company’s consolidated financial statements, accounting and financial reporting principles, internal controls and procedures designed to ensure compliance with accounting standards, applicable laws, and regulations. The Company’s independent registered public accounting firm for the fiscal year 2025, PwC, is responsible for performing an independent audit of the consolidated financial statements and expressing an opinion on the conformity of those consolidated financial statements with generally accepted accounting principles.</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consolidated financial statements contained in the Company’s 2025 Annual Report with management and PwC. The Audit Committee has discussed with PwC the matters required to be discussed by the applicable requirements of the Public Company Accounting Oversight Board (“PCAOB”) and the SEC. In addition, PwC has provided the Audit Committee with the written disclosures and the letter required by the applicable requirements of the PCAOB regarding PwC’s communications with the Audit Committee concerning independence, and the Audit Committee has discussed with PwC its independence.</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Audit Committee also considered whether the independent registered public accounting firm’s provision of non-audit services to the Company is compatible with the auditor’s independence. The Audit Committee has concluded that the independent registered public accounting firm is independent from the Company and its management. Based on the considerations and discussions referred to above, the Audit Committee recommended to the Board that the audited consolidated financial statements be included in the Company’s 2025 Annual Report.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 Thomas (Chair)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E. Hamilton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Truitt</w:t>
      </w: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8" w:right="1099" w:bottom="1440" w:gutter="0" w:footer="0" w:header="0"/>
        </w:sectPr>
      </w:pPr>
    </w:p>
    <w:bookmarkStart w:id="30" w:name="page31"/>
    <w:bookmarkEnd w:id="30"/>
    <w:p>
      <w:pPr>
        <w:ind w:left="100"/>
        <w:spacing w:after="0"/>
        <w:rPr>
          <w:sz w:val="20"/>
          <w:szCs w:val="20"/>
          <w:color w:val="auto"/>
        </w:rPr>
      </w:pPr>
      <w:r>
        <w:rPr>
          <w:rFonts w:ascii="Times New Roman" w:cs="Times New Roman" w:eastAsia="Times New Roman" w:hAnsi="Times New Roman"/>
          <w:sz w:val="22"/>
          <w:szCs w:val="22"/>
          <w:b w:val="1"/>
          <w:bCs w:val="1"/>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-140335</wp:posOffset>
            </wp:positionV>
            <wp:extent cx="617220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name, age and position of each of our executive officers as of the date of this Proxy Statement:</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4420" w:type="dxa"/>
            <w:vAlign w:val="bottom"/>
            <w:tcBorders>
              <w:top w:val="single" w:sz="8" w:color="auto"/>
              <w:left w:val="single" w:sz="8" w:color="auto"/>
              <w:bottom w:val="single" w:sz="8" w:color="auto"/>
              <w:right w:val="single" w:sz="8" w:color="auto"/>
            </w:tcBorders>
            <w:shd w:val="clear" w:color="auto" w:fill="4DC1E4"/>
          </w:tcPr>
          <w:p>
            <w:pPr>
              <w:ind w:left="160"/>
              <w:spacing w:after="0"/>
              <w:rPr>
                <w:sz w:val="20"/>
                <w:szCs w:val="20"/>
                <w:color w:val="auto"/>
              </w:rPr>
            </w:pPr>
            <w:r>
              <w:rPr>
                <w:rFonts w:ascii="Times New Roman" w:cs="Times New Roman" w:eastAsia="Times New Roman" w:hAnsi="Times New Roman"/>
                <w:sz w:val="18"/>
                <w:szCs w:val="18"/>
                <w:b w:val="1"/>
                <w:bCs w:val="1"/>
                <w:color w:val="FFFFFF"/>
              </w:rPr>
              <w:t>N</w:t>
            </w:r>
            <w:r>
              <w:rPr>
                <w:rFonts w:ascii="Times New Roman" w:cs="Times New Roman" w:eastAsia="Times New Roman" w:hAnsi="Times New Roman"/>
                <w:sz w:val="13"/>
                <w:szCs w:val="13"/>
                <w:b w:val="1"/>
                <w:bCs w:val="1"/>
                <w:color w:val="FFFFFF"/>
              </w:rPr>
              <w:t>AME</w:t>
            </w:r>
          </w:p>
        </w:tc>
        <w:tc>
          <w:tcPr>
            <w:tcW w:w="3660" w:type="dxa"/>
            <w:vAlign w:val="bottom"/>
            <w:tcBorders>
              <w:top w:val="single" w:sz="8" w:color="auto"/>
              <w:bottom w:val="single" w:sz="8" w:color="auto"/>
              <w:right w:val="single" w:sz="8" w:color="auto"/>
            </w:tcBorders>
            <w:shd w:val="clear" w:color="auto" w:fill="4DC1E4"/>
          </w:tcPr>
          <w:p>
            <w:pPr>
              <w:ind w:left="120"/>
              <w:spacing w:after="0"/>
              <w:rPr>
                <w:sz w:val="20"/>
                <w:szCs w:val="20"/>
                <w:color w:val="auto"/>
              </w:rPr>
            </w:pPr>
            <w:r>
              <w:rPr>
                <w:rFonts w:ascii="Times New Roman" w:cs="Times New Roman" w:eastAsia="Times New Roman" w:hAnsi="Times New Roman"/>
                <w:sz w:val="18"/>
                <w:szCs w:val="18"/>
                <w:b w:val="1"/>
                <w:bCs w:val="1"/>
                <w:color w:val="FFFFFF"/>
              </w:rPr>
              <w:t>P</w:t>
            </w:r>
            <w:r>
              <w:rPr>
                <w:rFonts w:ascii="Times New Roman" w:cs="Times New Roman" w:eastAsia="Times New Roman" w:hAnsi="Times New Roman"/>
                <w:sz w:val="13"/>
                <w:szCs w:val="13"/>
                <w:b w:val="1"/>
                <w:bCs w:val="1"/>
                <w:color w:val="FFFFFF"/>
              </w:rPr>
              <w:t>OSITION</w:t>
            </w:r>
          </w:p>
        </w:tc>
        <w:tc>
          <w:tcPr>
            <w:tcW w:w="1660" w:type="dxa"/>
            <w:vAlign w:val="bottom"/>
            <w:tcBorders>
              <w:top w:val="single" w:sz="8" w:color="auto"/>
              <w:bottom w:val="single" w:sz="8" w:color="auto"/>
              <w:right w:val="single" w:sz="8" w:color="auto"/>
            </w:tcBorders>
            <w:shd w:val="clear" w:color="auto" w:fill="4DC1E4"/>
          </w:tcPr>
          <w:p>
            <w:pPr>
              <w:jc w:val="right"/>
              <w:ind w:right="1070"/>
              <w:spacing w:after="0"/>
              <w:rPr>
                <w:sz w:val="20"/>
                <w:szCs w:val="20"/>
                <w:color w:val="auto"/>
              </w:rPr>
            </w:pPr>
            <w:r>
              <w:rPr>
                <w:rFonts w:ascii="Times New Roman" w:cs="Times New Roman" w:eastAsia="Times New Roman" w:hAnsi="Times New Roman"/>
                <w:sz w:val="18"/>
                <w:szCs w:val="18"/>
                <w:b w:val="1"/>
                <w:bCs w:val="1"/>
                <w:color w:val="FFFFFF"/>
              </w:rPr>
              <w:t>A</w:t>
            </w:r>
            <w:r>
              <w:rPr>
                <w:rFonts w:ascii="Times New Roman" w:cs="Times New Roman" w:eastAsia="Times New Roman" w:hAnsi="Times New Roman"/>
                <w:sz w:val="13"/>
                <w:szCs w:val="13"/>
                <w:b w:val="1"/>
                <w:bCs w:val="1"/>
                <w:color w:val="FFFFFF"/>
              </w:rPr>
              <w:t>GE</w:t>
            </w:r>
          </w:p>
        </w:tc>
      </w:tr>
      <w:tr>
        <w:trPr>
          <w:trHeight w:val="209"/>
        </w:trPr>
        <w:tc>
          <w:tcPr>
            <w:tcW w:w="44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Carole S. Ben-Maimon, M.D.</w:t>
            </w:r>
          </w:p>
        </w:tc>
        <w:tc>
          <w:tcPr>
            <w:tcW w:w="36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660" w:type="dxa"/>
            <w:vAlign w:val="bottom"/>
            <w:tcBorders>
              <w:bottom w:val="single" w:sz="8" w:color="auto"/>
              <w:right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rPr>
              <w:t>67</w:t>
            </w:r>
          </w:p>
        </w:tc>
      </w:tr>
      <w:tr>
        <w:trPr>
          <w:trHeight w:val="223"/>
        </w:trPr>
        <w:tc>
          <w:tcPr>
            <w:tcW w:w="44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Michael Celano</w:t>
            </w:r>
          </w:p>
        </w:tc>
        <w:tc>
          <w:tcPr>
            <w:tcW w:w="36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Chief Financial Officer and Secretary</w:t>
            </w:r>
          </w:p>
        </w:tc>
        <w:tc>
          <w:tcPr>
            <w:tcW w:w="1660" w:type="dxa"/>
            <w:vAlign w:val="bottom"/>
            <w:tcBorders>
              <w:bottom w:val="single" w:sz="8" w:color="auto"/>
              <w:right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rPr>
              <w:t>67</w:t>
            </w:r>
          </w:p>
        </w:tc>
      </w:tr>
      <w:tr>
        <w:trPr>
          <w:trHeight w:val="223"/>
        </w:trPr>
        <w:tc>
          <w:tcPr>
            <w:tcW w:w="44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Gopi Shankar, Ph.D., MBA, FAAPS</w:t>
            </w:r>
          </w:p>
        </w:tc>
        <w:tc>
          <w:tcPr>
            <w:tcW w:w="36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Chief Development Officer</w:t>
            </w:r>
          </w:p>
        </w:tc>
        <w:tc>
          <w:tcPr>
            <w:tcW w:w="1660" w:type="dxa"/>
            <w:vAlign w:val="bottom"/>
            <w:tcBorders>
              <w:bottom w:val="single" w:sz="8" w:color="auto"/>
              <w:right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rPr>
              <w:t>55</w:t>
            </w:r>
          </w:p>
        </w:tc>
      </w:tr>
      <w:tr>
        <w:trPr>
          <w:trHeight w:val="223"/>
        </w:trPr>
        <w:tc>
          <w:tcPr>
            <w:tcW w:w="44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Russell G. Clayton, DO</w:t>
            </w:r>
          </w:p>
        </w:tc>
        <w:tc>
          <w:tcPr>
            <w:tcW w:w="36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Chief Medical Officer</w:t>
            </w:r>
          </w:p>
        </w:tc>
        <w:tc>
          <w:tcPr>
            <w:tcW w:w="1660" w:type="dxa"/>
            <w:vAlign w:val="bottom"/>
            <w:tcBorders>
              <w:bottom w:val="single" w:sz="8" w:color="auto"/>
              <w:right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rPr>
              <w:t>65</w:t>
            </w:r>
          </w:p>
        </w:tc>
      </w:tr>
    </w:tbl>
    <w:p>
      <w:pPr>
        <w:spacing w:after="0" w:line="1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Carole S. Ben-Maimon, M.D. </w:t>
      </w:r>
      <w:r>
        <w:rPr>
          <w:rFonts w:ascii="Times New Roman" w:cs="Times New Roman" w:eastAsia="Times New Roman" w:hAnsi="Times New Roman"/>
          <w:sz w:val="18"/>
          <w:szCs w:val="18"/>
          <w:color w:val="auto"/>
        </w:rPr>
        <w:t>— For biographical information for Carole S. Ben-Maimon, M.D., see “Board of Directors —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Nominees.”</w:t>
      </w:r>
    </w:p>
    <w:p>
      <w:pPr>
        <w:spacing w:after="0" w:line="1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Michael Celano </w:t>
      </w:r>
      <w:r>
        <w:rPr>
          <w:rFonts w:ascii="Times New Roman" w:cs="Times New Roman" w:eastAsia="Times New Roman" w:hAnsi="Times New Roman"/>
          <w:sz w:val="18"/>
          <w:szCs w:val="18"/>
          <w:color w:val="auto"/>
        </w:rPr>
        <w:t>has served as our Chief Financial Officer since May 2020 and as our Secretary since April 2021. Prior to joining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Mr. Celano served as the Chief Financial Officer of The Columbus Organization, a provider of services for individuals with intellectual and developmental disabilities, since January 2020. From May 2019 to January 2020, Mr. Celano performed consulting work. From January 2018 to May 2019, Mr. Celano served as the Chief Operating Officer of formerly Recro Pharma, Inc., and from July 2016 to January 2018, Mr. Celano served as their Chief Financial Officer. Between 2015 and June 2016 Mr. Celano was self-employed providing consulting services to healthcare companies. From 2013 to 2015, Mr. Celano served as Chief Financial Officer of DrugScan, Inc., a clinical laboratory services company. Prior to that, Mr. Celano served as the Chief Financial Officer of Kensey Nash Corporation, a biomaterials company, from 2009 to 2012. From 2004 to 2008, Mr. Celano also served as Chief Financial Officer for BioRexis Pharmaceutical Corporation (“BioRexis”), a biopharmaceutical company. Before joining BioRexis, Mr. Celano served as a partner with KPMG LLP (“KPMG”) where he was co-leader of its National Life Science Practice. Mr. Celano also was co-leader of the Life Science Practice for Arthur Andersen LLP before he joined KPMG. Mr. Celano previously served on the boards of directors of OraSure Technologies, Inc. (“OraSure”), a publicly-traded company specializing in point-of-care diagnostic tests and specimen collection devices, from October 2006 to November 2022, and as the chairman of the board of OraSure from April 2018 to November 2022, and Performance Health, a consumer health care product manufacturing company, from 2015 to 2016. Mr. Celano holds a B.S. in Accounting from St. Joseph’s University.</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Gopi Shankar, Ph.D., MBA, FAAPS </w:t>
      </w:r>
      <w:r>
        <w:rPr>
          <w:rFonts w:ascii="Times New Roman" w:cs="Times New Roman" w:eastAsia="Times New Roman" w:hAnsi="Times New Roman"/>
          <w:sz w:val="18"/>
          <w:szCs w:val="18"/>
          <w:color w:val="auto"/>
        </w:rPr>
        <w:t>has served as our Chief Development Officer since February 2023. Before joining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 Shankar served as Vice President and Global Head, Biologics Development Sciences at Janssen Research &amp; Development, Inc. (“Janssen R&amp;D”), a pharmaceutical company of Johnson &amp; Johnson, Inc. (“Johnson &amp; Johnson”) from April 2018 to April 2022, where he led a global, 175-person R&amp;D department that contributed to more than 60 combined investigational new drug applications, biologics license applications, and marketing authorization application filings, after which he undertook a sabbatical from April 2022 to February 2023. Dr. Shankar had also worked as Senior Director and Head, Bioanalytical Sciences and Immunogenicity at Janssen R&amp;D from May 2011 to April 2018. Prior to joining Janssen R&amp;D, Dr. Shankar served as Director, Immune Response Assessment and Research at Centocor Research &amp; Development, Inc., a wholly-owned subsidiary of Johnson &amp; Johnson, from June 2007 to April 2011 where he contributed to multiple regulatory approvals and spearheaded the publication of five multi-author white papers that formed the basis of the FDA and European Medicines Agency guidance on clinical immunogenicity assessment and reporting. Dr. Shankar is a Fellow of the American Association of Pharmaceutical Scientists (“AAPS”) and previously served as the AAPS’ President. Dr. Shankar holds a B.S. in Biology from Saint Mary’s University, an M.S. in Molecular and Cell Biology from Oklahoma State University, a Ph.D. in Immunology from the University of Kentucky and a MBA in Leadership &amp; General Management from Drexel University’s LeBow College of Business.</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Russell G. Clayton, DO </w:t>
      </w:r>
      <w:r>
        <w:rPr>
          <w:rFonts w:ascii="Times New Roman" w:cs="Times New Roman" w:eastAsia="Times New Roman" w:hAnsi="Times New Roman"/>
          <w:sz w:val="18"/>
          <w:szCs w:val="18"/>
          <w:color w:val="auto"/>
        </w:rPr>
        <w:t>has served as our Chief Medical Officer since July 2023. Prior to joining the Company, Dr. Clayton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at Aeremedea, a company providing consulting services, including translational and clinical research, regulatory affairs, medical affairs, and management/operations to companies developing pharmaceuticals, biologics, or medical devices either directly or through clinical research organizations, from April 2017 to July 2023, where he worked with the Company and several other companies as an advisor, contractor, and interim Chief Medical Officer to support the development and commercialization of therapies targeting rare diseases across several therapeutic areas. Dr. Clayton has also served as a member and Chair of the Company’s Scientific Advisory Board since June 2021. From June 2015 to April 2017, Dr. Clayton served as the Chief Medical Officer at Alcresta Therapeutics, Inc. (“Alcresta”), a medical device company. While at Alcresta, Dr. Clayton led clinical development and medical affairs, overseeing the design and execution of pivotal clinical studies as well as developing a medical affairs capability in support of a new product launch. Dr. Clayton previously served in a number of roles at Discovery Laboratories, Inc. (“Discovery”), a pharmaceutical and medical device company, including Senior Vice President, Research and Development from October 2011 to November 2014, Vice President, Research and Development from June 2009 to October 2011, Vice President, Medical and Academic Affairs from September 2007 to June 2009, Vice President, Global Research and Development from May 2006 to September 2007</w:t>
      </w:r>
    </w:p>
    <w:p>
      <w:pPr>
        <w:spacing w:after="0" w:line="30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8" w:right="1099" w:bottom="1440" w:gutter="0" w:footer="0" w:header="0"/>
        </w:sectPr>
      </w:pPr>
    </w:p>
    <w:bookmarkStart w:id="31" w:name="page32"/>
    <w:bookmarkEnd w:id="31"/>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EXECUTIVE OFFICERS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2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and Vice President of Medical Affairs from December 2005 to April 2006. At Discovery, Dr. Clayton led the scientific and regulatory efforts leading to the marketing authorization of Discovery’s first product. Prior to joining Discovery, Dr. Clayton served as the Director of International Regulatory Affairs and Regional Medical Director, Medical and Scientific Affairs at Merck &amp; Company. Dr. Clayton is a board-certified pediatric pulmonologist and previously served as Attending Pulmonologist at both the Children’s Hospital of Philadelphia, where he was Director of the Asthma Program for the Division of Pulmonary Medicine and Associate Director for the Cystic Fibrosis Center, and St. Christopher’s Hospital for Children in Philadelphia. Dr. Clayton also served as Assistant Professor of Pediatrics at Temple University School of Medicine and the University of Pennsylvania School of Medicine. Dr. Clayton has dedicated his career to improving neonatal and pediatric respiratory and critical care medicine, is published in scientific literature and has presented at universities, hospitals, and medical conferences and otherwise routinely engaged in scientific exchange on the topic of neonatal pulmonary medicine. Dr. Clayton holds a B.A. in Biology from La Salle University and a DO from the Philadelphia College of Osteopathic Medicine.</w:t>
      </w:r>
    </w:p>
    <w:p>
      <w:pPr>
        <w:spacing w:after="0" w:line="3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970" w:right="1099" w:bottom="1440" w:gutter="0" w:footer="0" w:header="0"/>
        </w:sectPr>
      </w:pPr>
    </w:p>
    <w:bookmarkStart w:id="32" w:name="page33"/>
    <w:bookmarkEnd w:id="32"/>
    <w:p>
      <w:pPr>
        <w:ind w:left="100"/>
        <w:spacing w:after="0"/>
        <w:rPr>
          <w:sz w:val="20"/>
          <w:szCs w:val="20"/>
          <w:color w:val="auto"/>
        </w:rPr>
      </w:pPr>
      <w:r>
        <w:rPr>
          <w:rFonts w:ascii="Times New Roman" w:cs="Times New Roman" w:eastAsia="Times New Roman" w:hAnsi="Times New Roman"/>
          <w:sz w:val="22"/>
          <w:szCs w:val="22"/>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-140335</wp:posOffset>
            </wp:positionV>
            <wp:extent cx="617220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for our named executive officers ("NEOs"). In 2025, our NEOs were:</w:t>
      </w:r>
    </w:p>
    <w:p>
      <w:pPr>
        <w:spacing w:after="0" w:line="121" w:lineRule="exact"/>
        <w:rPr>
          <w:sz w:val="20"/>
          <w:szCs w:val="20"/>
          <w:color w:val="auto"/>
        </w:rPr>
      </w:pPr>
    </w:p>
    <w:p>
      <w:pPr>
        <w:ind w:left="1440" w:hanging="658"/>
        <w:spacing w:after="0"/>
        <w:tabs>
          <w:tab w:leader="none" w:pos="1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Carole S. Ben-Maimon, M.D., our President and Chief Executive Officer;</w:t>
      </w:r>
    </w:p>
    <w:p>
      <w:pPr>
        <w:spacing w:after="0" w:line="27" w:lineRule="exact"/>
        <w:rPr>
          <w:rFonts w:ascii="Times New Roman" w:cs="Times New Roman" w:eastAsia="Times New Roman" w:hAnsi="Times New Roman"/>
          <w:sz w:val="18"/>
          <w:szCs w:val="18"/>
          <w:color w:val="auto"/>
        </w:rPr>
      </w:pPr>
    </w:p>
    <w:p>
      <w:pPr>
        <w:ind w:left="1440" w:hanging="658"/>
        <w:spacing w:after="0"/>
        <w:tabs>
          <w:tab w:leader="none" w:pos="1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Celano, our Chief Financial Officer and Secretary; and</w:t>
      </w:r>
    </w:p>
    <w:p>
      <w:pPr>
        <w:spacing w:after="0" w:line="9" w:lineRule="exact"/>
        <w:rPr>
          <w:rFonts w:ascii="Times New Roman" w:cs="Times New Roman" w:eastAsia="Times New Roman" w:hAnsi="Times New Roman"/>
          <w:sz w:val="18"/>
          <w:szCs w:val="18"/>
          <w:color w:val="auto"/>
        </w:rPr>
      </w:pPr>
    </w:p>
    <w:p>
      <w:pPr>
        <w:ind w:left="1440" w:hanging="658"/>
        <w:spacing w:after="0"/>
        <w:tabs>
          <w:tab w:leader="none" w:pos="1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Gopi Shankar, Ph.D., MBA, FAAPS, our Chief Development Officer</w:t>
      </w:r>
    </w:p>
    <w:p>
      <w:pPr>
        <w:spacing w:after="0" w:line="176" w:lineRule="exact"/>
        <w:rPr>
          <w:sz w:val="20"/>
          <w:szCs w:val="20"/>
          <w:color w:val="auto"/>
        </w:rPr>
      </w:pPr>
    </w:p>
    <w:p>
      <w:pPr>
        <w:ind w:right="4820"/>
        <w:spacing w:after="0" w:line="45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 xml:space="preserve">Key Aspects of Our 2025 Executive Compensation Program </w:t>
      </w:r>
      <w:r>
        <w:rPr>
          <w:rFonts w:ascii="Times New Roman" w:cs="Times New Roman" w:eastAsia="Times New Roman" w:hAnsi="Times New Roman"/>
          <w:sz w:val="18"/>
          <w:szCs w:val="18"/>
          <w:i w:val="1"/>
          <w:iCs w:val="1"/>
          <w:color w:val="auto"/>
        </w:rPr>
        <w:t>Substantial Majority of CEO Compensation is Variable and At-Risk</w:t>
      </w:r>
    </w:p>
    <w:p>
      <w:pPr>
        <w:jc w:val="both"/>
        <w:spacing w:after="0" w:line="254" w:lineRule="auto"/>
        <w:rPr>
          <w:sz w:val="20"/>
          <w:szCs w:val="20"/>
          <w:color w:val="auto"/>
        </w:rPr>
      </w:pPr>
      <w:r>
        <w:rPr>
          <w:rFonts w:ascii="Times New Roman" w:cs="Times New Roman" w:eastAsia="Times New Roman" w:hAnsi="Times New Roman"/>
          <w:sz w:val="18"/>
          <w:szCs w:val="18"/>
          <w:color w:val="auto"/>
        </w:rPr>
        <w:t>Approximately 81% of our CEO’s 2025 target total direct compensation (consisting of base salary, target annual cash incentive and target fair value of long-term equity incentives, which consisted of stock options, restricted stock units ("RSUs") and performance-based restricted stock units (“PSUs”)) was considered variable and at-risk and approximately 67% of our other NEOs’ 2025 target total direct compensation, on average, was considered variable and at-risk. We consider compensation to be “at-risk” if it is subject to achievement of meaningful pre-set, objective milestone, financial or operating goals, such as in our annual cash incentive program and for our PSUs, or if it depends on stock price appreciation or value, such as in our other long-term equity incentive awards. These high proportions of variable and at-risk compensation enhance the strong link between pay and performance for our CEO and other NEOs and the alignment of their interests with those of the Company and our stockholders.</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performance-based metrics that were a part of our annual cash incentive program, together with the performance conditions applicable to our equity-based PSU awards, further enhanced the link between pay and performance for the CEO and our other NEOs. These programs only reward executives for performance based on our achievement of key goals, which strengthens the alignment of the interests of our CEO and other NEOs with those of our stockholders.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Equity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2025, our Compensation Committee, or Board, as applicable, granted PSUs to our NEOs. Our NEOs will earn a percentage of the PSU awards based upon our achievement of certain regulatory milestones, and, in each case, 50% of such earned portion will vest upon the Compensation Committee’s determination of the achievement of such regulatory milestones (the “Achievement Determination Date”) and the remaining 50% will vest upon the one-year anniversary of the Achievement Determination Date.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NEO Equity Compensation: High Proportion Variable and At-Risk</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Consistent with the market practice of similar biopharmaceutical companies, and in order to focus executives on growth and increasing stockholder value at this stage of our development, in 2025, each of our NEOs received stock options, PSUs and RSUs. The annual stock option and RSU grants to our NEOs considered the strong success of our continued clinical development and subsequent financings, our NEOs' leadership and their efforts to strengthen the Company with a small team as a small-size public company. The target mix of the annual equity grants was approximately 75% stock options and 25% RSUs. Additionally, in January 2025, our Compensation Committee, or Board, as applicable, granted PSUs to our NEOs. These PSUs, which are separate from our annual equity grants, have the opportunity to vest in connection with specific performance milestones.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Stock options are inherently performance-based, requiring stock price appreciation before there is any value earned, and are a direct and straightforward means of incentivizing our executives. In addition, stock options reward our NEOs for increasing stockholder value over the lengthier term of the option, relative to other forms of equity compensation, which we believe aligns well with the biopharmaceutical development cycle which extends for a number of years. If our stock price does not increase, there is no amount of time that will make a stock option award deliver any value. The RSUs are complementary to the stock options because they have upside potential but deliver some value even during periods of market or stock price underperformance, providing a retention incentive and reinforcing an ownership culture and commitment to the Company. Additionally, the PSUs are complementary to the stock options because the underlying vesting of the PSUs is contingent upon the achievement of certain performance milestones that are focused on the Company's performance goals, providing a balanced incentive structure that aligns our NEOs' performance goals with the Company's performance goals.</w:t>
      </w:r>
    </w:p>
    <w:p>
      <w:pPr>
        <w:spacing w:after="0" w:line="16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Short-Term Annual Cash Incentive: Rigorous, Pre-Set Research, Clinical and Regulatory Milestones, With Annual Incentive Plan Payouts Reflecting Pay for Performance Alignment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8" w:right="1099" w:bottom="1440" w:gutter="0" w:footer="0" w:header="0"/>
        </w:sectPr>
      </w:pPr>
    </w:p>
    <w:bookmarkStart w:id="33" w:name="page34"/>
    <w:bookmarkEnd w:id="33"/>
    <w:p>
      <w:pPr>
        <w:ind w:left="100"/>
        <w:spacing w:after="0"/>
        <w:rPr>
          <w:sz w:val="20"/>
          <w:szCs w:val="20"/>
          <w:color w:val="auto"/>
        </w:rPr>
      </w:pPr>
      <w:r>
        <w:rPr>
          <w:rFonts w:ascii="Times New Roman" w:cs="Times New Roman" w:eastAsia="Times New Roman" w:hAnsi="Times New Roman"/>
          <w:sz w:val="22"/>
          <w:szCs w:val="22"/>
          <w:b w:val="1"/>
          <w:bCs w:val="1"/>
          <w:color w:val="auto"/>
        </w:rPr>
        <w:t>EXECUTIVE COMPENSATION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start of 2025, the Compensation Committee established research, clinical and regulatory milestones and financial goals under our annual performance-based cash incentives. These goals were rigorous, aggressive and challenging, attainable only with strong performance, and took into account the relevant opportunities and risks of our product candidate programs.</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early 2026, the Compensation Committee assessed our performance against our 2025 goals under the annual bonus program. These determinations resulted in the Compensation Committee recommending, and the Board approving, an 86% level of achievement for the Company against our 2025 goals. This performance, which falls below the target level, shows the rigor of our goals and of the Compensation Committee’s challenging performance assessment, and demonstrates the strong pay for performance alignment of our program. The alignment of the executive compensation program is underscored in view of the fact that when achievement of corporate goals is below target levels, as it was in 2025, at 86% of target, payouts are less, and when achievement of corporate goals is above target level, payouts are more.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Peer Group: Appropriate Peer Group to Reference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Consistent with best practices for corporate governance, the Compensation Committee annually reassesses the group of peer companies used as a reference point for evaluating executive compensation. In connection with determining the compensation of our CEO and other executive officers, in September 2024, the Compensation Committee conducted a review of our peer group to ensure its continued appropriateness, and updated the peer group utilized by the Compensation Committee with respect to compensation decisions for 2025. In light of the change in our organizational size and market capitalization, the Compensation Committee revised the peer group selection criteria. The peer group selection criteria were updated to reference a market capitalization range of 1/3x to 3x the Company’s market capitalization and headcount between 20 and 165 employees based on the publicly available data at the time of selection, which resulted in the removal of eight companies and the addition of eight new companies as compared to our 2024 peer group, and resulting in an 19-member compensation peer group.</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Support for the Company's Executive Compensation Program</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held our advisory vote on executive compensation at our 2025 Annual Meeting of Stockholders. Although this advisory vote on compensation, known as the "say-on-pay" vote, is advisory and not binding on us, the Compensation Committee and the Board value the opinions of stockholders and review the voting results in connection with their ongoing evaluation of our compensation philosophy and compensation decisions.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our 2025 Annual Meeting of Stockholders, we received the support of approximately 97.1% of the votes cast on our say-on-pay proposal. The Compensation Committee viewed the results of the vote on our say-on-pay proposal as evidence that a substantial majority of stockholders are aligned with our executive compensation program. The Board and the Compensation Committee will continue to carefully consider the results of any vote on a say-on-pay proposal in the future.</w:t>
      </w: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34" w:name="page35"/>
    <w:bookmarkEnd w:id="34"/>
    <w:p>
      <w:pPr>
        <w:ind w:left="100"/>
        <w:spacing w:after="0"/>
        <w:rPr>
          <w:sz w:val="20"/>
          <w:szCs w:val="20"/>
          <w:color w:val="auto"/>
        </w:rPr>
      </w:pPr>
      <w:r>
        <w:rPr>
          <w:rFonts w:ascii="Times New Roman" w:cs="Times New Roman" w:eastAsia="Times New Roman" w:hAnsi="Times New Roman"/>
          <w:sz w:val="22"/>
          <w:szCs w:val="22"/>
          <w:b w:val="1"/>
          <w:bCs w:val="1"/>
          <w:color w:val="auto"/>
        </w:rPr>
        <w:t>EXECUTIVE COMPENSATION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our NEOs during the fiscal years ended December 31, 2025 and December 31, 2024:</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128"/>
        </w:trPr>
        <w:tc>
          <w:tcPr>
            <w:tcW w:w="2260" w:type="dxa"/>
            <w:vAlign w:val="bottom"/>
            <w:tcBorders>
              <w:top w:val="single" w:sz="8" w:color="auto"/>
              <w:left w:val="single" w:sz="8" w:color="auto"/>
            </w:tcBorders>
            <w:shd w:val="clear" w:color="auto" w:fill="4DC1E4"/>
          </w:tcPr>
          <w:p>
            <w:pPr>
              <w:spacing w:after="0"/>
              <w:rPr>
                <w:sz w:val="11"/>
                <w:szCs w:val="11"/>
                <w:color w:val="auto"/>
              </w:rPr>
            </w:pPr>
          </w:p>
        </w:tc>
        <w:tc>
          <w:tcPr>
            <w:tcW w:w="660" w:type="dxa"/>
            <w:vAlign w:val="bottom"/>
            <w:tcBorders>
              <w:top w:val="single" w:sz="8" w:color="auto"/>
            </w:tcBorders>
            <w:shd w:val="clear" w:color="auto" w:fill="4DC1E4"/>
          </w:tcPr>
          <w:p>
            <w:pPr>
              <w:spacing w:after="0"/>
              <w:rPr>
                <w:sz w:val="11"/>
                <w:szCs w:val="11"/>
                <w:color w:val="auto"/>
              </w:rPr>
            </w:pPr>
          </w:p>
        </w:tc>
        <w:tc>
          <w:tcPr>
            <w:tcW w:w="860" w:type="dxa"/>
            <w:vAlign w:val="bottom"/>
            <w:tcBorders>
              <w:top w:val="single" w:sz="8" w:color="auto"/>
            </w:tcBorders>
            <w:shd w:val="clear" w:color="auto" w:fill="4DC1E4"/>
          </w:tcPr>
          <w:p>
            <w:pPr>
              <w:spacing w:after="0"/>
              <w:rPr>
                <w:sz w:val="11"/>
                <w:szCs w:val="11"/>
                <w:color w:val="auto"/>
              </w:rPr>
            </w:pPr>
          </w:p>
        </w:tc>
        <w:tc>
          <w:tcPr>
            <w:tcW w:w="620" w:type="dxa"/>
            <w:vAlign w:val="bottom"/>
            <w:tcBorders>
              <w:top w:val="single" w:sz="8" w:color="auto"/>
            </w:tcBorders>
            <w:shd w:val="clear" w:color="auto" w:fill="4DC1E4"/>
          </w:tcPr>
          <w:p>
            <w:pPr>
              <w:spacing w:after="0"/>
              <w:rPr>
                <w:sz w:val="11"/>
                <w:szCs w:val="11"/>
                <w:color w:val="auto"/>
              </w:rPr>
            </w:pPr>
          </w:p>
        </w:tc>
        <w:tc>
          <w:tcPr>
            <w:tcW w:w="300" w:type="dxa"/>
            <w:vAlign w:val="bottom"/>
            <w:tcBorders>
              <w:top w:val="single" w:sz="8" w:color="auto"/>
            </w:tcBorders>
            <w:shd w:val="clear" w:color="auto" w:fill="4DC1E4"/>
          </w:tcPr>
          <w:p>
            <w:pPr>
              <w:spacing w:after="0"/>
              <w:rPr>
                <w:sz w:val="11"/>
                <w:szCs w:val="11"/>
                <w:color w:val="auto"/>
              </w:rPr>
            </w:pPr>
          </w:p>
        </w:tc>
        <w:tc>
          <w:tcPr>
            <w:tcW w:w="900" w:type="dxa"/>
            <w:vAlign w:val="bottom"/>
            <w:tcBorders>
              <w:top w:val="single" w:sz="8" w:color="auto"/>
            </w:tcBorders>
            <w:shd w:val="clear" w:color="auto" w:fill="4DC1E4"/>
          </w:tcPr>
          <w:p>
            <w:pPr>
              <w:spacing w:after="0"/>
              <w:rPr>
                <w:sz w:val="11"/>
                <w:szCs w:val="11"/>
                <w:color w:val="auto"/>
              </w:rPr>
            </w:pPr>
          </w:p>
        </w:tc>
        <w:tc>
          <w:tcPr>
            <w:tcW w:w="1080" w:type="dxa"/>
            <w:vAlign w:val="bottom"/>
            <w:tcBorders>
              <w:top w:val="single" w:sz="8" w:color="auto"/>
            </w:tcBorders>
            <w:shd w:val="clear" w:color="auto" w:fill="4DC1E4"/>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FFFFFF"/>
                <w:w w:val="96"/>
              </w:rPr>
              <w:t>PERFORMAN</w:t>
            </w:r>
          </w:p>
        </w:tc>
        <w:tc>
          <w:tcPr>
            <w:tcW w:w="840" w:type="dxa"/>
            <w:vAlign w:val="bottom"/>
            <w:tcBorders>
              <w:top w:val="single" w:sz="8" w:color="auto"/>
            </w:tcBorders>
            <w:shd w:val="clear" w:color="auto" w:fill="4DC1E4"/>
          </w:tcPr>
          <w:p>
            <w:pPr>
              <w:spacing w:after="0"/>
              <w:rPr>
                <w:sz w:val="11"/>
                <w:szCs w:val="11"/>
                <w:color w:val="auto"/>
              </w:rPr>
            </w:pPr>
          </w:p>
        </w:tc>
        <w:tc>
          <w:tcPr>
            <w:tcW w:w="760" w:type="dxa"/>
            <w:vAlign w:val="bottom"/>
            <w:tcBorders>
              <w:top w:val="single" w:sz="8" w:color="auto"/>
            </w:tcBorders>
            <w:shd w:val="clear" w:color="auto" w:fill="4DC1E4"/>
          </w:tcPr>
          <w:p>
            <w:pPr>
              <w:spacing w:after="0"/>
              <w:rPr>
                <w:sz w:val="11"/>
                <w:szCs w:val="11"/>
                <w:color w:val="auto"/>
              </w:rPr>
            </w:pPr>
          </w:p>
        </w:tc>
        <w:tc>
          <w:tcPr>
            <w:tcW w:w="520" w:type="dxa"/>
            <w:vAlign w:val="bottom"/>
            <w:tcBorders>
              <w:top w:val="single" w:sz="8" w:color="auto"/>
            </w:tcBorders>
            <w:shd w:val="clear" w:color="auto" w:fill="4DC1E4"/>
          </w:tcPr>
          <w:p>
            <w:pPr>
              <w:spacing w:after="0"/>
              <w:rPr>
                <w:sz w:val="11"/>
                <w:szCs w:val="11"/>
                <w:color w:val="auto"/>
              </w:rPr>
            </w:pPr>
          </w:p>
        </w:tc>
        <w:tc>
          <w:tcPr>
            <w:tcW w:w="940" w:type="dxa"/>
            <w:vAlign w:val="bottom"/>
            <w:tcBorders>
              <w:top w:val="single" w:sz="8" w:color="auto"/>
              <w:right w:val="single" w:sz="8" w:color="auto"/>
            </w:tcBorders>
            <w:shd w:val="clear" w:color="auto" w:fill="4DC1E4"/>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260" w:type="dxa"/>
            <w:vAlign w:val="bottom"/>
            <w:tcBorders>
              <w:left w:val="single" w:sz="8" w:color="auto"/>
            </w:tcBorders>
            <w:shd w:val="clear" w:color="auto" w:fill="4DC1E4"/>
          </w:tcPr>
          <w:p>
            <w:pPr>
              <w:spacing w:after="0"/>
              <w:rPr>
                <w:sz w:val="14"/>
                <w:szCs w:val="14"/>
                <w:color w:val="auto"/>
              </w:rPr>
            </w:pPr>
          </w:p>
        </w:tc>
        <w:tc>
          <w:tcPr>
            <w:tcW w:w="660" w:type="dxa"/>
            <w:vAlign w:val="bottom"/>
            <w:shd w:val="clear" w:color="auto" w:fill="4DC1E4"/>
          </w:tcPr>
          <w:p>
            <w:pPr>
              <w:spacing w:after="0"/>
              <w:rPr>
                <w:sz w:val="14"/>
                <w:szCs w:val="14"/>
                <w:color w:val="auto"/>
              </w:rPr>
            </w:pPr>
          </w:p>
        </w:tc>
        <w:tc>
          <w:tcPr>
            <w:tcW w:w="860" w:type="dxa"/>
            <w:vAlign w:val="bottom"/>
            <w:shd w:val="clear" w:color="auto" w:fill="4DC1E4"/>
          </w:tcPr>
          <w:p>
            <w:pPr>
              <w:spacing w:after="0"/>
              <w:rPr>
                <w:sz w:val="14"/>
                <w:szCs w:val="14"/>
                <w:color w:val="auto"/>
              </w:rPr>
            </w:pPr>
          </w:p>
        </w:tc>
        <w:tc>
          <w:tcPr>
            <w:tcW w:w="620" w:type="dxa"/>
            <w:vAlign w:val="bottom"/>
            <w:shd w:val="clear" w:color="auto" w:fill="4DC1E4"/>
          </w:tcPr>
          <w:p>
            <w:pPr>
              <w:spacing w:after="0"/>
              <w:rPr>
                <w:sz w:val="14"/>
                <w:szCs w:val="14"/>
                <w:color w:val="auto"/>
              </w:rPr>
            </w:pPr>
          </w:p>
        </w:tc>
        <w:tc>
          <w:tcPr>
            <w:tcW w:w="300" w:type="dxa"/>
            <w:vAlign w:val="bottom"/>
            <w:shd w:val="clear" w:color="auto" w:fill="4DC1E4"/>
          </w:tcPr>
          <w:p>
            <w:pPr>
              <w:spacing w:after="0"/>
              <w:rPr>
                <w:sz w:val="14"/>
                <w:szCs w:val="14"/>
                <w:color w:val="auto"/>
              </w:rPr>
            </w:pPr>
          </w:p>
        </w:tc>
        <w:tc>
          <w:tcPr>
            <w:tcW w:w="900" w:type="dxa"/>
            <w:vAlign w:val="bottom"/>
            <w:vMerge w:val="restart"/>
            <w:shd w:val="clear" w:color="auto" w:fill="4DC1E4"/>
          </w:tcPr>
          <w:p>
            <w:pPr>
              <w:jc w:val="center"/>
              <w:ind w:left="7"/>
              <w:spacing w:after="0"/>
              <w:rPr>
                <w:sz w:val="20"/>
                <w:szCs w:val="20"/>
                <w:color w:val="auto"/>
              </w:rPr>
            </w:pPr>
            <w:r>
              <w:rPr>
                <w:rFonts w:ascii="Times New Roman" w:cs="Times New Roman" w:eastAsia="Times New Roman" w:hAnsi="Times New Roman"/>
                <w:sz w:val="16"/>
                <w:szCs w:val="16"/>
                <w:b w:val="1"/>
                <w:bCs w:val="1"/>
                <w:color w:val="FFFFFF"/>
              </w:rPr>
              <w:t>S</w:t>
            </w:r>
            <w:r>
              <w:rPr>
                <w:rFonts w:ascii="Times New Roman" w:cs="Times New Roman" w:eastAsia="Times New Roman" w:hAnsi="Times New Roman"/>
                <w:sz w:val="12"/>
                <w:szCs w:val="12"/>
                <w:b w:val="1"/>
                <w:bCs w:val="1"/>
                <w:color w:val="FFFFFF"/>
              </w:rPr>
              <w:t>TOCK</w:t>
            </w:r>
          </w:p>
        </w:tc>
        <w:tc>
          <w:tcPr>
            <w:tcW w:w="1080" w:type="dxa"/>
            <w:vAlign w:val="bottom"/>
            <w:shd w:val="clear" w:color="auto" w:fill="4DC1E4"/>
          </w:tcPr>
          <w:p>
            <w:pPr>
              <w:jc w:val="center"/>
              <w:spacing w:after="0"/>
              <w:rPr>
                <w:sz w:val="20"/>
                <w:szCs w:val="20"/>
                <w:color w:val="auto"/>
              </w:rPr>
            </w:pPr>
            <w:r>
              <w:rPr>
                <w:rFonts w:ascii="Times New Roman" w:cs="Times New Roman" w:eastAsia="Times New Roman" w:hAnsi="Times New Roman"/>
                <w:sz w:val="13"/>
                <w:szCs w:val="13"/>
                <w:b w:val="1"/>
                <w:bCs w:val="1"/>
                <w:color w:val="FFFFFF"/>
                <w:w w:val="99"/>
              </w:rPr>
              <w:t>CE</w:t>
            </w:r>
          </w:p>
        </w:tc>
        <w:tc>
          <w:tcPr>
            <w:tcW w:w="840" w:type="dxa"/>
            <w:vAlign w:val="bottom"/>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O</w:t>
            </w:r>
            <w:r>
              <w:rPr>
                <w:rFonts w:ascii="Times New Roman" w:cs="Times New Roman" w:eastAsia="Times New Roman" w:hAnsi="Times New Roman"/>
                <w:sz w:val="12"/>
                <w:szCs w:val="12"/>
                <w:b w:val="1"/>
                <w:bCs w:val="1"/>
                <w:color w:val="FFFFFF"/>
              </w:rPr>
              <w:t>PTION</w:t>
            </w:r>
          </w:p>
        </w:tc>
        <w:tc>
          <w:tcPr>
            <w:tcW w:w="1280" w:type="dxa"/>
            <w:vAlign w:val="bottom"/>
            <w:gridSpan w:val="2"/>
            <w:shd w:val="clear" w:color="auto" w:fill="4DC1E4"/>
          </w:tcPr>
          <w:p>
            <w:pPr>
              <w:jc w:val="center"/>
              <w:spacing w:after="0" w:line="169" w:lineRule="exact"/>
              <w:rPr>
                <w:sz w:val="20"/>
                <w:szCs w:val="20"/>
                <w:color w:val="auto"/>
              </w:rPr>
            </w:pPr>
            <w:r>
              <w:rPr>
                <w:rFonts w:ascii="Times New Roman" w:cs="Times New Roman" w:eastAsia="Times New Roman" w:hAnsi="Times New Roman"/>
                <w:sz w:val="16"/>
                <w:szCs w:val="16"/>
                <w:b w:val="1"/>
                <w:bCs w:val="1"/>
                <w:color w:val="FFFFFF"/>
              </w:rPr>
              <w:t>A</w:t>
            </w:r>
            <w:r>
              <w:rPr>
                <w:rFonts w:ascii="Times New Roman" w:cs="Times New Roman" w:eastAsia="Times New Roman" w:hAnsi="Times New Roman"/>
                <w:sz w:val="12"/>
                <w:szCs w:val="12"/>
                <w:b w:val="1"/>
                <w:bCs w:val="1"/>
                <w:color w:val="FFFFFF"/>
              </w:rPr>
              <w:t>LL</w:t>
            </w:r>
            <w:r>
              <w:rPr>
                <w:rFonts w:ascii="Times New Roman" w:cs="Times New Roman" w:eastAsia="Times New Roman" w:hAnsi="Times New Roman"/>
                <w:sz w:val="16"/>
                <w:szCs w:val="16"/>
                <w:b w:val="1"/>
                <w:bCs w:val="1"/>
                <w:color w:val="FFFFFF"/>
              </w:rPr>
              <w:t xml:space="preserve"> O</w:t>
            </w:r>
            <w:r>
              <w:rPr>
                <w:rFonts w:ascii="Times New Roman" w:cs="Times New Roman" w:eastAsia="Times New Roman" w:hAnsi="Times New Roman"/>
                <w:sz w:val="12"/>
                <w:szCs w:val="12"/>
                <w:b w:val="1"/>
                <w:bCs w:val="1"/>
                <w:color w:val="FFFFFF"/>
              </w:rPr>
              <w:t>THER</w:t>
            </w:r>
          </w:p>
        </w:tc>
        <w:tc>
          <w:tcPr>
            <w:tcW w:w="940" w:type="dxa"/>
            <w:vAlign w:val="bottom"/>
            <w:tcBorders>
              <w:right w:val="single" w:sz="8" w:color="auto"/>
            </w:tcBorders>
            <w:shd w:val="clear" w:color="auto" w:fill="4DC1E4"/>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260" w:type="dxa"/>
            <w:vAlign w:val="bottom"/>
            <w:tcBorders>
              <w:left w:val="single" w:sz="8" w:color="auto"/>
            </w:tcBorders>
            <w:vMerge w:val="restart"/>
            <w:shd w:val="clear" w:color="auto" w:fill="4DC1E4"/>
          </w:tcPr>
          <w:p>
            <w:pPr>
              <w:ind w:left="80"/>
              <w:spacing w:after="0"/>
              <w:rPr>
                <w:sz w:val="20"/>
                <w:szCs w:val="20"/>
                <w:color w:val="auto"/>
              </w:rPr>
            </w:pPr>
            <w:r>
              <w:rPr>
                <w:rFonts w:ascii="Times New Roman" w:cs="Times New Roman" w:eastAsia="Times New Roman" w:hAnsi="Times New Roman"/>
                <w:sz w:val="16"/>
                <w:szCs w:val="16"/>
                <w:b w:val="1"/>
                <w:bCs w:val="1"/>
                <w:color w:val="FFFFFF"/>
              </w:rPr>
              <w:t>N</w:t>
            </w:r>
            <w:r>
              <w:rPr>
                <w:rFonts w:ascii="Times New Roman" w:cs="Times New Roman" w:eastAsia="Times New Roman" w:hAnsi="Times New Roman"/>
                <w:sz w:val="12"/>
                <w:szCs w:val="12"/>
                <w:b w:val="1"/>
                <w:bCs w:val="1"/>
                <w:color w:val="FFFFFF"/>
              </w:rPr>
              <w:t>AME</w:t>
            </w:r>
            <w:r>
              <w:rPr>
                <w:rFonts w:ascii="Times New Roman" w:cs="Times New Roman" w:eastAsia="Times New Roman" w:hAnsi="Times New Roman"/>
                <w:sz w:val="16"/>
                <w:szCs w:val="16"/>
                <w:b w:val="1"/>
                <w:bCs w:val="1"/>
                <w:color w:val="FFFFFF"/>
              </w:rPr>
              <w:t xml:space="preserve"> A</w:t>
            </w:r>
            <w:r>
              <w:rPr>
                <w:rFonts w:ascii="Times New Roman" w:cs="Times New Roman" w:eastAsia="Times New Roman" w:hAnsi="Times New Roman"/>
                <w:sz w:val="12"/>
                <w:szCs w:val="12"/>
                <w:b w:val="1"/>
                <w:bCs w:val="1"/>
                <w:color w:val="FFFFFF"/>
              </w:rPr>
              <w:t>ND</w:t>
            </w:r>
            <w:r>
              <w:rPr>
                <w:rFonts w:ascii="Times New Roman" w:cs="Times New Roman" w:eastAsia="Times New Roman" w:hAnsi="Times New Roman"/>
                <w:sz w:val="16"/>
                <w:szCs w:val="16"/>
                <w:b w:val="1"/>
                <w:bCs w:val="1"/>
                <w:color w:val="FFFFFF"/>
              </w:rPr>
              <w:t xml:space="preserve"> P</w:t>
            </w:r>
            <w:r>
              <w:rPr>
                <w:rFonts w:ascii="Times New Roman" w:cs="Times New Roman" w:eastAsia="Times New Roman" w:hAnsi="Times New Roman"/>
                <w:sz w:val="12"/>
                <w:szCs w:val="12"/>
                <w:b w:val="1"/>
                <w:bCs w:val="1"/>
                <w:color w:val="FFFFFF"/>
              </w:rPr>
              <w:t>RINCIPAL</w:t>
            </w:r>
          </w:p>
        </w:tc>
        <w:tc>
          <w:tcPr>
            <w:tcW w:w="660" w:type="dxa"/>
            <w:vAlign w:val="bottom"/>
            <w:shd w:val="clear" w:color="auto" w:fill="4DC1E4"/>
          </w:tcPr>
          <w:p>
            <w:pPr>
              <w:spacing w:after="0"/>
              <w:rPr>
                <w:sz w:val="15"/>
                <w:szCs w:val="15"/>
                <w:color w:val="auto"/>
              </w:rPr>
            </w:pPr>
          </w:p>
        </w:tc>
        <w:tc>
          <w:tcPr>
            <w:tcW w:w="860" w:type="dxa"/>
            <w:vAlign w:val="bottom"/>
            <w:shd w:val="clear" w:color="auto" w:fill="4DC1E4"/>
          </w:tcPr>
          <w:p>
            <w:pPr>
              <w:spacing w:after="0"/>
              <w:rPr>
                <w:sz w:val="15"/>
                <w:szCs w:val="15"/>
                <w:color w:val="auto"/>
              </w:rPr>
            </w:pPr>
          </w:p>
        </w:tc>
        <w:tc>
          <w:tcPr>
            <w:tcW w:w="620" w:type="dxa"/>
            <w:vAlign w:val="bottom"/>
            <w:shd w:val="clear" w:color="auto" w:fill="4DC1E4"/>
          </w:tcPr>
          <w:p>
            <w:pPr>
              <w:spacing w:after="0"/>
              <w:rPr>
                <w:sz w:val="15"/>
                <w:szCs w:val="15"/>
                <w:color w:val="auto"/>
              </w:rPr>
            </w:pPr>
          </w:p>
        </w:tc>
        <w:tc>
          <w:tcPr>
            <w:tcW w:w="300" w:type="dxa"/>
            <w:vAlign w:val="bottom"/>
            <w:shd w:val="clear" w:color="auto" w:fill="4DC1E4"/>
          </w:tcPr>
          <w:p>
            <w:pPr>
              <w:spacing w:after="0"/>
              <w:rPr>
                <w:sz w:val="15"/>
                <w:szCs w:val="15"/>
                <w:color w:val="auto"/>
              </w:rPr>
            </w:pPr>
          </w:p>
        </w:tc>
        <w:tc>
          <w:tcPr>
            <w:tcW w:w="900" w:type="dxa"/>
            <w:vAlign w:val="bottom"/>
            <w:vMerge w:val="continue"/>
            <w:shd w:val="clear" w:color="auto" w:fill="4DC1E4"/>
          </w:tcPr>
          <w:p>
            <w:pPr>
              <w:spacing w:after="0"/>
              <w:rPr>
                <w:sz w:val="15"/>
                <w:szCs w:val="15"/>
                <w:color w:val="auto"/>
              </w:rPr>
            </w:pPr>
          </w:p>
        </w:tc>
        <w:tc>
          <w:tcPr>
            <w:tcW w:w="1080" w:type="dxa"/>
            <w:vAlign w:val="bottom"/>
            <w:shd w:val="clear" w:color="auto" w:fill="4DC1E4"/>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FFFFFF"/>
              </w:rPr>
              <w:t>S</w:t>
            </w:r>
            <w:r>
              <w:rPr>
                <w:rFonts w:ascii="Times New Roman" w:cs="Times New Roman" w:eastAsia="Times New Roman" w:hAnsi="Times New Roman"/>
                <w:sz w:val="12"/>
                <w:szCs w:val="12"/>
                <w:b w:val="1"/>
                <w:bCs w:val="1"/>
                <w:color w:val="FFFFFF"/>
              </w:rPr>
              <w:t>TOCK</w:t>
            </w:r>
          </w:p>
        </w:tc>
        <w:tc>
          <w:tcPr>
            <w:tcW w:w="840" w:type="dxa"/>
            <w:vAlign w:val="bottom"/>
            <w:vMerge w:val="continue"/>
            <w:shd w:val="clear" w:color="auto" w:fill="4DC1E4"/>
          </w:tcPr>
          <w:p>
            <w:pPr>
              <w:spacing w:after="0"/>
              <w:rPr>
                <w:sz w:val="15"/>
                <w:szCs w:val="15"/>
                <w:color w:val="auto"/>
              </w:rPr>
            </w:pPr>
          </w:p>
        </w:tc>
        <w:tc>
          <w:tcPr>
            <w:tcW w:w="1280" w:type="dxa"/>
            <w:vAlign w:val="bottom"/>
            <w:gridSpan w:val="2"/>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C</w:t>
            </w:r>
            <w:r>
              <w:rPr>
                <w:rFonts w:ascii="Times New Roman" w:cs="Times New Roman" w:eastAsia="Times New Roman" w:hAnsi="Times New Roman"/>
                <w:sz w:val="12"/>
                <w:szCs w:val="12"/>
                <w:b w:val="1"/>
                <w:bCs w:val="1"/>
                <w:color w:val="FFFFFF"/>
              </w:rPr>
              <w:t>OMPENSATIO</w:t>
            </w:r>
          </w:p>
        </w:tc>
        <w:tc>
          <w:tcPr>
            <w:tcW w:w="940" w:type="dxa"/>
            <w:vAlign w:val="bottom"/>
            <w:tcBorders>
              <w:right w:val="single" w:sz="8" w:color="auto"/>
            </w:tcBorders>
            <w:shd w:val="clear" w:color="auto" w:fill="4DC1E4"/>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260" w:type="dxa"/>
            <w:vAlign w:val="bottom"/>
            <w:tcBorders>
              <w:left w:val="single" w:sz="8" w:color="auto"/>
            </w:tcBorders>
            <w:vMerge w:val="continue"/>
            <w:shd w:val="clear" w:color="auto" w:fill="4DC1E4"/>
          </w:tcPr>
          <w:p>
            <w:pPr>
              <w:spacing w:after="0"/>
              <w:rPr>
                <w:sz w:val="5"/>
                <w:szCs w:val="5"/>
                <w:color w:val="auto"/>
              </w:rPr>
            </w:pPr>
          </w:p>
        </w:tc>
        <w:tc>
          <w:tcPr>
            <w:tcW w:w="660" w:type="dxa"/>
            <w:vAlign w:val="bottom"/>
            <w:shd w:val="clear" w:color="auto" w:fill="4DC1E4"/>
          </w:tcPr>
          <w:p>
            <w:pPr>
              <w:spacing w:after="0"/>
              <w:rPr>
                <w:sz w:val="5"/>
                <w:szCs w:val="5"/>
                <w:color w:val="auto"/>
              </w:rPr>
            </w:pPr>
          </w:p>
        </w:tc>
        <w:tc>
          <w:tcPr>
            <w:tcW w:w="860" w:type="dxa"/>
            <w:vAlign w:val="bottom"/>
            <w:vMerge w:val="restart"/>
            <w:shd w:val="clear" w:color="auto" w:fill="4DC1E4"/>
          </w:tcPr>
          <w:p>
            <w:pPr>
              <w:jc w:val="right"/>
              <w:ind w:right="92"/>
              <w:spacing w:after="0" w:line="174" w:lineRule="exact"/>
              <w:rPr>
                <w:sz w:val="20"/>
                <w:szCs w:val="20"/>
                <w:color w:val="auto"/>
              </w:rPr>
            </w:pPr>
            <w:r>
              <w:rPr>
                <w:rFonts w:ascii="Times New Roman" w:cs="Times New Roman" w:eastAsia="Times New Roman" w:hAnsi="Times New Roman"/>
                <w:sz w:val="16"/>
                <w:szCs w:val="16"/>
                <w:b w:val="1"/>
                <w:bCs w:val="1"/>
                <w:color w:val="FFFFFF"/>
              </w:rPr>
              <w:t>S</w:t>
            </w:r>
            <w:r>
              <w:rPr>
                <w:rFonts w:ascii="Times New Roman" w:cs="Times New Roman" w:eastAsia="Times New Roman" w:hAnsi="Times New Roman"/>
                <w:sz w:val="12"/>
                <w:szCs w:val="12"/>
                <w:b w:val="1"/>
                <w:bCs w:val="1"/>
                <w:color w:val="FFFFFF"/>
              </w:rPr>
              <w:t>ALARY</w:t>
            </w:r>
          </w:p>
        </w:tc>
        <w:tc>
          <w:tcPr>
            <w:tcW w:w="920" w:type="dxa"/>
            <w:vAlign w:val="bottom"/>
            <w:gridSpan w:val="2"/>
            <w:vMerge w:val="restart"/>
            <w:shd w:val="clear" w:color="auto" w:fill="4DC1E4"/>
          </w:tcPr>
          <w:p>
            <w:pPr>
              <w:jc w:val="right"/>
              <w:ind w:right="192"/>
              <w:spacing w:after="0" w:line="174" w:lineRule="exact"/>
              <w:rPr>
                <w:sz w:val="20"/>
                <w:szCs w:val="20"/>
                <w:color w:val="auto"/>
              </w:rPr>
            </w:pPr>
            <w:r>
              <w:rPr>
                <w:rFonts w:ascii="Times New Roman" w:cs="Times New Roman" w:eastAsia="Times New Roman" w:hAnsi="Times New Roman"/>
                <w:sz w:val="16"/>
                <w:szCs w:val="16"/>
                <w:b w:val="1"/>
                <w:bCs w:val="1"/>
                <w:color w:val="FFFFFF"/>
              </w:rPr>
              <w:t>B</w:t>
            </w:r>
            <w:r>
              <w:rPr>
                <w:rFonts w:ascii="Times New Roman" w:cs="Times New Roman" w:eastAsia="Times New Roman" w:hAnsi="Times New Roman"/>
                <w:sz w:val="12"/>
                <w:szCs w:val="12"/>
                <w:b w:val="1"/>
                <w:bCs w:val="1"/>
                <w:color w:val="FFFFFF"/>
              </w:rPr>
              <w:t>ONUS</w:t>
            </w:r>
          </w:p>
        </w:tc>
        <w:tc>
          <w:tcPr>
            <w:tcW w:w="900" w:type="dxa"/>
            <w:vAlign w:val="bottom"/>
            <w:vMerge w:val="restart"/>
            <w:shd w:val="clear" w:color="auto" w:fill="4DC1E4"/>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FFFFFF"/>
              </w:rPr>
              <w:t>A</w:t>
            </w:r>
            <w:r>
              <w:rPr>
                <w:rFonts w:ascii="Times New Roman" w:cs="Times New Roman" w:eastAsia="Times New Roman" w:hAnsi="Times New Roman"/>
                <w:sz w:val="12"/>
                <w:szCs w:val="12"/>
                <w:b w:val="1"/>
                <w:bCs w:val="1"/>
                <w:color w:val="FFFFFF"/>
              </w:rPr>
              <w:t>WARDS</w:t>
            </w:r>
          </w:p>
        </w:tc>
        <w:tc>
          <w:tcPr>
            <w:tcW w:w="1080" w:type="dxa"/>
            <w:vAlign w:val="bottom"/>
            <w:vMerge w:val="restart"/>
            <w:shd w:val="clear" w:color="auto" w:fill="4DC1E4"/>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FFFFFF"/>
              </w:rPr>
              <w:t>A</w:t>
            </w:r>
            <w:r>
              <w:rPr>
                <w:rFonts w:ascii="Times New Roman" w:cs="Times New Roman" w:eastAsia="Times New Roman" w:hAnsi="Times New Roman"/>
                <w:sz w:val="12"/>
                <w:szCs w:val="12"/>
                <w:b w:val="1"/>
                <w:bCs w:val="1"/>
                <w:color w:val="FFFFFF"/>
              </w:rPr>
              <w:t>WARDS</w:t>
            </w:r>
          </w:p>
        </w:tc>
        <w:tc>
          <w:tcPr>
            <w:tcW w:w="840" w:type="dxa"/>
            <w:vAlign w:val="bottom"/>
            <w:vMerge w:val="restart"/>
            <w:shd w:val="clear" w:color="auto" w:fill="4DC1E4"/>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FFFFFF"/>
              </w:rPr>
              <w:t>A</w:t>
            </w:r>
            <w:r>
              <w:rPr>
                <w:rFonts w:ascii="Times New Roman" w:cs="Times New Roman" w:eastAsia="Times New Roman" w:hAnsi="Times New Roman"/>
                <w:sz w:val="12"/>
                <w:szCs w:val="12"/>
                <w:b w:val="1"/>
                <w:bCs w:val="1"/>
                <w:color w:val="FFFFFF"/>
              </w:rPr>
              <w:t>WARDS</w:t>
            </w:r>
          </w:p>
        </w:tc>
        <w:tc>
          <w:tcPr>
            <w:tcW w:w="1280" w:type="dxa"/>
            <w:vAlign w:val="bottom"/>
            <w:gridSpan w:val="2"/>
            <w:vMerge w:val="continue"/>
            <w:shd w:val="clear" w:color="auto" w:fill="4DC1E4"/>
          </w:tcPr>
          <w:p>
            <w:pPr>
              <w:spacing w:after="0"/>
              <w:rPr>
                <w:sz w:val="5"/>
                <w:szCs w:val="5"/>
                <w:color w:val="auto"/>
              </w:rPr>
            </w:pPr>
          </w:p>
        </w:tc>
        <w:tc>
          <w:tcPr>
            <w:tcW w:w="940" w:type="dxa"/>
            <w:vAlign w:val="bottom"/>
            <w:tcBorders>
              <w:right w:val="single" w:sz="8" w:color="auto"/>
            </w:tcBorders>
            <w:vMerge w:val="restart"/>
            <w:shd w:val="clear" w:color="auto" w:fill="4DC1E4"/>
          </w:tcPr>
          <w:p>
            <w:pPr>
              <w:jc w:val="right"/>
              <w:ind w:right="192"/>
              <w:spacing w:after="0" w:line="174" w:lineRule="exact"/>
              <w:rPr>
                <w:sz w:val="20"/>
                <w:szCs w:val="20"/>
                <w:color w:val="auto"/>
              </w:rPr>
            </w:pPr>
            <w:r>
              <w:rPr>
                <w:rFonts w:ascii="Times New Roman" w:cs="Times New Roman" w:eastAsia="Times New Roman" w:hAnsi="Times New Roman"/>
                <w:sz w:val="16"/>
                <w:szCs w:val="16"/>
                <w:b w:val="1"/>
                <w:bCs w:val="1"/>
                <w:color w:val="FFFFFF"/>
              </w:rPr>
              <w:t>T</w:t>
            </w:r>
            <w:r>
              <w:rPr>
                <w:rFonts w:ascii="Times New Roman" w:cs="Times New Roman" w:eastAsia="Times New Roman" w:hAnsi="Times New Roman"/>
                <w:sz w:val="12"/>
                <w:szCs w:val="12"/>
                <w:b w:val="1"/>
                <w:bCs w:val="1"/>
                <w:color w:val="FFFFFF"/>
              </w:rPr>
              <w:t>OTAL</w:t>
            </w:r>
          </w:p>
        </w:tc>
        <w:tc>
          <w:tcPr>
            <w:tcW w:w="0" w:type="dxa"/>
            <w:vAlign w:val="bottom"/>
          </w:tcPr>
          <w:p>
            <w:pPr>
              <w:spacing w:after="0"/>
              <w:rPr>
                <w:sz w:val="1"/>
                <w:szCs w:val="1"/>
                <w:color w:val="auto"/>
              </w:rPr>
            </w:pPr>
          </w:p>
        </w:tc>
      </w:tr>
      <w:tr>
        <w:trPr>
          <w:trHeight w:val="72"/>
        </w:trPr>
        <w:tc>
          <w:tcPr>
            <w:tcW w:w="2260" w:type="dxa"/>
            <w:vAlign w:val="bottom"/>
            <w:tcBorders>
              <w:left w:val="single" w:sz="8" w:color="auto"/>
            </w:tcBorders>
            <w:vMerge w:val="continue"/>
            <w:shd w:val="clear" w:color="auto" w:fill="4DC1E4"/>
          </w:tcPr>
          <w:p>
            <w:pPr>
              <w:spacing w:after="0"/>
              <w:rPr>
                <w:sz w:val="6"/>
                <w:szCs w:val="6"/>
                <w:color w:val="auto"/>
              </w:rPr>
            </w:pPr>
          </w:p>
        </w:tc>
        <w:tc>
          <w:tcPr>
            <w:tcW w:w="660" w:type="dxa"/>
            <w:vAlign w:val="bottom"/>
            <w:shd w:val="clear" w:color="auto" w:fill="4DC1E4"/>
          </w:tcPr>
          <w:p>
            <w:pPr>
              <w:spacing w:after="0"/>
              <w:rPr>
                <w:sz w:val="6"/>
                <w:szCs w:val="6"/>
                <w:color w:val="auto"/>
              </w:rPr>
            </w:pPr>
          </w:p>
        </w:tc>
        <w:tc>
          <w:tcPr>
            <w:tcW w:w="860" w:type="dxa"/>
            <w:vAlign w:val="bottom"/>
            <w:vMerge w:val="continue"/>
            <w:shd w:val="clear" w:color="auto" w:fill="4DC1E4"/>
          </w:tcPr>
          <w:p>
            <w:pPr>
              <w:spacing w:after="0"/>
              <w:rPr>
                <w:sz w:val="6"/>
                <w:szCs w:val="6"/>
                <w:color w:val="auto"/>
              </w:rPr>
            </w:pPr>
          </w:p>
        </w:tc>
        <w:tc>
          <w:tcPr>
            <w:tcW w:w="920" w:type="dxa"/>
            <w:vAlign w:val="bottom"/>
            <w:gridSpan w:val="2"/>
            <w:vMerge w:val="continue"/>
            <w:shd w:val="clear" w:color="auto" w:fill="4DC1E4"/>
          </w:tcPr>
          <w:p>
            <w:pPr>
              <w:spacing w:after="0"/>
              <w:rPr>
                <w:sz w:val="6"/>
                <w:szCs w:val="6"/>
                <w:color w:val="auto"/>
              </w:rPr>
            </w:pPr>
          </w:p>
        </w:tc>
        <w:tc>
          <w:tcPr>
            <w:tcW w:w="900" w:type="dxa"/>
            <w:vAlign w:val="bottom"/>
            <w:vMerge w:val="continue"/>
            <w:shd w:val="clear" w:color="auto" w:fill="4DC1E4"/>
          </w:tcPr>
          <w:p>
            <w:pPr>
              <w:spacing w:after="0"/>
              <w:rPr>
                <w:sz w:val="6"/>
                <w:szCs w:val="6"/>
                <w:color w:val="auto"/>
              </w:rPr>
            </w:pPr>
          </w:p>
        </w:tc>
        <w:tc>
          <w:tcPr>
            <w:tcW w:w="1080" w:type="dxa"/>
            <w:vAlign w:val="bottom"/>
            <w:vMerge w:val="continue"/>
            <w:shd w:val="clear" w:color="auto" w:fill="4DC1E4"/>
          </w:tcPr>
          <w:p>
            <w:pPr>
              <w:spacing w:after="0"/>
              <w:rPr>
                <w:sz w:val="6"/>
                <w:szCs w:val="6"/>
                <w:color w:val="auto"/>
              </w:rPr>
            </w:pPr>
          </w:p>
        </w:tc>
        <w:tc>
          <w:tcPr>
            <w:tcW w:w="840" w:type="dxa"/>
            <w:vAlign w:val="bottom"/>
            <w:vMerge w:val="continue"/>
            <w:shd w:val="clear" w:color="auto" w:fill="4DC1E4"/>
          </w:tcPr>
          <w:p>
            <w:pPr>
              <w:spacing w:after="0"/>
              <w:rPr>
                <w:sz w:val="6"/>
                <w:szCs w:val="6"/>
                <w:color w:val="auto"/>
              </w:rPr>
            </w:pPr>
          </w:p>
        </w:tc>
        <w:tc>
          <w:tcPr>
            <w:tcW w:w="760" w:type="dxa"/>
            <w:vAlign w:val="bottom"/>
            <w:vMerge w:val="restart"/>
            <w:shd w:val="clear" w:color="auto" w:fill="4DC1E4"/>
          </w:tcPr>
          <w:p>
            <w:pPr>
              <w:jc w:val="center"/>
              <w:ind w:left="429"/>
              <w:spacing w:after="0" w:line="111" w:lineRule="exact"/>
              <w:rPr>
                <w:sz w:val="20"/>
                <w:szCs w:val="20"/>
                <w:color w:val="auto"/>
              </w:rPr>
            </w:pPr>
            <w:r>
              <w:rPr>
                <w:rFonts w:ascii="Times New Roman" w:cs="Times New Roman" w:eastAsia="Times New Roman" w:hAnsi="Times New Roman"/>
                <w:sz w:val="12"/>
                <w:szCs w:val="12"/>
                <w:b w:val="1"/>
                <w:bCs w:val="1"/>
                <w:color w:val="FFFFFF"/>
              </w:rPr>
              <w:t>N</w:t>
            </w:r>
          </w:p>
        </w:tc>
        <w:tc>
          <w:tcPr>
            <w:tcW w:w="520" w:type="dxa"/>
            <w:vAlign w:val="bottom"/>
            <w:shd w:val="clear" w:color="auto" w:fill="4DC1E4"/>
          </w:tcPr>
          <w:p>
            <w:pPr>
              <w:spacing w:after="0"/>
              <w:rPr>
                <w:sz w:val="6"/>
                <w:szCs w:val="6"/>
                <w:color w:val="auto"/>
              </w:rPr>
            </w:pPr>
          </w:p>
        </w:tc>
        <w:tc>
          <w:tcPr>
            <w:tcW w:w="940" w:type="dxa"/>
            <w:vAlign w:val="bottom"/>
            <w:tcBorders>
              <w:right w:val="single" w:sz="8" w:color="auto"/>
            </w:tcBorders>
            <w:vMerge w:val="continue"/>
            <w:shd w:val="clear" w:color="auto" w:fill="4DC1E4"/>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260" w:type="dxa"/>
            <w:vAlign w:val="bottom"/>
            <w:tcBorders>
              <w:left w:val="single" w:sz="8" w:color="auto"/>
            </w:tcBorders>
            <w:vMerge w:val="restart"/>
            <w:shd w:val="clear" w:color="auto" w:fill="4DC1E4"/>
          </w:tcPr>
          <w:p>
            <w:pPr>
              <w:ind w:left="80"/>
              <w:spacing w:after="0"/>
              <w:rPr>
                <w:sz w:val="20"/>
                <w:szCs w:val="20"/>
                <w:color w:val="auto"/>
              </w:rPr>
            </w:pPr>
            <w:r>
              <w:rPr>
                <w:rFonts w:ascii="Times New Roman" w:cs="Times New Roman" w:eastAsia="Times New Roman" w:hAnsi="Times New Roman"/>
                <w:sz w:val="16"/>
                <w:szCs w:val="16"/>
                <w:b w:val="1"/>
                <w:bCs w:val="1"/>
                <w:color w:val="FFFFFF"/>
              </w:rPr>
              <w:t>P</w:t>
            </w:r>
            <w:r>
              <w:rPr>
                <w:rFonts w:ascii="Times New Roman" w:cs="Times New Roman" w:eastAsia="Times New Roman" w:hAnsi="Times New Roman"/>
                <w:sz w:val="12"/>
                <w:szCs w:val="12"/>
                <w:b w:val="1"/>
                <w:bCs w:val="1"/>
                <w:color w:val="FFFFFF"/>
              </w:rPr>
              <w:t>OSITION</w:t>
            </w:r>
          </w:p>
        </w:tc>
        <w:tc>
          <w:tcPr>
            <w:tcW w:w="660" w:type="dxa"/>
            <w:vAlign w:val="bottom"/>
            <w:vMerge w:val="restart"/>
            <w:shd w:val="clear" w:color="auto" w:fill="4DC1E4"/>
          </w:tcPr>
          <w:p>
            <w:pPr>
              <w:jc w:val="right"/>
              <w:ind w:right="87"/>
              <w:spacing w:after="0"/>
              <w:rPr>
                <w:sz w:val="20"/>
                <w:szCs w:val="20"/>
                <w:color w:val="auto"/>
              </w:rPr>
            </w:pPr>
            <w:r>
              <w:rPr>
                <w:rFonts w:ascii="Times New Roman" w:cs="Times New Roman" w:eastAsia="Times New Roman" w:hAnsi="Times New Roman"/>
                <w:sz w:val="16"/>
                <w:szCs w:val="16"/>
                <w:b w:val="1"/>
                <w:bCs w:val="1"/>
                <w:color w:val="FFFFFF"/>
              </w:rPr>
              <w:t>Y</w:t>
            </w:r>
            <w:r>
              <w:rPr>
                <w:rFonts w:ascii="Times New Roman" w:cs="Times New Roman" w:eastAsia="Times New Roman" w:hAnsi="Times New Roman"/>
                <w:sz w:val="12"/>
                <w:szCs w:val="12"/>
                <w:b w:val="1"/>
                <w:bCs w:val="1"/>
                <w:color w:val="FFFFFF"/>
              </w:rPr>
              <w:t>EAR</w:t>
            </w:r>
          </w:p>
        </w:tc>
        <w:tc>
          <w:tcPr>
            <w:tcW w:w="860" w:type="dxa"/>
            <w:vAlign w:val="bottom"/>
            <w:vMerge w:val="continue"/>
            <w:shd w:val="clear" w:color="auto" w:fill="4DC1E4"/>
          </w:tcPr>
          <w:p>
            <w:pPr>
              <w:spacing w:after="0"/>
              <w:rPr>
                <w:sz w:val="3"/>
                <w:szCs w:val="3"/>
                <w:color w:val="auto"/>
              </w:rPr>
            </w:pPr>
          </w:p>
        </w:tc>
        <w:tc>
          <w:tcPr>
            <w:tcW w:w="920" w:type="dxa"/>
            <w:vAlign w:val="bottom"/>
            <w:gridSpan w:val="2"/>
            <w:vMerge w:val="continue"/>
            <w:shd w:val="clear" w:color="auto" w:fill="4DC1E4"/>
          </w:tcPr>
          <w:p>
            <w:pPr>
              <w:spacing w:after="0"/>
              <w:rPr>
                <w:sz w:val="3"/>
                <w:szCs w:val="3"/>
                <w:color w:val="auto"/>
              </w:rPr>
            </w:pPr>
          </w:p>
        </w:tc>
        <w:tc>
          <w:tcPr>
            <w:tcW w:w="900" w:type="dxa"/>
            <w:vAlign w:val="bottom"/>
            <w:vMerge w:val="continue"/>
            <w:shd w:val="clear" w:color="auto" w:fill="4DC1E4"/>
          </w:tcPr>
          <w:p>
            <w:pPr>
              <w:spacing w:after="0"/>
              <w:rPr>
                <w:sz w:val="3"/>
                <w:szCs w:val="3"/>
                <w:color w:val="auto"/>
              </w:rPr>
            </w:pPr>
          </w:p>
        </w:tc>
        <w:tc>
          <w:tcPr>
            <w:tcW w:w="1080" w:type="dxa"/>
            <w:vAlign w:val="bottom"/>
            <w:vMerge w:val="continue"/>
            <w:shd w:val="clear" w:color="auto" w:fill="4DC1E4"/>
          </w:tcPr>
          <w:p>
            <w:pPr>
              <w:spacing w:after="0"/>
              <w:rPr>
                <w:sz w:val="3"/>
                <w:szCs w:val="3"/>
                <w:color w:val="auto"/>
              </w:rPr>
            </w:pPr>
          </w:p>
        </w:tc>
        <w:tc>
          <w:tcPr>
            <w:tcW w:w="840" w:type="dxa"/>
            <w:vAlign w:val="bottom"/>
            <w:vMerge w:val="continue"/>
            <w:shd w:val="clear" w:color="auto" w:fill="4DC1E4"/>
          </w:tcPr>
          <w:p>
            <w:pPr>
              <w:spacing w:after="0"/>
              <w:rPr>
                <w:sz w:val="3"/>
                <w:szCs w:val="3"/>
                <w:color w:val="auto"/>
              </w:rPr>
            </w:pPr>
          </w:p>
        </w:tc>
        <w:tc>
          <w:tcPr>
            <w:tcW w:w="760" w:type="dxa"/>
            <w:vAlign w:val="bottom"/>
            <w:vMerge w:val="continue"/>
            <w:shd w:val="clear" w:color="auto" w:fill="4DC1E4"/>
          </w:tcPr>
          <w:p>
            <w:pPr>
              <w:spacing w:after="0"/>
              <w:rPr>
                <w:sz w:val="3"/>
                <w:szCs w:val="3"/>
                <w:color w:val="auto"/>
              </w:rPr>
            </w:pPr>
          </w:p>
        </w:tc>
        <w:tc>
          <w:tcPr>
            <w:tcW w:w="520" w:type="dxa"/>
            <w:vAlign w:val="bottom"/>
            <w:shd w:val="clear" w:color="auto" w:fill="4DC1E4"/>
          </w:tcPr>
          <w:p>
            <w:pPr>
              <w:spacing w:after="0"/>
              <w:rPr>
                <w:sz w:val="3"/>
                <w:szCs w:val="3"/>
                <w:color w:val="auto"/>
              </w:rPr>
            </w:pPr>
          </w:p>
        </w:tc>
        <w:tc>
          <w:tcPr>
            <w:tcW w:w="940" w:type="dxa"/>
            <w:vAlign w:val="bottom"/>
            <w:tcBorders>
              <w:right w:val="single" w:sz="8" w:color="auto"/>
            </w:tcBorders>
            <w:vMerge w:val="continue"/>
            <w:shd w:val="clear" w:color="auto" w:fill="4DC1E4"/>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2260" w:type="dxa"/>
            <w:vAlign w:val="bottom"/>
            <w:tcBorders>
              <w:left w:val="single" w:sz="8" w:color="auto"/>
              <w:bottom w:val="single" w:sz="8" w:color="4DC1E4"/>
            </w:tcBorders>
            <w:vMerge w:val="continue"/>
            <w:shd w:val="clear" w:color="auto" w:fill="4DC1E4"/>
          </w:tcPr>
          <w:p>
            <w:pPr>
              <w:spacing w:after="0"/>
              <w:rPr>
                <w:sz w:val="18"/>
                <w:szCs w:val="18"/>
                <w:color w:val="auto"/>
              </w:rPr>
            </w:pPr>
          </w:p>
        </w:tc>
        <w:tc>
          <w:tcPr>
            <w:tcW w:w="660" w:type="dxa"/>
            <w:vAlign w:val="bottom"/>
            <w:vMerge w:val="continue"/>
            <w:shd w:val="clear" w:color="auto" w:fill="4DC1E4"/>
          </w:tcPr>
          <w:p>
            <w:pPr>
              <w:spacing w:after="0"/>
              <w:rPr>
                <w:sz w:val="18"/>
                <w:szCs w:val="18"/>
                <w:color w:val="auto"/>
              </w:rPr>
            </w:pPr>
          </w:p>
        </w:tc>
        <w:tc>
          <w:tcPr>
            <w:tcW w:w="860" w:type="dxa"/>
            <w:vAlign w:val="bottom"/>
            <w:shd w:val="clear" w:color="auto" w:fill="4DC1E4"/>
          </w:tcPr>
          <w:p>
            <w:pPr>
              <w:jc w:val="right"/>
              <w:ind w:right="292"/>
              <w:spacing w:after="0"/>
              <w:rPr>
                <w:sz w:val="20"/>
                <w:szCs w:val="20"/>
                <w:color w:val="auto"/>
              </w:rPr>
            </w:pPr>
            <w:r>
              <w:rPr>
                <w:rFonts w:ascii="Times New Roman" w:cs="Times New Roman" w:eastAsia="Times New Roman" w:hAnsi="Times New Roman"/>
                <w:sz w:val="13"/>
                <w:szCs w:val="13"/>
                <w:b w:val="1"/>
                <w:bCs w:val="1"/>
                <w:color w:val="FFFFFF"/>
              </w:rPr>
              <w:t>($)</w:t>
            </w:r>
          </w:p>
        </w:tc>
        <w:tc>
          <w:tcPr>
            <w:tcW w:w="620" w:type="dxa"/>
            <w:vAlign w:val="bottom"/>
            <w:shd w:val="clear" w:color="auto" w:fill="4DC1E4"/>
          </w:tcPr>
          <w:p>
            <w:pPr>
              <w:jc w:val="right"/>
              <w:ind w:right="32"/>
              <w:spacing w:after="0"/>
              <w:rPr>
                <w:sz w:val="20"/>
                <w:szCs w:val="20"/>
                <w:color w:val="auto"/>
              </w:rPr>
            </w:pPr>
            <w:r>
              <w:rPr>
                <w:rFonts w:ascii="Times New Roman" w:cs="Times New Roman" w:eastAsia="Times New Roman" w:hAnsi="Times New Roman"/>
                <w:sz w:val="13"/>
                <w:szCs w:val="13"/>
                <w:b w:val="1"/>
                <w:bCs w:val="1"/>
                <w:color w:val="FFFFFF"/>
              </w:rPr>
              <w:t>($)</w:t>
            </w:r>
          </w:p>
        </w:tc>
        <w:tc>
          <w:tcPr>
            <w:tcW w:w="300" w:type="dxa"/>
            <w:vAlign w:val="bottom"/>
            <w:shd w:val="clear" w:color="auto" w:fill="4DC1E4"/>
          </w:tcPr>
          <w:p>
            <w:pPr>
              <w:spacing w:after="0"/>
              <w:rPr>
                <w:sz w:val="18"/>
                <w:szCs w:val="18"/>
                <w:color w:val="auto"/>
              </w:rPr>
            </w:pPr>
          </w:p>
        </w:tc>
        <w:tc>
          <w:tcPr>
            <w:tcW w:w="900" w:type="dxa"/>
            <w:vAlign w:val="bottom"/>
            <w:shd w:val="clear" w:color="auto" w:fill="4DC1E4"/>
          </w:tcPr>
          <w:p>
            <w:pPr>
              <w:jc w:val="center"/>
              <w:spacing w:after="0" w:line="180" w:lineRule="exact"/>
              <w:rPr>
                <w:sz w:val="20"/>
                <w:szCs w:val="20"/>
                <w:color w:val="auto"/>
              </w:rPr>
            </w:pPr>
            <w:r>
              <w:rPr>
                <w:rFonts w:ascii="Times New Roman" w:cs="Times New Roman" w:eastAsia="Times New Roman" w:hAnsi="Times New Roman"/>
                <w:sz w:val="13"/>
                <w:szCs w:val="13"/>
                <w:b w:val="1"/>
                <w:bCs w:val="1"/>
                <w:color w:val="FFFFFF"/>
                <w:w w:val="86"/>
              </w:rPr>
              <w:t>($)</w:t>
            </w:r>
            <w:r>
              <w:rPr>
                <w:rFonts w:ascii="Times New Roman" w:cs="Times New Roman" w:eastAsia="Times New Roman" w:hAnsi="Times New Roman"/>
                <w:sz w:val="16"/>
                <w:szCs w:val="16"/>
                <w:b w:val="1"/>
                <w:bCs w:val="1"/>
                <w:color w:val="FFFFFF"/>
                <w:w w:val="86"/>
                <w:vertAlign w:val="superscript"/>
              </w:rPr>
              <w:t>(1)</w:t>
            </w:r>
          </w:p>
        </w:tc>
        <w:tc>
          <w:tcPr>
            <w:tcW w:w="1080" w:type="dxa"/>
            <w:vAlign w:val="bottom"/>
            <w:shd w:val="clear" w:color="auto" w:fill="4DC1E4"/>
          </w:tcPr>
          <w:p>
            <w:pPr>
              <w:jc w:val="center"/>
              <w:spacing w:after="0" w:line="180" w:lineRule="exact"/>
              <w:rPr>
                <w:sz w:val="20"/>
                <w:szCs w:val="20"/>
                <w:color w:val="auto"/>
              </w:rPr>
            </w:pPr>
            <w:r>
              <w:rPr>
                <w:rFonts w:ascii="Times New Roman" w:cs="Times New Roman" w:eastAsia="Times New Roman" w:hAnsi="Times New Roman"/>
                <w:sz w:val="13"/>
                <w:szCs w:val="13"/>
                <w:b w:val="1"/>
                <w:bCs w:val="1"/>
                <w:color w:val="FFFFFF"/>
                <w:w w:val="86"/>
              </w:rPr>
              <w:t>($)</w:t>
            </w:r>
            <w:r>
              <w:rPr>
                <w:rFonts w:ascii="Times New Roman" w:cs="Times New Roman" w:eastAsia="Times New Roman" w:hAnsi="Times New Roman"/>
                <w:sz w:val="16"/>
                <w:szCs w:val="16"/>
                <w:b w:val="1"/>
                <w:bCs w:val="1"/>
                <w:color w:val="FFFFFF"/>
                <w:w w:val="86"/>
                <w:vertAlign w:val="superscript"/>
              </w:rPr>
              <w:t>(1)</w:t>
            </w:r>
          </w:p>
        </w:tc>
        <w:tc>
          <w:tcPr>
            <w:tcW w:w="840" w:type="dxa"/>
            <w:vAlign w:val="bottom"/>
            <w:shd w:val="clear" w:color="auto" w:fill="4DC1E4"/>
          </w:tcPr>
          <w:p>
            <w:pPr>
              <w:jc w:val="center"/>
              <w:spacing w:after="0" w:line="180" w:lineRule="exact"/>
              <w:rPr>
                <w:sz w:val="20"/>
                <w:szCs w:val="20"/>
                <w:color w:val="auto"/>
              </w:rPr>
            </w:pPr>
            <w:r>
              <w:rPr>
                <w:rFonts w:ascii="Times New Roman" w:cs="Times New Roman" w:eastAsia="Times New Roman" w:hAnsi="Times New Roman"/>
                <w:sz w:val="13"/>
                <w:szCs w:val="13"/>
                <w:b w:val="1"/>
                <w:bCs w:val="1"/>
                <w:color w:val="FFFFFF"/>
                <w:w w:val="86"/>
              </w:rPr>
              <w:t>($)</w:t>
            </w:r>
            <w:r>
              <w:rPr>
                <w:rFonts w:ascii="Times New Roman" w:cs="Times New Roman" w:eastAsia="Times New Roman" w:hAnsi="Times New Roman"/>
                <w:sz w:val="16"/>
                <w:szCs w:val="16"/>
                <w:b w:val="1"/>
                <w:bCs w:val="1"/>
                <w:color w:val="FFFFFF"/>
                <w:w w:val="86"/>
                <w:vertAlign w:val="superscript"/>
              </w:rPr>
              <w:t>(1)</w:t>
            </w:r>
          </w:p>
        </w:tc>
        <w:tc>
          <w:tcPr>
            <w:tcW w:w="760" w:type="dxa"/>
            <w:vAlign w:val="bottom"/>
            <w:shd w:val="clear" w:color="auto" w:fill="4DC1E4"/>
          </w:tcPr>
          <w:p>
            <w:pPr>
              <w:jc w:val="right"/>
              <w:spacing w:after="0"/>
              <w:rPr>
                <w:sz w:val="20"/>
                <w:szCs w:val="20"/>
                <w:color w:val="auto"/>
              </w:rPr>
            </w:pPr>
            <w:r>
              <w:rPr>
                <w:rFonts w:ascii="Times New Roman" w:cs="Times New Roman" w:eastAsia="Times New Roman" w:hAnsi="Times New Roman"/>
                <w:sz w:val="13"/>
                <w:szCs w:val="13"/>
                <w:b w:val="1"/>
                <w:bCs w:val="1"/>
                <w:color w:val="FFFFFF"/>
              </w:rPr>
              <w:t>($)</w:t>
            </w:r>
          </w:p>
        </w:tc>
        <w:tc>
          <w:tcPr>
            <w:tcW w:w="520" w:type="dxa"/>
            <w:vAlign w:val="bottom"/>
            <w:shd w:val="clear" w:color="auto" w:fill="4DC1E4"/>
          </w:tcPr>
          <w:p>
            <w:pPr>
              <w:spacing w:after="0"/>
              <w:rPr>
                <w:sz w:val="18"/>
                <w:szCs w:val="18"/>
                <w:color w:val="auto"/>
              </w:rPr>
            </w:pPr>
          </w:p>
        </w:tc>
        <w:tc>
          <w:tcPr>
            <w:tcW w:w="940" w:type="dxa"/>
            <w:vAlign w:val="bottom"/>
            <w:tcBorders>
              <w:right w:val="single" w:sz="8" w:color="auto"/>
            </w:tcBorders>
            <w:shd w:val="clear" w:color="auto" w:fill="4DC1E4"/>
          </w:tcPr>
          <w:p>
            <w:pPr>
              <w:jc w:val="right"/>
              <w:ind w:right="352"/>
              <w:spacing w:after="0"/>
              <w:rPr>
                <w:sz w:val="20"/>
                <w:szCs w:val="20"/>
                <w:color w:val="auto"/>
              </w:rPr>
            </w:pPr>
            <w:r>
              <w:rPr>
                <w:rFonts w:ascii="Times New Roman" w:cs="Times New Roman" w:eastAsia="Times New Roman" w:hAnsi="Times New Roman"/>
                <w:sz w:val="13"/>
                <w:szCs w:val="13"/>
                <w:b w:val="1"/>
                <w:bCs w:val="1"/>
                <w:color w:val="FFFFFF"/>
              </w:rPr>
              <w:t>($)</w:t>
            </w:r>
          </w:p>
        </w:tc>
        <w:tc>
          <w:tcPr>
            <w:tcW w:w="0" w:type="dxa"/>
            <w:vAlign w:val="bottom"/>
          </w:tcPr>
          <w:p>
            <w:pPr>
              <w:spacing w:after="0"/>
              <w:rPr>
                <w:sz w:val="1"/>
                <w:szCs w:val="1"/>
                <w:color w:val="auto"/>
              </w:rPr>
            </w:pPr>
          </w:p>
        </w:tc>
      </w:tr>
      <w:tr>
        <w:trPr>
          <w:trHeight w:val="189"/>
        </w:trPr>
        <w:tc>
          <w:tcPr>
            <w:tcW w:w="22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Carole S. Ben-Maimon, M.D.</w:t>
            </w:r>
          </w:p>
        </w:tc>
        <w:tc>
          <w:tcPr>
            <w:tcW w:w="660" w:type="dxa"/>
            <w:vAlign w:val="bottom"/>
          </w:tcPr>
          <w:p>
            <w:pPr>
              <w:jc w:val="right"/>
              <w:ind w:right="67"/>
              <w:spacing w:after="0"/>
              <w:rPr>
                <w:sz w:val="20"/>
                <w:szCs w:val="20"/>
                <w:color w:val="auto"/>
              </w:rPr>
            </w:pPr>
            <w:r>
              <w:rPr>
                <w:rFonts w:ascii="Times New Roman" w:cs="Times New Roman" w:eastAsia="Times New Roman" w:hAnsi="Times New Roman"/>
                <w:sz w:val="14"/>
                <w:szCs w:val="14"/>
                <w:color w:val="auto"/>
              </w:rPr>
              <w:t>2025</w:t>
            </w:r>
          </w:p>
        </w:tc>
        <w:tc>
          <w:tcPr>
            <w:tcW w:w="86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650,00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307,45</w:t>
            </w:r>
          </w:p>
        </w:tc>
        <w:tc>
          <w:tcPr>
            <w:tcW w:w="300" w:type="dxa"/>
            <w:vAlign w:val="bottom"/>
          </w:tcPr>
          <w:p>
            <w:pPr>
              <w:jc w:val="right"/>
              <w:ind w:right="112"/>
              <w:spacing w:after="0" w:line="189" w:lineRule="exact"/>
              <w:rPr>
                <w:sz w:val="20"/>
                <w:szCs w:val="20"/>
                <w:color w:val="auto"/>
              </w:rPr>
            </w:pPr>
            <w:r>
              <w:rPr>
                <w:rFonts w:ascii="Arial" w:cs="Arial" w:eastAsia="Arial" w:hAnsi="Arial"/>
                <w:sz w:val="19"/>
                <w:szCs w:val="19"/>
                <w:color w:val="auto"/>
                <w:w w:val="91"/>
                <w:vertAlign w:val="subscript"/>
              </w:rPr>
              <w:t>)</w:t>
            </w:r>
            <w:r>
              <w:rPr>
                <w:rFonts w:ascii="Arial" w:cs="Arial" w:eastAsia="Arial" w:hAnsi="Arial"/>
                <w:sz w:val="10"/>
                <w:szCs w:val="10"/>
                <w:color w:val="auto"/>
                <w:w w:val="91"/>
              </w:rPr>
              <w:t>(2</w:t>
            </w:r>
          </w:p>
        </w:tc>
        <w:tc>
          <w:tcPr>
            <w:tcW w:w="900" w:type="dxa"/>
            <w:vAlign w:val="bottom"/>
          </w:tcPr>
          <w:p>
            <w:pPr>
              <w:jc w:val="right"/>
              <w:ind w:right="187"/>
              <w:spacing w:after="0"/>
              <w:rPr>
                <w:sz w:val="20"/>
                <w:szCs w:val="20"/>
                <w:color w:val="auto"/>
              </w:rPr>
            </w:pPr>
            <w:r>
              <w:rPr>
                <w:rFonts w:ascii="Times New Roman" w:cs="Times New Roman" w:eastAsia="Times New Roman" w:hAnsi="Times New Roman"/>
                <w:sz w:val="14"/>
                <w:szCs w:val="14"/>
                <w:color w:val="auto"/>
              </w:rPr>
              <w:t>314,860</w:t>
            </w:r>
          </w:p>
        </w:tc>
        <w:tc>
          <w:tcPr>
            <w:tcW w:w="10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346,000</w:t>
            </w:r>
          </w:p>
        </w:tc>
        <w:tc>
          <w:tcPr>
            <w:tcW w:w="8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1,889,16</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18,953</w:t>
            </w:r>
          </w:p>
        </w:tc>
        <w:tc>
          <w:tcPr>
            <w:tcW w:w="520" w:type="dxa"/>
            <w:vAlign w:val="bottom"/>
          </w:tcPr>
          <w:p>
            <w:pPr>
              <w:jc w:val="right"/>
              <w:ind w:right="312"/>
              <w:spacing w:after="0"/>
              <w:rPr>
                <w:sz w:val="20"/>
                <w:szCs w:val="20"/>
                <w:color w:val="auto"/>
              </w:rPr>
            </w:pPr>
            <w:r>
              <w:rPr>
                <w:rFonts w:ascii="Times New Roman" w:cs="Times New Roman" w:eastAsia="Times New Roman" w:hAnsi="Times New Roman"/>
                <w:sz w:val="10"/>
                <w:szCs w:val="10"/>
                <w:color w:val="auto"/>
              </w:rPr>
              <w:t>(3)</w:t>
            </w:r>
          </w:p>
        </w:tc>
        <w:tc>
          <w:tcPr>
            <w:tcW w:w="940" w:type="dxa"/>
            <w:vAlign w:val="bottom"/>
            <w:tcBorders>
              <w:right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rPr>
              <w:t>3,526,42</w:t>
            </w:r>
          </w:p>
        </w:tc>
        <w:tc>
          <w:tcPr>
            <w:tcW w:w="0" w:type="dxa"/>
            <w:vAlign w:val="bottom"/>
          </w:tcPr>
          <w:p>
            <w:pPr>
              <w:spacing w:after="0"/>
              <w:rPr>
                <w:sz w:val="1"/>
                <w:szCs w:val="1"/>
                <w:color w:val="auto"/>
              </w:rPr>
            </w:pPr>
          </w:p>
        </w:tc>
      </w:tr>
      <w:tr>
        <w:trPr>
          <w:trHeight w:val="108"/>
        </w:trPr>
        <w:tc>
          <w:tcPr>
            <w:tcW w:w="2260" w:type="dxa"/>
            <w:vAlign w:val="bottom"/>
            <w:tcBorders>
              <w:left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860" w:type="dxa"/>
            <w:vAlign w:val="bottom"/>
          </w:tcPr>
          <w:p>
            <w:pPr>
              <w:jc w:val="right"/>
              <w:ind w:right="212"/>
              <w:spacing w:after="0" w:line="108" w:lineRule="exact"/>
              <w:rPr>
                <w:sz w:val="20"/>
                <w:szCs w:val="20"/>
                <w:color w:val="auto"/>
              </w:rPr>
            </w:pPr>
            <w:r>
              <w:rPr>
                <w:rFonts w:ascii="Times New Roman" w:cs="Times New Roman" w:eastAsia="Times New Roman" w:hAnsi="Times New Roman"/>
                <w:sz w:val="12"/>
                <w:szCs w:val="12"/>
                <w:color w:val="auto"/>
              </w:rPr>
              <w:t>0</w:t>
            </w:r>
          </w:p>
        </w:tc>
        <w:tc>
          <w:tcPr>
            <w:tcW w:w="62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0</w:t>
            </w:r>
          </w:p>
        </w:tc>
        <w:tc>
          <w:tcPr>
            <w:tcW w:w="300" w:type="dxa"/>
            <w:vAlign w:val="bottom"/>
            <w:vMerge w:val="restart"/>
          </w:tcPr>
          <w:p>
            <w:pPr>
              <w:jc w:val="right"/>
              <w:ind w:right="112"/>
              <w:spacing w:after="0"/>
              <w:rPr>
                <w:sz w:val="20"/>
                <w:szCs w:val="20"/>
                <w:color w:val="auto"/>
              </w:rPr>
            </w:pPr>
            <w:r>
              <w:rPr>
                <w:rFonts w:ascii="Arial" w:cs="Arial" w:eastAsia="Arial" w:hAnsi="Arial"/>
                <w:sz w:val="19"/>
                <w:szCs w:val="19"/>
                <w:color w:val="auto"/>
                <w:w w:val="91"/>
                <w:vertAlign w:val="subscript"/>
              </w:rPr>
              <w:t>)</w:t>
            </w:r>
            <w:r>
              <w:rPr>
                <w:rFonts w:ascii="Arial" w:cs="Arial" w:eastAsia="Arial" w:hAnsi="Arial"/>
                <w:sz w:val="10"/>
                <w:szCs w:val="10"/>
                <w:color w:val="auto"/>
                <w:w w:val="91"/>
              </w:rPr>
              <w:t>(4</w:t>
            </w:r>
          </w:p>
        </w:tc>
        <w:tc>
          <w:tcPr>
            <w:tcW w:w="9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40" w:type="dxa"/>
            <w:vAlign w:val="bottom"/>
          </w:tcPr>
          <w:p>
            <w:pPr>
              <w:jc w:val="right"/>
              <w:ind w:right="129"/>
              <w:spacing w:after="0" w:line="108" w:lineRule="exact"/>
              <w:rPr>
                <w:sz w:val="20"/>
                <w:szCs w:val="20"/>
                <w:color w:val="auto"/>
              </w:rPr>
            </w:pPr>
            <w:r>
              <w:rPr>
                <w:rFonts w:ascii="Times New Roman" w:cs="Times New Roman" w:eastAsia="Times New Roman" w:hAnsi="Times New Roman"/>
                <w:sz w:val="12"/>
                <w:szCs w:val="12"/>
                <w:color w:val="auto"/>
              </w:rPr>
              <w:t>0</w:t>
            </w: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tcBorders>
              <w:right w:val="single" w:sz="8" w:color="auto"/>
            </w:tcBorders>
          </w:tcPr>
          <w:p>
            <w:pPr>
              <w:jc w:val="right"/>
              <w:ind w:right="212"/>
              <w:spacing w:after="0" w:line="108" w:lineRule="exact"/>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203"/>
        </w:trPr>
        <w:tc>
          <w:tcPr>
            <w:tcW w:w="22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President and Chief Executive</w:t>
            </w:r>
          </w:p>
        </w:tc>
        <w:tc>
          <w:tcPr>
            <w:tcW w:w="660" w:type="dxa"/>
            <w:vAlign w:val="bottom"/>
          </w:tcPr>
          <w:p>
            <w:pPr>
              <w:jc w:val="right"/>
              <w:ind w:right="67"/>
              <w:spacing w:after="0"/>
              <w:rPr>
                <w:sz w:val="20"/>
                <w:szCs w:val="20"/>
                <w:color w:val="auto"/>
              </w:rPr>
            </w:pPr>
            <w:r>
              <w:rPr>
                <w:rFonts w:ascii="Times New Roman" w:cs="Times New Roman" w:eastAsia="Times New Roman" w:hAnsi="Times New Roman"/>
                <w:sz w:val="14"/>
                <w:szCs w:val="14"/>
                <w:color w:val="auto"/>
              </w:rPr>
              <w:t>2024</w:t>
            </w:r>
          </w:p>
        </w:tc>
        <w:tc>
          <w:tcPr>
            <w:tcW w:w="86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600,00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285,00</w:t>
            </w:r>
          </w:p>
        </w:tc>
        <w:tc>
          <w:tcPr>
            <w:tcW w:w="300" w:type="dxa"/>
            <w:vAlign w:val="bottom"/>
            <w:vMerge w:val="continue"/>
          </w:tcPr>
          <w:p>
            <w:pPr>
              <w:spacing w:after="0"/>
              <w:rPr>
                <w:sz w:val="17"/>
                <w:szCs w:val="17"/>
                <w:color w:val="auto"/>
              </w:rPr>
            </w:pPr>
          </w:p>
        </w:tc>
        <w:tc>
          <w:tcPr>
            <w:tcW w:w="900" w:type="dxa"/>
            <w:vAlign w:val="bottom"/>
          </w:tcPr>
          <w:p>
            <w:pPr>
              <w:jc w:val="right"/>
              <w:ind w:right="187"/>
              <w:spacing w:after="0"/>
              <w:rPr>
                <w:sz w:val="20"/>
                <w:szCs w:val="20"/>
                <w:color w:val="auto"/>
              </w:rPr>
            </w:pPr>
            <w:r>
              <w:rPr>
                <w:rFonts w:ascii="Times New Roman" w:cs="Times New Roman" w:eastAsia="Times New Roman" w:hAnsi="Times New Roman"/>
                <w:sz w:val="14"/>
                <w:szCs w:val="14"/>
                <w:color w:val="auto"/>
              </w:rPr>
              <w:t>278,386</w:t>
            </w:r>
          </w:p>
        </w:tc>
        <w:tc>
          <w:tcPr>
            <w:tcW w:w="10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1,327,60</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20,658</w:t>
            </w:r>
          </w:p>
        </w:tc>
        <w:tc>
          <w:tcPr>
            <w:tcW w:w="520" w:type="dxa"/>
            <w:vAlign w:val="bottom"/>
          </w:tcPr>
          <w:p>
            <w:pPr>
              <w:jc w:val="right"/>
              <w:ind w:right="312"/>
              <w:spacing w:after="0"/>
              <w:rPr>
                <w:sz w:val="20"/>
                <w:szCs w:val="20"/>
                <w:color w:val="auto"/>
              </w:rPr>
            </w:pPr>
            <w:r>
              <w:rPr>
                <w:rFonts w:ascii="Times New Roman" w:cs="Times New Roman" w:eastAsia="Times New Roman" w:hAnsi="Times New Roman"/>
                <w:sz w:val="10"/>
                <w:szCs w:val="10"/>
                <w:color w:val="auto"/>
              </w:rPr>
              <w:t>(5)</w:t>
            </w:r>
          </w:p>
        </w:tc>
        <w:tc>
          <w:tcPr>
            <w:tcW w:w="940" w:type="dxa"/>
            <w:vAlign w:val="bottom"/>
            <w:tcBorders>
              <w:right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rPr>
              <w:t>2,511,64</w:t>
            </w:r>
          </w:p>
        </w:tc>
        <w:tc>
          <w:tcPr>
            <w:tcW w:w="0" w:type="dxa"/>
            <w:vAlign w:val="bottom"/>
          </w:tcPr>
          <w:p>
            <w:pPr>
              <w:spacing w:after="0"/>
              <w:rPr>
                <w:sz w:val="1"/>
                <w:szCs w:val="1"/>
                <w:color w:val="auto"/>
              </w:rPr>
            </w:pPr>
          </w:p>
        </w:tc>
      </w:tr>
      <w:tr>
        <w:trPr>
          <w:trHeight w:val="108"/>
        </w:trPr>
        <w:tc>
          <w:tcPr>
            <w:tcW w:w="2260" w:type="dxa"/>
            <w:vAlign w:val="bottom"/>
            <w:tcBorders>
              <w:left w:val="single" w:sz="8" w:color="auto"/>
            </w:tcBorders>
          </w:tcPr>
          <w:p>
            <w:pPr>
              <w:ind w:left="100"/>
              <w:spacing w:after="0" w:line="108" w:lineRule="exact"/>
              <w:rPr>
                <w:sz w:val="20"/>
                <w:szCs w:val="20"/>
                <w:color w:val="auto"/>
              </w:rPr>
            </w:pPr>
            <w:r>
              <w:rPr>
                <w:rFonts w:ascii="Times New Roman" w:cs="Times New Roman" w:eastAsia="Times New Roman" w:hAnsi="Times New Roman"/>
                <w:sz w:val="12"/>
                <w:szCs w:val="12"/>
                <w:color w:val="auto"/>
              </w:rPr>
              <w:t>Officer</w:t>
            </w:r>
          </w:p>
        </w:tc>
        <w:tc>
          <w:tcPr>
            <w:tcW w:w="660" w:type="dxa"/>
            <w:vAlign w:val="bottom"/>
          </w:tcPr>
          <w:p>
            <w:pPr>
              <w:spacing w:after="0"/>
              <w:rPr>
                <w:sz w:val="9"/>
                <w:szCs w:val="9"/>
                <w:color w:val="auto"/>
              </w:rPr>
            </w:pPr>
          </w:p>
        </w:tc>
        <w:tc>
          <w:tcPr>
            <w:tcW w:w="860" w:type="dxa"/>
            <w:vAlign w:val="bottom"/>
          </w:tcPr>
          <w:p>
            <w:pPr>
              <w:jc w:val="right"/>
              <w:ind w:right="212"/>
              <w:spacing w:after="0" w:line="108" w:lineRule="exact"/>
              <w:rPr>
                <w:sz w:val="20"/>
                <w:szCs w:val="20"/>
                <w:color w:val="auto"/>
              </w:rPr>
            </w:pPr>
            <w:r>
              <w:rPr>
                <w:rFonts w:ascii="Times New Roman" w:cs="Times New Roman" w:eastAsia="Times New Roman" w:hAnsi="Times New Roman"/>
                <w:sz w:val="12"/>
                <w:szCs w:val="12"/>
                <w:color w:val="auto"/>
              </w:rPr>
              <w:t>0</w:t>
            </w:r>
          </w:p>
        </w:tc>
        <w:tc>
          <w:tcPr>
            <w:tcW w:w="62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0</w:t>
            </w:r>
          </w:p>
        </w:tc>
        <w:tc>
          <w:tcPr>
            <w:tcW w:w="300" w:type="dxa"/>
            <w:vAlign w:val="bottom"/>
            <w:vMerge w:val="restart"/>
          </w:tcPr>
          <w:p>
            <w:pPr>
              <w:jc w:val="right"/>
              <w:ind w:right="112"/>
              <w:spacing w:after="0"/>
              <w:rPr>
                <w:sz w:val="20"/>
                <w:szCs w:val="20"/>
                <w:color w:val="auto"/>
              </w:rPr>
            </w:pPr>
            <w:r>
              <w:rPr>
                <w:rFonts w:ascii="Arial" w:cs="Arial" w:eastAsia="Arial" w:hAnsi="Arial"/>
                <w:sz w:val="19"/>
                <w:szCs w:val="19"/>
                <w:color w:val="auto"/>
                <w:w w:val="91"/>
                <w:vertAlign w:val="subscript"/>
              </w:rPr>
              <w:t>)</w:t>
            </w:r>
            <w:r>
              <w:rPr>
                <w:rFonts w:ascii="Arial" w:cs="Arial" w:eastAsia="Arial" w:hAnsi="Arial"/>
                <w:sz w:val="10"/>
                <w:szCs w:val="10"/>
                <w:color w:val="auto"/>
                <w:w w:val="91"/>
              </w:rPr>
              <w:t>(2</w:t>
            </w:r>
          </w:p>
        </w:tc>
        <w:tc>
          <w:tcPr>
            <w:tcW w:w="9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40" w:type="dxa"/>
            <w:vAlign w:val="bottom"/>
          </w:tcPr>
          <w:p>
            <w:pPr>
              <w:jc w:val="right"/>
              <w:ind w:right="129"/>
              <w:spacing w:after="0" w:line="108" w:lineRule="exact"/>
              <w:rPr>
                <w:sz w:val="20"/>
                <w:szCs w:val="20"/>
                <w:color w:val="auto"/>
              </w:rPr>
            </w:pPr>
            <w:r>
              <w:rPr>
                <w:rFonts w:ascii="Times New Roman" w:cs="Times New Roman" w:eastAsia="Times New Roman" w:hAnsi="Times New Roman"/>
                <w:sz w:val="12"/>
                <w:szCs w:val="12"/>
                <w:color w:val="auto"/>
              </w:rPr>
              <w:t>5</w:t>
            </w: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tcBorders>
              <w:right w:val="single" w:sz="8" w:color="auto"/>
            </w:tcBorders>
          </w:tcPr>
          <w:p>
            <w:pPr>
              <w:jc w:val="right"/>
              <w:ind w:right="212"/>
              <w:spacing w:after="0" w:line="108" w:lineRule="exact"/>
              <w:rPr>
                <w:sz w:val="20"/>
                <w:szCs w:val="20"/>
                <w:color w:val="auto"/>
              </w:rPr>
            </w:pPr>
            <w:r>
              <w:rPr>
                <w:rFonts w:ascii="Times New Roman" w:cs="Times New Roman" w:eastAsia="Times New Roman" w:hAnsi="Times New Roman"/>
                <w:sz w:val="12"/>
                <w:szCs w:val="12"/>
                <w:color w:val="auto"/>
              </w:rPr>
              <w:t>9</w:t>
            </w:r>
          </w:p>
        </w:tc>
        <w:tc>
          <w:tcPr>
            <w:tcW w:w="0" w:type="dxa"/>
            <w:vAlign w:val="bottom"/>
          </w:tcPr>
          <w:p>
            <w:pPr>
              <w:spacing w:after="0"/>
              <w:rPr>
                <w:sz w:val="1"/>
                <w:szCs w:val="1"/>
                <w:color w:val="auto"/>
              </w:rPr>
            </w:pPr>
          </w:p>
        </w:tc>
      </w:tr>
      <w:tr>
        <w:trPr>
          <w:trHeight w:val="203"/>
        </w:trPr>
        <w:tc>
          <w:tcPr>
            <w:tcW w:w="22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Michael Celano</w:t>
            </w:r>
          </w:p>
        </w:tc>
        <w:tc>
          <w:tcPr>
            <w:tcW w:w="660" w:type="dxa"/>
            <w:vAlign w:val="bottom"/>
          </w:tcPr>
          <w:p>
            <w:pPr>
              <w:jc w:val="right"/>
              <w:ind w:right="67"/>
              <w:spacing w:after="0"/>
              <w:rPr>
                <w:sz w:val="20"/>
                <w:szCs w:val="20"/>
                <w:color w:val="auto"/>
              </w:rPr>
            </w:pPr>
            <w:r>
              <w:rPr>
                <w:rFonts w:ascii="Times New Roman" w:cs="Times New Roman" w:eastAsia="Times New Roman" w:hAnsi="Times New Roman"/>
                <w:sz w:val="14"/>
                <w:szCs w:val="14"/>
                <w:color w:val="auto"/>
              </w:rPr>
              <w:t>2025</w:t>
            </w:r>
          </w:p>
        </w:tc>
        <w:tc>
          <w:tcPr>
            <w:tcW w:w="86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505,00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173,72</w:t>
            </w:r>
          </w:p>
        </w:tc>
        <w:tc>
          <w:tcPr>
            <w:tcW w:w="300" w:type="dxa"/>
            <w:vAlign w:val="bottom"/>
            <w:vMerge w:val="continue"/>
          </w:tcPr>
          <w:p>
            <w:pPr>
              <w:spacing w:after="0"/>
              <w:rPr>
                <w:sz w:val="17"/>
                <w:szCs w:val="17"/>
                <w:color w:val="auto"/>
              </w:rPr>
            </w:pPr>
          </w:p>
        </w:tc>
        <w:tc>
          <w:tcPr>
            <w:tcW w:w="900" w:type="dxa"/>
            <w:vAlign w:val="bottom"/>
          </w:tcPr>
          <w:p>
            <w:pPr>
              <w:jc w:val="right"/>
              <w:ind w:right="187"/>
              <w:spacing w:after="0"/>
              <w:rPr>
                <w:sz w:val="20"/>
                <w:szCs w:val="20"/>
                <w:color w:val="auto"/>
              </w:rPr>
            </w:pPr>
            <w:r>
              <w:rPr>
                <w:rFonts w:ascii="Times New Roman" w:cs="Times New Roman" w:eastAsia="Times New Roman" w:hAnsi="Times New Roman"/>
                <w:sz w:val="14"/>
                <w:szCs w:val="14"/>
                <w:color w:val="auto"/>
              </w:rPr>
              <w:t>118,280</w:t>
            </w:r>
          </w:p>
        </w:tc>
        <w:tc>
          <w:tcPr>
            <w:tcW w:w="10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173,000</w:t>
            </w:r>
          </w:p>
        </w:tc>
        <w:tc>
          <w:tcPr>
            <w:tcW w:w="8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709,684</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18,276</w:t>
            </w:r>
          </w:p>
        </w:tc>
        <w:tc>
          <w:tcPr>
            <w:tcW w:w="520" w:type="dxa"/>
            <w:vAlign w:val="bottom"/>
          </w:tcPr>
          <w:p>
            <w:pPr>
              <w:jc w:val="right"/>
              <w:ind w:right="312"/>
              <w:spacing w:after="0"/>
              <w:rPr>
                <w:sz w:val="20"/>
                <w:szCs w:val="20"/>
                <w:color w:val="auto"/>
              </w:rPr>
            </w:pPr>
            <w:r>
              <w:rPr>
                <w:rFonts w:ascii="Times New Roman" w:cs="Times New Roman" w:eastAsia="Times New Roman" w:hAnsi="Times New Roman"/>
                <w:sz w:val="10"/>
                <w:szCs w:val="10"/>
                <w:color w:val="auto"/>
              </w:rPr>
              <w:t>(6)</w:t>
            </w:r>
          </w:p>
        </w:tc>
        <w:tc>
          <w:tcPr>
            <w:tcW w:w="940" w:type="dxa"/>
            <w:vAlign w:val="bottom"/>
            <w:tcBorders>
              <w:right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rPr>
              <w:t>1,697,96</w:t>
            </w:r>
          </w:p>
        </w:tc>
        <w:tc>
          <w:tcPr>
            <w:tcW w:w="0" w:type="dxa"/>
            <w:vAlign w:val="bottom"/>
          </w:tcPr>
          <w:p>
            <w:pPr>
              <w:spacing w:after="0"/>
              <w:rPr>
                <w:sz w:val="1"/>
                <w:szCs w:val="1"/>
                <w:color w:val="auto"/>
              </w:rPr>
            </w:pPr>
          </w:p>
        </w:tc>
      </w:tr>
      <w:tr>
        <w:trPr>
          <w:trHeight w:val="108"/>
        </w:trPr>
        <w:tc>
          <w:tcPr>
            <w:tcW w:w="2260" w:type="dxa"/>
            <w:vAlign w:val="bottom"/>
            <w:tcBorders>
              <w:left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860" w:type="dxa"/>
            <w:vAlign w:val="bottom"/>
          </w:tcPr>
          <w:p>
            <w:pPr>
              <w:jc w:val="right"/>
              <w:ind w:right="212"/>
              <w:spacing w:after="0" w:line="108" w:lineRule="exact"/>
              <w:rPr>
                <w:sz w:val="20"/>
                <w:szCs w:val="20"/>
                <w:color w:val="auto"/>
              </w:rPr>
            </w:pPr>
            <w:r>
              <w:rPr>
                <w:rFonts w:ascii="Times New Roman" w:cs="Times New Roman" w:eastAsia="Times New Roman" w:hAnsi="Times New Roman"/>
                <w:sz w:val="12"/>
                <w:szCs w:val="12"/>
                <w:color w:val="auto"/>
              </w:rPr>
              <w:t>0</w:t>
            </w:r>
          </w:p>
        </w:tc>
        <w:tc>
          <w:tcPr>
            <w:tcW w:w="62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0</w:t>
            </w:r>
          </w:p>
        </w:tc>
        <w:tc>
          <w:tcPr>
            <w:tcW w:w="300" w:type="dxa"/>
            <w:vAlign w:val="bottom"/>
            <w:vMerge w:val="restart"/>
          </w:tcPr>
          <w:p>
            <w:pPr>
              <w:jc w:val="right"/>
              <w:ind w:right="112"/>
              <w:spacing w:after="0"/>
              <w:rPr>
                <w:sz w:val="20"/>
                <w:szCs w:val="20"/>
                <w:color w:val="auto"/>
              </w:rPr>
            </w:pPr>
            <w:r>
              <w:rPr>
                <w:rFonts w:ascii="Arial" w:cs="Arial" w:eastAsia="Arial" w:hAnsi="Arial"/>
                <w:sz w:val="19"/>
                <w:szCs w:val="19"/>
                <w:color w:val="auto"/>
                <w:w w:val="91"/>
                <w:vertAlign w:val="subscript"/>
              </w:rPr>
              <w:t>)</w:t>
            </w:r>
            <w:r>
              <w:rPr>
                <w:rFonts w:ascii="Arial" w:cs="Arial" w:eastAsia="Arial" w:hAnsi="Arial"/>
                <w:sz w:val="10"/>
                <w:szCs w:val="10"/>
                <w:color w:val="auto"/>
                <w:w w:val="91"/>
              </w:rPr>
              <w:t>(4</w:t>
            </w:r>
          </w:p>
        </w:tc>
        <w:tc>
          <w:tcPr>
            <w:tcW w:w="9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tcBorders>
              <w:right w:val="single" w:sz="8" w:color="auto"/>
            </w:tcBorders>
          </w:tcPr>
          <w:p>
            <w:pPr>
              <w:jc w:val="right"/>
              <w:ind w:right="212"/>
              <w:spacing w:after="0" w:line="108" w:lineRule="exact"/>
              <w:rPr>
                <w:sz w:val="20"/>
                <w:szCs w:val="20"/>
                <w:color w:val="auto"/>
              </w:rPr>
            </w:pPr>
            <w:r>
              <w:rPr>
                <w:rFonts w:ascii="Times New Roman" w:cs="Times New Roman" w:eastAsia="Times New Roman" w:hAnsi="Times New Roman"/>
                <w:sz w:val="12"/>
                <w:szCs w:val="12"/>
                <w:color w:val="auto"/>
              </w:rPr>
              <w:t>0</w:t>
            </w:r>
          </w:p>
        </w:tc>
        <w:tc>
          <w:tcPr>
            <w:tcW w:w="0" w:type="dxa"/>
            <w:vAlign w:val="bottom"/>
          </w:tcPr>
          <w:p>
            <w:pPr>
              <w:spacing w:after="0"/>
              <w:rPr>
                <w:sz w:val="1"/>
                <w:szCs w:val="1"/>
                <w:color w:val="auto"/>
              </w:rPr>
            </w:pPr>
          </w:p>
        </w:tc>
      </w:tr>
      <w:tr>
        <w:trPr>
          <w:trHeight w:val="203"/>
        </w:trPr>
        <w:tc>
          <w:tcPr>
            <w:tcW w:w="22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Chief Financial Officer and</w:t>
            </w:r>
          </w:p>
        </w:tc>
        <w:tc>
          <w:tcPr>
            <w:tcW w:w="660" w:type="dxa"/>
            <w:vAlign w:val="bottom"/>
          </w:tcPr>
          <w:p>
            <w:pPr>
              <w:jc w:val="right"/>
              <w:ind w:right="67"/>
              <w:spacing w:after="0"/>
              <w:rPr>
                <w:sz w:val="20"/>
                <w:szCs w:val="20"/>
                <w:color w:val="auto"/>
              </w:rPr>
            </w:pPr>
            <w:r>
              <w:rPr>
                <w:rFonts w:ascii="Times New Roman" w:cs="Times New Roman" w:eastAsia="Times New Roman" w:hAnsi="Times New Roman"/>
                <w:sz w:val="14"/>
                <w:szCs w:val="14"/>
                <w:color w:val="auto"/>
              </w:rPr>
              <w:t>2024</w:t>
            </w:r>
          </w:p>
        </w:tc>
        <w:tc>
          <w:tcPr>
            <w:tcW w:w="86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441,93</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167,93</w:t>
            </w:r>
          </w:p>
        </w:tc>
        <w:tc>
          <w:tcPr>
            <w:tcW w:w="300" w:type="dxa"/>
            <w:vAlign w:val="bottom"/>
            <w:vMerge w:val="continue"/>
          </w:tcPr>
          <w:p>
            <w:pPr>
              <w:spacing w:after="0"/>
              <w:rPr>
                <w:sz w:val="17"/>
                <w:szCs w:val="17"/>
                <w:color w:val="auto"/>
              </w:rPr>
            </w:pPr>
          </w:p>
        </w:tc>
        <w:tc>
          <w:tcPr>
            <w:tcW w:w="900" w:type="dxa"/>
            <w:vAlign w:val="bottom"/>
          </w:tcPr>
          <w:p>
            <w:pPr>
              <w:jc w:val="right"/>
              <w:ind w:right="187"/>
              <w:spacing w:after="0"/>
              <w:rPr>
                <w:sz w:val="20"/>
                <w:szCs w:val="20"/>
                <w:color w:val="auto"/>
              </w:rPr>
            </w:pPr>
            <w:r>
              <w:rPr>
                <w:rFonts w:ascii="Times New Roman" w:cs="Times New Roman" w:eastAsia="Times New Roman" w:hAnsi="Times New Roman"/>
                <w:sz w:val="14"/>
                <w:szCs w:val="14"/>
                <w:color w:val="auto"/>
              </w:rPr>
              <w:t>131,563</w:t>
            </w:r>
          </w:p>
        </w:tc>
        <w:tc>
          <w:tcPr>
            <w:tcW w:w="10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627,413</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15,863</w:t>
            </w:r>
          </w:p>
        </w:tc>
        <w:tc>
          <w:tcPr>
            <w:tcW w:w="520" w:type="dxa"/>
            <w:vAlign w:val="bottom"/>
          </w:tcPr>
          <w:p>
            <w:pPr>
              <w:jc w:val="right"/>
              <w:ind w:right="312"/>
              <w:spacing w:after="0"/>
              <w:rPr>
                <w:sz w:val="20"/>
                <w:szCs w:val="20"/>
                <w:color w:val="auto"/>
              </w:rPr>
            </w:pPr>
            <w:r>
              <w:rPr>
                <w:rFonts w:ascii="Times New Roman" w:cs="Times New Roman" w:eastAsia="Times New Roman" w:hAnsi="Times New Roman"/>
                <w:sz w:val="10"/>
                <w:szCs w:val="10"/>
                <w:color w:val="auto"/>
              </w:rPr>
              <w:t>(7)</w:t>
            </w:r>
          </w:p>
        </w:tc>
        <w:tc>
          <w:tcPr>
            <w:tcW w:w="940" w:type="dxa"/>
            <w:vAlign w:val="bottom"/>
            <w:tcBorders>
              <w:right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rPr>
              <w:t>1,384,70</w:t>
            </w:r>
          </w:p>
        </w:tc>
        <w:tc>
          <w:tcPr>
            <w:tcW w:w="0" w:type="dxa"/>
            <w:vAlign w:val="bottom"/>
          </w:tcPr>
          <w:p>
            <w:pPr>
              <w:spacing w:after="0"/>
              <w:rPr>
                <w:sz w:val="1"/>
                <w:szCs w:val="1"/>
                <w:color w:val="auto"/>
              </w:rPr>
            </w:pPr>
          </w:p>
        </w:tc>
      </w:tr>
      <w:tr>
        <w:trPr>
          <w:trHeight w:val="108"/>
        </w:trPr>
        <w:tc>
          <w:tcPr>
            <w:tcW w:w="2260" w:type="dxa"/>
            <w:vAlign w:val="bottom"/>
            <w:tcBorders>
              <w:left w:val="single" w:sz="8" w:color="auto"/>
            </w:tcBorders>
          </w:tcPr>
          <w:p>
            <w:pPr>
              <w:ind w:left="100"/>
              <w:spacing w:after="0" w:line="108" w:lineRule="exact"/>
              <w:rPr>
                <w:sz w:val="20"/>
                <w:szCs w:val="20"/>
                <w:color w:val="auto"/>
              </w:rPr>
            </w:pPr>
            <w:r>
              <w:rPr>
                <w:rFonts w:ascii="Times New Roman" w:cs="Times New Roman" w:eastAsia="Times New Roman" w:hAnsi="Times New Roman"/>
                <w:sz w:val="12"/>
                <w:szCs w:val="12"/>
                <w:color w:val="auto"/>
              </w:rPr>
              <w:t>Secretary</w:t>
            </w:r>
          </w:p>
        </w:tc>
        <w:tc>
          <w:tcPr>
            <w:tcW w:w="660" w:type="dxa"/>
            <w:vAlign w:val="bottom"/>
          </w:tcPr>
          <w:p>
            <w:pPr>
              <w:spacing w:after="0"/>
              <w:rPr>
                <w:sz w:val="9"/>
                <w:szCs w:val="9"/>
                <w:color w:val="auto"/>
              </w:rPr>
            </w:pPr>
          </w:p>
        </w:tc>
        <w:tc>
          <w:tcPr>
            <w:tcW w:w="860" w:type="dxa"/>
            <w:vAlign w:val="bottom"/>
          </w:tcPr>
          <w:p>
            <w:pPr>
              <w:jc w:val="right"/>
              <w:ind w:right="212"/>
              <w:spacing w:after="0" w:line="108" w:lineRule="exact"/>
              <w:rPr>
                <w:sz w:val="20"/>
                <w:szCs w:val="20"/>
                <w:color w:val="auto"/>
              </w:rPr>
            </w:pPr>
            <w:r>
              <w:rPr>
                <w:rFonts w:ascii="Times New Roman" w:cs="Times New Roman" w:eastAsia="Times New Roman" w:hAnsi="Times New Roman"/>
                <w:sz w:val="12"/>
                <w:szCs w:val="12"/>
                <w:color w:val="auto"/>
              </w:rPr>
              <w:t>2</w:t>
            </w:r>
          </w:p>
        </w:tc>
        <w:tc>
          <w:tcPr>
            <w:tcW w:w="62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4</w:t>
            </w:r>
          </w:p>
        </w:tc>
        <w:tc>
          <w:tcPr>
            <w:tcW w:w="300" w:type="dxa"/>
            <w:vAlign w:val="bottom"/>
            <w:vMerge w:val="restart"/>
          </w:tcPr>
          <w:p>
            <w:pPr>
              <w:jc w:val="right"/>
              <w:ind w:right="112"/>
              <w:spacing w:after="0"/>
              <w:rPr>
                <w:sz w:val="20"/>
                <w:szCs w:val="20"/>
                <w:color w:val="auto"/>
              </w:rPr>
            </w:pPr>
            <w:r>
              <w:rPr>
                <w:rFonts w:ascii="Arial" w:cs="Arial" w:eastAsia="Arial" w:hAnsi="Arial"/>
                <w:sz w:val="19"/>
                <w:szCs w:val="19"/>
                <w:color w:val="auto"/>
                <w:w w:val="91"/>
                <w:vertAlign w:val="subscript"/>
              </w:rPr>
              <w:t>)</w:t>
            </w:r>
            <w:r>
              <w:rPr>
                <w:rFonts w:ascii="Arial" w:cs="Arial" w:eastAsia="Arial" w:hAnsi="Arial"/>
                <w:sz w:val="10"/>
                <w:szCs w:val="10"/>
                <w:color w:val="auto"/>
                <w:w w:val="91"/>
              </w:rPr>
              <w:t>(2</w:t>
            </w:r>
          </w:p>
        </w:tc>
        <w:tc>
          <w:tcPr>
            <w:tcW w:w="9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tcBorders>
              <w:right w:val="single" w:sz="8" w:color="auto"/>
            </w:tcBorders>
          </w:tcPr>
          <w:p>
            <w:pPr>
              <w:jc w:val="right"/>
              <w:ind w:right="212"/>
              <w:spacing w:after="0" w:line="108" w:lineRule="exact"/>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203"/>
        </w:trPr>
        <w:tc>
          <w:tcPr>
            <w:tcW w:w="22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Gopi Shankar, Ph.D., MBA,</w:t>
            </w:r>
          </w:p>
        </w:tc>
        <w:tc>
          <w:tcPr>
            <w:tcW w:w="660" w:type="dxa"/>
            <w:vAlign w:val="bottom"/>
          </w:tcPr>
          <w:p>
            <w:pPr>
              <w:jc w:val="right"/>
              <w:ind w:right="67"/>
              <w:spacing w:after="0"/>
              <w:rPr>
                <w:sz w:val="20"/>
                <w:szCs w:val="20"/>
                <w:color w:val="auto"/>
              </w:rPr>
            </w:pPr>
            <w:r>
              <w:rPr>
                <w:rFonts w:ascii="Times New Roman" w:cs="Times New Roman" w:eastAsia="Times New Roman" w:hAnsi="Times New Roman"/>
                <w:sz w:val="14"/>
                <w:szCs w:val="14"/>
                <w:color w:val="auto"/>
              </w:rPr>
              <w:t>2025</w:t>
            </w:r>
          </w:p>
        </w:tc>
        <w:tc>
          <w:tcPr>
            <w:tcW w:w="86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466,00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160,30</w:t>
            </w:r>
          </w:p>
        </w:tc>
        <w:tc>
          <w:tcPr>
            <w:tcW w:w="300" w:type="dxa"/>
            <w:vAlign w:val="bottom"/>
            <w:vMerge w:val="continue"/>
          </w:tcPr>
          <w:p>
            <w:pPr>
              <w:spacing w:after="0"/>
              <w:rPr>
                <w:sz w:val="17"/>
                <w:szCs w:val="17"/>
                <w:color w:val="auto"/>
              </w:rPr>
            </w:pPr>
          </w:p>
        </w:tc>
        <w:tc>
          <w:tcPr>
            <w:tcW w:w="900" w:type="dxa"/>
            <w:vAlign w:val="bottom"/>
          </w:tcPr>
          <w:p>
            <w:pPr>
              <w:jc w:val="right"/>
              <w:ind w:right="187"/>
              <w:spacing w:after="0"/>
              <w:rPr>
                <w:sz w:val="20"/>
                <w:szCs w:val="20"/>
                <w:color w:val="auto"/>
              </w:rPr>
            </w:pPr>
            <w:r>
              <w:rPr>
                <w:rFonts w:ascii="Times New Roman" w:cs="Times New Roman" w:eastAsia="Times New Roman" w:hAnsi="Times New Roman"/>
                <w:sz w:val="14"/>
                <w:szCs w:val="14"/>
                <w:color w:val="auto"/>
              </w:rPr>
              <w:t>80,639</w:t>
            </w:r>
          </w:p>
        </w:tc>
        <w:tc>
          <w:tcPr>
            <w:tcW w:w="10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86,500</w:t>
            </w:r>
          </w:p>
        </w:tc>
        <w:tc>
          <w:tcPr>
            <w:tcW w:w="8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483,839</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16,043</w:t>
            </w:r>
          </w:p>
        </w:tc>
        <w:tc>
          <w:tcPr>
            <w:tcW w:w="520" w:type="dxa"/>
            <w:vAlign w:val="bottom"/>
          </w:tcPr>
          <w:p>
            <w:pPr>
              <w:jc w:val="right"/>
              <w:ind w:right="312"/>
              <w:spacing w:after="0"/>
              <w:rPr>
                <w:sz w:val="20"/>
                <w:szCs w:val="20"/>
                <w:color w:val="auto"/>
              </w:rPr>
            </w:pPr>
            <w:r>
              <w:rPr>
                <w:rFonts w:ascii="Times New Roman" w:cs="Times New Roman" w:eastAsia="Times New Roman" w:hAnsi="Times New Roman"/>
                <w:sz w:val="10"/>
                <w:szCs w:val="10"/>
                <w:color w:val="auto"/>
              </w:rPr>
              <w:t>(8)</w:t>
            </w:r>
          </w:p>
        </w:tc>
        <w:tc>
          <w:tcPr>
            <w:tcW w:w="940" w:type="dxa"/>
            <w:vAlign w:val="bottom"/>
            <w:tcBorders>
              <w:right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rPr>
              <w:t>1,293,32</w:t>
            </w:r>
          </w:p>
        </w:tc>
        <w:tc>
          <w:tcPr>
            <w:tcW w:w="0" w:type="dxa"/>
            <w:vAlign w:val="bottom"/>
          </w:tcPr>
          <w:p>
            <w:pPr>
              <w:spacing w:after="0"/>
              <w:rPr>
                <w:sz w:val="1"/>
                <w:szCs w:val="1"/>
                <w:color w:val="auto"/>
              </w:rPr>
            </w:pPr>
          </w:p>
        </w:tc>
      </w:tr>
      <w:tr>
        <w:trPr>
          <w:trHeight w:val="108"/>
        </w:trPr>
        <w:tc>
          <w:tcPr>
            <w:tcW w:w="2260" w:type="dxa"/>
            <w:vAlign w:val="bottom"/>
            <w:tcBorders>
              <w:left w:val="single" w:sz="8" w:color="auto"/>
            </w:tcBorders>
          </w:tcPr>
          <w:p>
            <w:pPr>
              <w:ind w:left="100"/>
              <w:spacing w:after="0" w:line="108" w:lineRule="exact"/>
              <w:rPr>
                <w:sz w:val="20"/>
                <w:szCs w:val="20"/>
                <w:color w:val="auto"/>
              </w:rPr>
            </w:pPr>
            <w:r>
              <w:rPr>
                <w:rFonts w:ascii="Times New Roman" w:cs="Times New Roman" w:eastAsia="Times New Roman" w:hAnsi="Times New Roman"/>
                <w:sz w:val="12"/>
                <w:szCs w:val="12"/>
                <w:b w:val="1"/>
                <w:bCs w:val="1"/>
                <w:color w:val="auto"/>
              </w:rPr>
              <w:t>FAAPS</w:t>
            </w:r>
          </w:p>
        </w:tc>
        <w:tc>
          <w:tcPr>
            <w:tcW w:w="660" w:type="dxa"/>
            <w:vAlign w:val="bottom"/>
          </w:tcPr>
          <w:p>
            <w:pPr>
              <w:spacing w:after="0"/>
              <w:rPr>
                <w:sz w:val="9"/>
                <w:szCs w:val="9"/>
                <w:color w:val="auto"/>
              </w:rPr>
            </w:pPr>
          </w:p>
        </w:tc>
        <w:tc>
          <w:tcPr>
            <w:tcW w:w="860" w:type="dxa"/>
            <w:vAlign w:val="bottom"/>
          </w:tcPr>
          <w:p>
            <w:pPr>
              <w:jc w:val="right"/>
              <w:ind w:right="212"/>
              <w:spacing w:after="0" w:line="108" w:lineRule="exact"/>
              <w:rPr>
                <w:sz w:val="20"/>
                <w:szCs w:val="20"/>
                <w:color w:val="auto"/>
              </w:rPr>
            </w:pPr>
            <w:r>
              <w:rPr>
                <w:rFonts w:ascii="Times New Roman" w:cs="Times New Roman" w:eastAsia="Times New Roman" w:hAnsi="Times New Roman"/>
                <w:sz w:val="12"/>
                <w:szCs w:val="12"/>
                <w:color w:val="auto"/>
              </w:rPr>
              <w:t>3</w:t>
            </w:r>
          </w:p>
        </w:tc>
        <w:tc>
          <w:tcPr>
            <w:tcW w:w="62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5</w:t>
            </w:r>
          </w:p>
        </w:tc>
        <w:tc>
          <w:tcPr>
            <w:tcW w:w="300" w:type="dxa"/>
            <w:vAlign w:val="bottom"/>
            <w:vMerge w:val="restart"/>
          </w:tcPr>
          <w:p>
            <w:pPr>
              <w:jc w:val="right"/>
              <w:ind w:right="112"/>
              <w:spacing w:after="0"/>
              <w:rPr>
                <w:sz w:val="20"/>
                <w:szCs w:val="20"/>
                <w:color w:val="auto"/>
              </w:rPr>
            </w:pPr>
            <w:r>
              <w:rPr>
                <w:rFonts w:ascii="Arial" w:cs="Arial" w:eastAsia="Arial" w:hAnsi="Arial"/>
                <w:sz w:val="19"/>
                <w:szCs w:val="19"/>
                <w:color w:val="auto"/>
                <w:w w:val="91"/>
                <w:vertAlign w:val="subscript"/>
              </w:rPr>
              <w:t>)</w:t>
            </w:r>
            <w:r>
              <w:rPr>
                <w:rFonts w:ascii="Arial" w:cs="Arial" w:eastAsia="Arial" w:hAnsi="Arial"/>
                <w:sz w:val="10"/>
                <w:szCs w:val="10"/>
                <w:color w:val="auto"/>
                <w:w w:val="91"/>
              </w:rPr>
              <w:t>(4</w:t>
            </w:r>
          </w:p>
        </w:tc>
        <w:tc>
          <w:tcPr>
            <w:tcW w:w="9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tcBorders>
              <w:right w:val="single" w:sz="8" w:color="auto"/>
            </w:tcBorders>
          </w:tcPr>
          <w:p>
            <w:pPr>
              <w:jc w:val="right"/>
              <w:ind w:right="212"/>
              <w:spacing w:after="0" w:line="108" w:lineRule="exact"/>
              <w:rPr>
                <w:sz w:val="20"/>
                <w:szCs w:val="20"/>
                <w:color w:val="auto"/>
              </w:rPr>
            </w:pPr>
            <w:r>
              <w:rPr>
                <w:rFonts w:ascii="Times New Roman" w:cs="Times New Roman" w:eastAsia="Times New Roman" w:hAnsi="Times New Roman"/>
                <w:sz w:val="12"/>
                <w:szCs w:val="12"/>
                <w:color w:val="auto"/>
              </w:rPr>
              <w:t>9</w:t>
            </w:r>
          </w:p>
        </w:tc>
        <w:tc>
          <w:tcPr>
            <w:tcW w:w="0" w:type="dxa"/>
            <w:vAlign w:val="bottom"/>
          </w:tcPr>
          <w:p>
            <w:pPr>
              <w:spacing w:after="0"/>
              <w:rPr>
                <w:sz w:val="1"/>
                <w:szCs w:val="1"/>
                <w:color w:val="auto"/>
              </w:rPr>
            </w:pPr>
          </w:p>
        </w:tc>
      </w:tr>
      <w:tr>
        <w:trPr>
          <w:trHeight w:val="203"/>
        </w:trPr>
        <w:tc>
          <w:tcPr>
            <w:tcW w:w="22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Chief Development Officer</w:t>
            </w:r>
          </w:p>
        </w:tc>
        <w:tc>
          <w:tcPr>
            <w:tcW w:w="660" w:type="dxa"/>
            <w:vAlign w:val="bottom"/>
          </w:tcPr>
          <w:p>
            <w:pPr>
              <w:jc w:val="right"/>
              <w:ind w:right="67"/>
              <w:spacing w:after="0"/>
              <w:rPr>
                <w:sz w:val="20"/>
                <w:szCs w:val="20"/>
                <w:color w:val="auto"/>
              </w:rPr>
            </w:pPr>
            <w:r>
              <w:rPr>
                <w:rFonts w:ascii="Times New Roman" w:cs="Times New Roman" w:eastAsia="Times New Roman" w:hAnsi="Times New Roman"/>
                <w:sz w:val="14"/>
                <w:szCs w:val="14"/>
                <w:color w:val="auto"/>
              </w:rPr>
              <w:t>2024</w:t>
            </w:r>
          </w:p>
        </w:tc>
        <w:tc>
          <w:tcPr>
            <w:tcW w:w="86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440,58</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167,42</w:t>
            </w:r>
          </w:p>
        </w:tc>
        <w:tc>
          <w:tcPr>
            <w:tcW w:w="300" w:type="dxa"/>
            <w:vAlign w:val="bottom"/>
            <w:vMerge w:val="continue"/>
          </w:tcPr>
          <w:p>
            <w:pPr>
              <w:spacing w:after="0"/>
              <w:rPr>
                <w:sz w:val="17"/>
                <w:szCs w:val="17"/>
                <w:color w:val="auto"/>
              </w:rPr>
            </w:pPr>
          </w:p>
        </w:tc>
        <w:tc>
          <w:tcPr>
            <w:tcW w:w="900" w:type="dxa"/>
            <w:vAlign w:val="bottom"/>
          </w:tcPr>
          <w:p>
            <w:pPr>
              <w:jc w:val="right"/>
              <w:ind w:right="187"/>
              <w:spacing w:after="0"/>
              <w:rPr>
                <w:sz w:val="20"/>
                <w:szCs w:val="20"/>
                <w:color w:val="auto"/>
              </w:rPr>
            </w:pPr>
            <w:r>
              <w:rPr>
                <w:rFonts w:ascii="Times New Roman" w:cs="Times New Roman" w:eastAsia="Times New Roman" w:hAnsi="Times New Roman"/>
                <w:sz w:val="14"/>
                <w:szCs w:val="14"/>
                <w:color w:val="auto"/>
              </w:rPr>
              <w:t>94,725</w:t>
            </w:r>
          </w:p>
        </w:tc>
        <w:tc>
          <w:tcPr>
            <w:tcW w:w="10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451,737</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10,660</w:t>
            </w:r>
          </w:p>
        </w:tc>
        <w:tc>
          <w:tcPr>
            <w:tcW w:w="520" w:type="dxa"/>
            <w:vAlign w:val="bottom"/>
          </w:tcPr>
          <w:p>
            <w:pPr>
              <w:jc w:val="right"/>
              <w:ind w:right="312"/>
              <w:spacing w:after="0"/>
              <w:rPr>
                <w:sz w:val="20"/>
                <w:szCs w:val="20"/>
                <w:color w:val="auto"/>
              </w:rPr>
            </w:pPr>
            <w:r>
              <w:rPr>
                <w:rFonts w:ascii="Times New Roman" w:cs="Times New Roman" w:eastAsia="Times New Roman" w:hAnsi="Times New Roman"/>
                <w:sz w:val="10"/>
                <w:szCs w:val="10"/>
                <w:color w:val="auto"/>
              </w:rPr>
              <w:t>(9)</w:t>
            </w:r>
          </w:p>
        </w:tc>
        <w:tc>
          <w:tcPr>
            <w:tcW w:w="940" w:type="dxa"/>
            <w:vAlign w:val="bottom"/>
            <w:tcBorders>
              <w:right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rPr>
              <w:t>1,165,12</w:t>
            </w:r>
          </w:p>
        </w:tc>
        <w:tc>
          <w:tcPr>
            <w:tcW w:w="0" w:type="dxa"/>
            <w:vAlign w:val="bottom"/>
          </w:tcPr>
          <w:p>
            <w:pPr>
              <w:spacing w:after="0"/>
              <w:rPr>
                <w:sz w:val="1"/>
                <w:szCs w:val="1"/>
                <w:color w:val="auto"/>
              </w:rPr>
            </w:pPr>
          </w:p>
        </w:tc>
      </w:tr>
      <w:tr>
        <w:trPr>
          <w:trHeight w:val="108"/>
        </w:trPr>
        <w:tc>
          <w:tcPr>
            <w:tcW w:w="2260" w:type="dxa"/>
            <w:vAlign w:val="bottom"/>
            <w:tcBorders>
              <w:left w:val="single" w:sz="8" w:color="auto"/>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ind w:right="212"/>
              <w:spacing w:after="0" w:line="108" w:lineRule="exact"/>
              <w:rPr>
                <w:sz w:val="20"/>
                <w:szCs w:val="20"/>
                <w:color w:val="auto"/>
              </w:rPr>
            </w:pPr>
            <w:r>
              <w:rPr>
                <w:rFonts w:ascii="Times New Roman" w:cs="Times New Roman" w:eastAsia="Times New Roman" w:hAnsi="Times New Roman"/>
                <w:sz w:val="12"/>
                <w:szCs w:val="12"/>
                <w:color w:val="auto"/>
              </w:rPr>
              <w:t>3</w:t>
            </w:r>
          </w:p>
        </w:tc>
        <w:tc>
          <w:tcPr>
            <w:tcW w:w="62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2"/>
                <w:szCs w:val="12"/>
                <w:color w:val="auto"/>
              </w:rPr>
              <w:t>1</w:t>
            </w:r>
          </w:p>
        </w:tc>
        <w:tc>
          <w:tcPr>
            <w:tcW w:w="3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940" w:type="dxa"/>
            <w:vAlign w:val="bottom"/>
            <w:tcBorders>
              <w:bottom w:val="single" w:sz="8" w:color="auto"/>
              <w:right w:val="single" w:sz="8" w:color="auto"/>
            </w:tcBorders>
          </w:tcPr>
          <w:p>
            <w:pPr>
              <w:jc w:val="right"/>
              <w:ind w:right="212"/>
              <w:spacing w:after="0" w:line="108" w:lineRule="exact"/>
              <w:rPr>
                <w:sz w:val="20"/>
                <w:szCs w:val="20"/>
                <w:color w:val="auto"/>
              </w:rPr>
            </w:pP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-1216660</wp:posOffset>
            </wp:positionV>
            <wp:extent cx="617220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172200" cy="34290"/>
                    </a:xfrm>
                    <a:prstGeom prst="rect">
                      <a:avLst/>
                    </a:prstGeom>
                    <a:noFill/>
                  </pic:spPr>
                </pic:pic>
              </a:graphicData>
            </a:graphic>
          </wp:anchor>
        </w:drawing>
        <w:drawing>
          <wp:anchor simplePos="0" relativeHeight="251657728" behindDoc="1" locked="0" layoutInCell="0" allowOverlap="1">
            <wp:simplePos x="0" y="0"/>
            <wp:positionH relativeFrom="column">
              <wp:posOffset>1433830</wp:posOffset>
            </wp:positionH>
            <wp:positionV relativeFrom="paragraph">
              <wp:posOffset>-993775</wp:posOffset>
            </wp:positionV>
            <wp:extent cx="474027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74027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-796290</wp:posOffset>
            </wp:positionV>
            <wp:extent cx="61722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1433830</wp:posOffset>
            </wp:positionH>
            <wp:positionV relativeFrom="paragraph">
              <wp:posOffset>-599440</wp:posOffset>
            </wp:positionV>
            <wp:extent cx="474027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74027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-401955</wp:posOffset>
            </wp:positionV>
            <wp:extent cx="61722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1433830</wp:posOffset>
            </wp:positionH>
            <wp:positionV relativeFrom="paragraph">
              <wp:posOffset>-205105</wp:posOffset>
            </wp:positionV>
            <wp:extent cx="474027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740275" cy="8890"/>
                    </a:xfrm>
                    <a:prstGeom prst="rect">
                      <a:avLst/>
                    </a:prstGeom>
                    <a:noFill/>
                  </pic:spPr>
                </pic:pic>
              </a:graphicData>
            </a:graphic>
          </wp:anchor>
        </w:drawing>
      </w:r>
    </w:p>
    <w:p>
      <w:pPr>
        <w:spacing w:after="0" w:line="178" w:lineRule="exact"/>
        <w:rPr>
          <w:sz w:val="20"/>
          <w:szCs w:val="20"/>
          <w:color w:val="auto"/>
        </w:rPr>
      </w:pPr>
    </w:p>
    <w:p>
      <w:pPr>
        <w:jc w:val="both"/>
        <w:ind w:left="660" w:hanging="656"/>
        <w:spacing w:after="0" w:line="253"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grant date fair value of the restricted stock units and stock option awards determined in accordance with the FASB ASC Topic 718, disregarding the effect of estimated forfeitures related to service-based vesting. The assumptions made in these valuations are included in Note 7 of the Notes to the Consolidated Financial Statements included in our 2025 Annual Report. The amounts reported in this column reflect the accounting cost for these awards and do not correspond to the actual economic value that may be received by the NEO upon the exercise of the stock options or any sale of the underlying shares of common stock.</w:t>
      </w:r>
    </w:p>
    <w:p>
      <w:pPr>
        <w:spacing w:after="0" w:line="5" w:lineRule="exact"/>
        <w:rPr>
          <w:rFonts w:ascii="Times New Roman" w:cs="Times New Roman" w:eastAsia="Times New Roman" w:hAnsi="Times New Roman"/>
          <w:sz w:val="18"/>
          <w:szCs w:val="18"/>
          <w:color w:val="auto"/>
        </w:rPr>
      </w:pPr>
    </w:p>
    <w:p>
      <w:pPr>
        <w:ind w:left="660" w:hanging="656"/>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paid in February 2026 based upon 2025 corporate performance, as approved by our Compensation Committee or Board, as applicable.</w:t>
      </w:r>
    </w:p>
    <w:p>
      <w:pPr>
        <w:ind w:left="660" w:hanging="656"/>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Company’s contribution to a 401(k) plan, a defined contribution plan, of $14,000 and the value of group term life benefits provided by the Company of $4,953.</w:t>
      </w:r>
    </w:p>
    <w:p>
      <w:pPr>
        <w:ind w:left="660" w:hanging="656"/>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paid in February 2025 based upon 2024 corporate performance, as approved by our Compensation Committee or Board, as applicable.</w:t>
      </w:r>
    </w:p>
    <w:p>
      <w:pPr>
        <w:ind w:left="660" w:hanging="656"/>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Company’s contribution to a 401(k) plan, a defined contribution plan, of $13,800 and the value of group term life benefits provided by the Company of $6,858.</w:t>
      </w:r>
    </w:p>
    <w:p>
      <w:pPr>
        <w:ind w:left="660" w:hanging="656"/>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Company’s contribution to a 401(k) plan, a defined contribution plan, of $14,000 and the value of group term life benefits provided by the Company of $4,276.</w:t>
      </w:r>
    </w:p>
    <w:p>
      <w:pPr>
        <w:ind w:left="660" w:hanging="656"/>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Company’s contribution to a 401(k) plan, a defined contribution plan, of $10,520 and the value of group term life benefits provided by the Company of $5,343.</w:t>
      </w:r>
    </w:p>
    <w:p>
      <w:pPr>
        <w:ind w:left="660" w:hanging="656"/>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Company’s contribution to a 401(k) plan, a defined contribution plan, of $14,000 and the value of group term life benefits provided by the Company of $2,043.</w:t>
      </w:r>
    </w:p>
    <w:p>
      <w:pPr>
        <w:ind w:left="660" w:hanging="656"/>
        <w:spacing w:after="0" w:line="26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Company’s contribution to a 401(k) plan, a defined contribution plan, of $9,625 and the value of group term life benefits provided by the Company of $1,035.</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35" w:name="page36"/>
    <w:bookmarkEnd w:id="35"/>
    <w:p>
      <w:pPr>
        <w:ind w:left="100"/>
        <w:spacing w:after="0"/>
        <w:rPr>
          <w:sz w:val="20"/>
          <w:szCs w:val="20"/>
          <w:color w:val="auto"/>
        </w:rPr>
      </w:pPr>
      <w:r>
        <w:rPr>
          <w:rFonts w:ascii="Times New Roman" w:cs="Times New Roman" w:eastAsia="Times New Roman" w:hAnsi="Times New Roman"/>
          <w:sz w:val="22"/>
          <w:szCs w:val="22"/>
          <w:b w:val="1"/>
          <w:bCs w:val="1"/>
          <w:color w:val="auto"/>
        </w:rPr>
        <w:t>EXECUTIVE COMPENSATION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2025 SUMMARY COMPENSATION TABLE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describes the material factors necessary to understand the compensation disclosed in the Summary Compensation Table above. NEO compensation generally consists of base salary, annual cash bonus opportunities, long term incentive compensation in the form of equity awards and other benefits, as described below.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base salary payable to each NEO is intended to provide a fixed component of compensation reflecting the executive’s skill set, experience, role, responsibilities, and contributions.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2025, our Compensation Committee or Board, as applicable, approved increases to base salaries for Dr. Ben-Maimon, Mr. Celano and Dr. Shankar based on factors evaluated by the Compensation Committee, including performance and reference to the third-party market compensation data provided by our compensation consultant, as necessary to be competitive with our peer group. For 2025, the annual base salary rates for Dr. Ben-Maimon, Mr. Celano and Dr. Shankar, and the changes from their 2024 salaries, were as follows:</w:t>
      </w:r>
    </w:p>
    <w:p>
      <w:pPr>
        <w:spacing w:after="0" w:line="8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540" w:type="dxa"/>
            <w:vAlign w:val="bottom"/>
            <w:tcBorders>
              <w:top w:val="single" w:sz="8" w:color="auto"/>
              <w:left w:val="single" w:sz="8" w:color="auto"/>
              <w:right w:val="single" w:sz="8" w:color="auto"/>
            </w:tcBorders>
            <w:shd w:val="clear" w:color="auto" w:fill="4DC1E4"/>
          </w:tcPr>
          <w:p>
            <w:pPr>
              <w:spacing w:after="0"/>
              <w:rPr>
                <w:sz w:val="18"/>
                <w:szCs w:val="18"/>
                <w:color w:val="auto"/>
              </w:rPr>
            </w:pPr>
          </w:p>
        </w:tc>
        <w:tc>
          <w:tcPr>
            <w:tcW w:w="960" w:type="dxa"/>
            <w:vAlign w:val="bottom"/>
            <w:tcBorders>
              <w:top w:val="single" w:sz="8" w:color="auto"/>
            </w:tcBorders>
            <w:shd w:val="clear" w:color="auto" w:fill="4DC1E4"/>
          </w:tcPr>
          <w:p>
            <w:pPr>
              <w:spacing w:after="0"/>
              <w:rPr>
                <w:sz w:val="18"/>
                <w:szCs w:val="18"/>
                <w:color w:val="auto"/>
              </w:rPr>
            </w:pPr>
          </w:p>
        </w:tc>
        <w:tc>
          <w:tcPr>
            <w:tcW w:w="1420" w:type="dxa"/>
            <w:vAlign w:val="bottom"/>
            <w:tcBorders>
              <w:top w:val="single" w:sz="8" w:color="auto"/>
              <w:right w:val="single" w:sz="8" w:color="auto"/>
            </w:tcBorders>
            <w:shd w:val="clear" w:color="auto" w:fill="4DC1E4"/>
          </w:tcPr>
          <w:p>
            <w:pPr>
              <w:spacing w:after="0"/>
              <w:rPr>
                <w:sz w:val="18"/>
                <w:szCs w:val="18"/>
                <w:color w:val="auto"/>
              </w:rPr>
            </w:pPr>
          </w:p>
        </w:tc>
        <w:tc>
          <w:tcPr>
            <w:tcW w:w="960" w:type="dxa"/>
            <w:vAlign w:val="bottom"/>
            <w:tcBorders>
              <w:top w:val="single" w:sz="8" w:color="auto"/>
            </w:tcBorders>
            <w:shd w:val="clear" w:color="auto" w:fill="4DC1E4"/>
          </w:tcPr>
          <w:p>
            <w:pPr>
              <w:spacing w:after="0"/>
              <w:rPr>
                <w:sz w:val="18"/>
                <w:szCs w:val="18"/>
                <w:color w:val="auto"/>
              </w:rPr>
            </w:pPr>
          </w:p>
        </w:tc>
        <w:tc>
          <w:tcPr>
            <w:tcW w:w="1400" w:type="dxa"/>
            <w:vAlign w:val="bottom"/>
            <w:tcBorders>
              <w:top w:val="single" w:sz="8" w:color="auto"/>
              <w:right w:val="single" w:sz="8" w:color="auto"/>
            </w:tcBorders>
            <w:shd w:val="clear" w:color="auto" w:fill="4DC1E4"/>
          </w:tcPr>
          <w:p>
            <w:pPr>
              <w:spacing w:after="0"/>
              <w:rPr>
                <w:sz w:val="18"/>
                <w:szCs w:val="18"/>
                <w:color w:val="auto"/>
              </w:rPr>
            </w:pPr>
          </w:p>
        </w:tc>
        <w:tc>
          <w:tcPr>
            <w:tcW w:w="2460" w:type="dxa"/>
            <w:vAlign w:val="bottom"/>
            <w:tcBorders>
              <w:top w:val="single" w:sz="8" w:color="auto"/>
              <w:right w:val="single" w:sz="8" w:color="auto"/>
            </w:tcBorders>
            <w:shd w:val="clear" w:color="auto" w:fill="4DC1E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 from 2024 Base</w:t>
            </w:r>
          </w:p>
        </w:tc>
      </w:tr>
      <w:tr>
        <w:trPr>
          <w:trHeight w:val="284"/>
        </w:trPr>
        <w:tc>
          <w:tcPr>
            <w:tcW w:w="2540" w:type="dxa"/>
            <w:vAlign w:val="bottom"/>
            <w:tcBorders>
              <w:left w:val="single" w:sz="8" w:color="auto"/>
              <w:bottom w:val="single" w:sz="8" w:color="4DC1E4"/>
              <w:right w:val="single" w:sz="8" w:color="auto"/>
            </w:tcBorders>
            <w:shd w:val="clear" w:color="auto" w:fill="4DC1E4"/>
          </w:tcPr>
          <w:p>
            <w:pPr>
              <w:ind w:left="10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960" w:type="dxa"/>
            <w:vAlign w:val="bottom"/>
            <w:tcBorders>
              <w:bottom w:val="single" w:sz="8" w:color="4DC1E4"/>
            </w:tcBorders>
            <w:shd w:val="clear" w:color="auto" w:fill="4DC1E4"/>
          </w:tcPr>
          <w:p>
            <w:pPr>
              <w:spacing w:after="0"/>
              <w:rPr>
                <w:sz w:val="24"/>
                <w:szCs w:val="24"/>
                <w:color w:val="auto"/>
              </w:rPr>
            </w:pPr>
          </w:p>
        </w:tc>
        <w:tc>
          <w:tcPr>
            <w:tcW w:w="1420" w:type="dxa"/>
            <w:vAlign w:val="bottom"/>
            <w:tcBorders>
              <w:bottom w:val="single" w:sz="8" w:color="4DC1E4"/>
              <w:right w:val="single" w:sz="8" w:color="auto"/>
            </w:tcBorders>
            <w:shd w:val="clear" w:color="auto" w:fill="4DC1E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60" w:type="dxa"/>
            <w:vAlign w:val="bottom"/>
            <w:tcBorders>
              <w:bottom w:val="single" w:sz="8" w:color="4DC1E4"/>
            </w:tcBorders>
            <w:shd w:val="clear" w:color="auto" w:fill="4DC1E4"/>
          </w:tcPr>
          <w:p>
            <w:pPr>
              <w:spacing w:after="0"/>
              <w:rPr>
                <w:sz w:val="24"/>
                <w:szCs w:val="24"/>
                <w:color w:val="auto"/>
              </w:rPr>
            </w:pPr>
          </w:p>
        </w:tc>
        <w:tc>
          <w:tcPr>
            <w:tcW w:w="1400" w:type="dxa"/>
            <w:vAlign w:val="bottom"/>
            <w:tcBorders>
              <w:bottom w:val="single" w:sz="8" w:color="4DC1E4"/>
              <w:right w:val="single" w:sz="8" w:color="auto"/>
            </w:tcBorders>
            <w:shd w:val="clear" w:color="auto" w:fill="4DC1E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60" w:type="dxa"/>
            <w:vAlign w:val="bottom"/>
            <w:tcBorders>
              <w:bottom w:val="single" w:sz="8" w:color="4DC1E4"/>
              <w:right w:val="single" w:sz="8" w:color="auto"/>
            </w:tcBorders>
            <w:shd w:val="clear" w:color="auto" w:fill="4DC1E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Salary (%)</w:t>
            </w:r>
          </w:p>
        </w:tc>
      </w:tr>
      <w:tr>
        <w:trPr>
          <w:trHeight w:val="209"/>
        </w:trPr>
        <w:tc>
          <w:tcPr>
            <w:tcW w:w="254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Carole S. Ben-Maimon, M.D.</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650,000</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600,000</w:t>
            </w:r>
          </w:p>
        </w:tc>
        <w:tc>
          <w:tcPr>
            <w:tcW w:w="2460" w:type="dxa"/>
            <w:vAlign w:val="bottom"/>
            <w:tcBorders>
              <w:top w:val="single" w:sz="8" w:color="auto"/>
              <w:bottom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8%</w:t>
            </w:r>
          </w:p>
        </w:tc>
      </w:tr>
      <w:tr>
        <w:trPr>
          <w:trHeight w:val="210"/>
        </w:trPr>
        <w:tc>
          <w:tcPr>
            <w:tcW w:w="25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Michael Celano</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505,000</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447,000</w:t>
            </w:r>
          </w:p>
        </w:tc>
        <w:tc>
          <w:tcPr>
            <w:tcW w:w="2460" w:type="dxa"/>
            <w:vAlign w:val="bottom"/>
            <w:tcBorders>
              <w:bottom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13%</w:t>
            </w:r>
          </w:p>
        </w:tc>
      </w:tr>
      <w:tr>
        <w:trPr>
          <w:trHeight w:val="191"/>
        </w:trPr>
        <w:tc>
          <w:tcPr>
            <w:tcW w:w="2540" w:type="dxa"/>
            <w:vAlign w:val="bottom"/>
            <w:tcBorders>
              <w:left w:val="single" w:sz="8" w:color="auto"/>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Gopi Shankar, Ph.D., MBA,</w:t>
            </w:r>
          </w:p>
        </w:tc>
        <w:tc>
          <w:tcPr>
            <w:tcW w:w="960" w:type="dxa"/>
            <w:vAlign w:val="bottom"/>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spacing w:after="0"/>
              <w:rPr>
                <w:sz w:val="16"/>
                <w:szCs w:val="16"/>
                <w:color w:val="auto"/>
              </w:rPr>
            </w:pPr>
          </w:p>
        </w:tc>
      </w:tr>
      <w:tr>
        <w:trPr>
          <w:trHeight w:val="234"/>
        </w:trPr>
        <w:tc>
          <w:tcPr>
            <w:tcW w:w="25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FAAPS</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466,003</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440,583</w:t>
            </w:r>
          </w:p>
        </w:tc>
        <w:tc>
          <w:tcPr>
            <w:tcW w:w="2460" w:type="dxa"/>
            <w:vAlign w:val="bottom"/>
            <w:tcBorders>
              <w:bottom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6%</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Performance-Based Cash Bonus Opportunities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of our NEOs’ performance-based cash bonus opportunity is expressed as a percentage of base salary that can be achieved by meeting predetermined corporate and individual performance objectives. Our Compensation Committee annually approves each of the Chief Financial Officer and Chief Medical Officer’s bonus payout for the year, while the Board annually approves, upon recommendation from the Compensation Committee, the CEO’s bonus payout for the year. The performance-based metrics that are a part of our annual cash incentive program enhance the link between pay and performance for the CEO and our other NEOs. In particular, the compensation opportunity under our annual cash program is at risk.</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2025 annual bonuses for Dr. Ben-Maimon, Mr. Celano and Dr. Shankar were targeted at 55%, 40% and 40% of their respective base salaries. For 2025, they were eligible to earn their annual bonuses pursuant to the achievement of corporate performance goals as previously approved by the Board. These corporate goals primarily included certain advancements in our clinical program, achievement of certain regulatory milestones, raising sufficient capital and certain manufacturing and CMC advances. We met our goal of reaffirming the FDA’s willingness to consider use of FXN as novel surrogate endpoint and confirmed our exposure-response analysis exploring the relationship between nomlabofusp exposures and clinical outcome measures is the type that could support our future Biologics License Application (BLA) submission. In addition in 2025, we met our target goals of completing enrollment of greater than 20 adults in our open label study and enrollment of our first adolescent patient. In addition, we met our goal of obtaining FDA input on the safety data needed for our BLA submission, and achieved certain of our goals as they related to raising capital to achieve business objectives. In January 2026, after considering these achievements, the Compensation Committee recommended, and the Board approved, the 2025 corporate goals at an overall achievement level of 86%. Following a review of the achievement level, our Compensation Committee approved, and, in the case of Dr. Ben-Maimon, our Compensation Committee recommended and our Board approved, 2025 annual cash bonus payments to each of Dr. Ben-Maimon, Mr. Celano and Dr. Shankar in an amount equal to 86% of their respective target bonus amounts, totaling $307,450, $173,720 and $160,305, respectively.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 Incentives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and the Board designed the long-term incentive equity opportunity to motivate and reward the Company’s executive officers to achieve multi-year strategic goals and to deliver sustained long-term value to stockholders. Our equity-based incentive awards are also designed to align our interests and the interests of our stockholders with those of our NEOs. Our Board or Compensation Committee, as applicable, approves equity grants.</w:t>
      </w: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36" w:name="page37"/>
    <w:bookmarkEnd w:id="36"/>
    <w:p>
      <w:pPr>
        <w:ind w:left="100"/>
        <w:spacing w:after="0"/>
        <w:rPr>
          <w:sz w:val="20"/>
          <w:szCs w:val="20"/>
          <w:color w:val="auto"/>
        </w:rPr>
      </w:pPr>
      <w:r>
        <w:rPr>
          <w:rFonts w:ascii="Times New Roman" w:cs="Times New Roman" w:eastAsia="Times New Roman" w:hAnsi="Times New Roman"/>
          <w:sz w:val="22"/>
          <w:szCs w:val="22"/>
          <w:b w:val="1"/>
          <w:bCs w:val="1"/>
          <w:color w:val="auto"/>
        </w:rPr>
        <w:t>EXECUTIVE COMPENSATION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Consistent with what we believe to be the prevailing market practice for companies in our industry at our stage of development, we have historically used stock options and RSUs to compensate our NEOs in the form of initial new hire grants in connection with the commencement of employment, and thereafter on an annual basis in connection with our annual executive compensation reviews. The Compensation Committee and the Board structured the mix of equity vehicles and the relative weight assigned to each type of award for the following reasons: 1) to motivate stock price appreciation over the long term through stock options, which deliver value only if the stock price increases, and 2) to ensure some amount of value delivery through the RSUs, which were complementary because they have upside potential but deliver some value even during periods of stock price underperformance, while also reinforcing an ownership culture and commitment to the Company.</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2025, our Compensation Committee, or Board, as applicable, granted PSUs to our NEOs as discussed further below. Also, in January 2025, following a review of the achievement level of our 2024 corporate goals and objectives, our Compensation Committee approved, and, in the case of Dr. Ben-Maimon, our Compensation Committee recommended and our Board approved, equity awards to each of Dr. Ben-Maimon, Mr. Celano and Dr. Shankar.</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Compensation Committee’s executive equity award strategy for 2025 focused on providing a market competitive number of stock options, PSUs and RSUs, with the majority of equity awards provided in stock options to ensure that our executives are aligned with stockholder value creation and to ensure that the program reflects pay for performance. The target mix for the value of the annual equity grants was approximately 75% stock options and 25% RSUs. The PSUs granted to our NEOs will vest in connection with specific performance milestones.</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2025, our Compensation Committee approved, and, in the case of Dr. Ben-Maimon, our Compensation Committee recommended and our Board approved, the following equity grants for each of our NEOs: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000" w:type="dxa"/>
            <w:vAlign w:val="bottom"/>
            <w:tcBorders>
              <w:top w:val="single" w:sz="8" w:color="auto"/>
              <w:left w:val="single" w:sz="8" w:color="auto"/>
              <w:right w:val="single" w:sz="8" w:color="auto"/>
            </w:tcBorders>
            <w:shd w:val="clear" w:color="auto" w:fill="4DC1E4"/>
          </w:tcPr>
          <w:p>
            <w:pPr>
              <w:spacing w:after="0"/>
              <w:rPr>
                <w:sz w:val="18"/>
                <w:szCs w:val="18"/>
                <w:color w:val="auto"/>
              </w:rPr>
            </w:pPr>
          </w:p>
        </w:tc>
        <w:tc>
          <w:tcPr>
            <w:tcW w:w="2220" w:type="dxa"/>
            <w:vAlign w:val="bottom"/>
            <w:tcBorders>
              <w:top w:val="single" w:sz="8" w:color="auto"/>
              <w:right w:val="single" w:sz="8" w:color="auto"/>
            </w:tcBorders>
            <w:shd w:val="clear" w:color="auto" w:fill="4DC1E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Stock Options - Number</w:t>
            </w:r>
          </w:p>
        </w:tc>
        <w:tc>
          <w:tcPr>
            <w:tcW w:w="2240" w:type="dxa"/>
            <w:vAlign w:val="bottom"/>
            <w:tcBorders>
              <w:top w:val="single" w:sz="8" w:color="auto"/>
              <w:right w:val="single" w:sz="8" w:color="auto"/>
            </w:tcBorders>
            <w:shd w:val="clear" w:color="auto" w:fill="4DC1E4"/>
          </w:tcPr>
          <w:p>
            <w:pPr>
              <w:ind w:left="180"/>
              <w:spacing w:after="0"/>
              <w:rPr>
                <w:sz w:val="20"/>
                <w:szCs w:val="20"/>
                <w:color w:val="auto"/>
              </w:rPr>
            </w:pPr>
            <w:r>
              <w:rPr>
                <w:rFonts w:ascii="Times New Roman" w:cs="Times New Roman" w:eastAsia="Times New Roman" w:hAnsi="Times New Roman"/>
                <w:sz w:val="18"/>
                <w:szCs w:val="18"/>
                <w:b w:val="1"/>
                <w:bCs w:val="1"/>
                <w:color w:val="auto"/>
              </w:rPr>
              <w:t>RSUs - Number of Shares</w:t>
            </w:r>
          </w:p>
        </w:tc>
        <w:tc>
          <w:tcPr>
            <w:tcW w:w="2280" w:type="dxa"/>
            <w:vAlign w:val="bottom"/>
            <w:tcBorders>
              <w:top w:val="single" w:sz="8" w:color="auto"/>
              <w:right w:val="single" w:sz="8" w:color="auto"/>
            </w:tcBorders>
            <w:shd w:val="clear" w:color="auto" w:fill="4DC1E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PSUs - Number of Shares</w:t>
            </w:r>
          </w:p>
        </w:tc>
      </w:tr>
      <w:tr>
        <w:trPr>
          <w:trHeight w:val="284"/>
        </w:trPr>
        <w:tc>
          <w:tcPr>
            <w:tcW w:w="3000" w:type="dxa"/>
            <w:vAlign w:val="bottom"/>
            <w:tcBorders>
              <w:left w:val="single" w:sz="8" w:color="auto"/>
              <w:bottom w:val="single" w:sz="8" w:color="4DC1E4"/>
              <w:right w:val="single" w:sz="8" w:color="auto"/>
            </w:tcBorders>
            <w:shd w:val="clear" w:color="auto" w:fill="4DC1E4"/>
          </w:tcPr>
          <w:p>
            <w:pPr>
              <w:ind w:left="12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20" w:type="dxa"/>
            <w:vAlign w:val="bottom"/>
            <w:tcBorders>
              <w:bottom w:val="single" w:sz="8" w:color="4DC1E4"/>
              <w:right w:val="single" w:sz="8" w:color="auto"/>
            </w:tcBorders>
            <w:shd w:val="clear" w:color="auto" w:fill="4DC1E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of Shares (#)</w:t>
            </w:r>
          </w:p>
        </w:tc>
        <w:tc>
          <w:tcPr>
            <w:tcW w:w="2240" w:type="dxa"/>
            <w:vAlign w:val="bottom"/>
            <w:tcBorders>
              <w:bottom w:val="single" w:sz="8" w:color="4DC1E4"/>
              <w:right w:val="single" w:sz="8" w:color="auto"/>
            </w:tcBorders>
            <w:shd w:val="clear" w:color="auto" w:fill="4DC1E4"/>
          </w:tcPr>
          <w:p>
            <w:pPr>
              <w:ind w:left="1080"/>
              <w:spacing w:after="0"/>
              <w:rPr>
                <w:sz w:val="20"/>
                <w:szCs w:val="20"/>
                <w:color w:val="auto"/>
              </w:rPr>
            </w:pPr>
            <w:r>
              <w:rPr>
                <w:rFonts w:ascii="Times New Roman" w:cs="Times New Roman" w:eastAsia="Times New Roman" w:hAnsi="Times New Roman"/>
                <w:sz w:val="18"/>
                <w:szCs w:val="18"/>
                <w:b w:val="1"/>
                <w:bCs w:val="1"/>
                <w:color w:val="auto"/>
              </w:rPr>
              <w:t>(#)</w:t>
            </w:r>
          </w:p>
        </w:tc>
        <w:tc>
          <w:tcPr>
            <w:tcW w:w="2280" w:type="dxa"/>
            <w:vAlign w:val="bottom"/>
            <w:tcBorders>
              <w:bottom w:val="single" w:sz="8" w:color="4DC1E4"/>
              <w:right w:val="single" w:sz="8" w:color="auto"/>
            </w:tcBorders>
            <w:shd w:val="clear" w:color="auto" w:fill="4DC1E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300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Carole S. Ben-Maimon, M.D.</w:t>
            </w:r>
          </w:p>
        </w:tc>
        <w:tc>
          <w:tcPr>
            <w:tcW w:w="2220" w:type="dxa"/>
            <w:vAlign w:val="bottom"/>
            <w:tcBorders>
              <w:top w:val="single" w:sz="8" w:color="auto"/>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546,000</w:t>
            </w:r>
          </w:p>
        </w:tc>
        <w:tc>
          <w:tcPr>
            <w:tcW w:w="2240" w:type="dxa"/>
            <w:vAlign w:val="bottom"/>
            <w:tcBorders>
              <w:top w:val="single" w:sz="8" w:color="auto"/>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91,000</w:t>
            </w:r>
          </w:p>
        </w:tc>
        <w:tc>
          <w:tcPr>
            <w:tcW w:w="2280" w:type="dxa"/>
            <w:vAlign w:val="bottom"/>
            <w:tcBorders>
              <w:top w:val="single" w:sz="8" w:color="auto"/>
              <w:bottom w:val="single" w:sz="8" w:color="auto"/>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100,000</w:t>
            </w:r>
          </w:p>
        </w:tc>
      </w:tr>
      <w:tr>
        <w:trPr>
          <w:trHeight w:val="210"/>
        </w:trPr>
        <w:tc>
          <w:tcPr>
            <w:tcW w:w="30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Michael Celano</w:t>
            </w:r>
          </w:p>
        </w:tc>
        <w:tc>
          <w:tcPr>
            <w:tcW w:w="222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205,111</w:t>
            </w:r>
          </w:p>
        </w:tc>
        <w:tc>
          <w:tcPr>
            <w:tcW w:w="224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34,185</w:t>
            </w:r>
          </w:p>
        </w:tc>
        <w:tc>
          <w:tcPr>
            <w:tcW w:w="2280" w:type="dxa"/>
            <w:vAlign w:val="bottom"/>
            <w:tcBorders>
              <w:bottom w:val="single" w:sz="8" w:color="auto"/>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50,000</w:t>
            </w:r>
          </w:p>
        </w:tc>
      </w:tr>
      <w:tr>
        <w:trPr>
          <w:trHeight w:val="209"/>
        </w:trPr>
        <w:tc>
          <w:tcPr>
            <w:tcW w:w="30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Gopi Shankar, Ph.D., MBA, FAAPS</w:t>
            </w:r>
          </w:p>
        </w:tc>
        <w:tc>
          <w:tcPr>
            <w:tcW w:w="222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139,838</w:t>
            </w:r>
          </w:p>
        </w:tc>
        <w:tc>
          <w:tcPr>
            <w:tcW w:w="224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23,306</w:t>
            </w:r>
          </w:p>
        </w:tc>
        <w:tc>
          <w:tcPr>
            <w:tcW w:w="2280" w:type="dxa"/>
            <w:vAlign w:val="bottom"/>
            <w:tcBorders>
              <w:bottom w:val="single" w:sz="8" w:color="auto"/>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25,000</w:t>
            </w:r>
          </w:p>
        </w:tc>
      </w:tr>
    </w:tbl>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Compensation Committee’s view, stock options are inherently performance-based, requiring stock price appreciation before there is any value earned, and are a direct and straightforward means of incentivizing our NEOs. In addition, stock options reward our NEOs for increasing stockholder value over the lengthier term of the option, relative to other forms of equity compensation, which we believe aligns well with the biopharmaceutical development cycle which extends for a number of years. Each of the option awards will vest 25% on the first anniversary of the grant date, with the remaining 75% vesting in equal monthly installments on the last day of each of the 36 calendar months immediately following such date, subject to the grantee’s continued service through the applicable vesting dates.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RSUs vest in four equal annual installments beginning on the first anniversary of the grant date, subject to the grantee’s continued service through the applicable vesting dates.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PSUs vest pursuant to the successful achievement of two regulatory milestones (each a "Performance Milestone"): (i) the FDA accepts by December 31, 2026, the filing of a Biologics License Application ("BLA") for accelerated approval of nomlabofusp and (ii) the FDA approves our nomlabofusp (CTI-1601) therapy within 12 months of BLA acceptance. Upon the achievement of the first Performance Milestone, 20% of the PSU award will become subject to the vesting terms described below. Upon achievement of the second Performance Milestone, the remaining 80% of the PSU award will become subject to the vesting terms described below. With respect to each Performance Milestone set forth above, upon the Compensation Committee’s determination that the applicable Performance Milestone has been achieved, 50% of the percentage of the Performance-Based Restricted Stock Unit Award subject to such Performance Milestone will vest (the date of such determination, the “Achievement Determination Date”). The remaining 50% of the percentage of the PSU award will vest on the first anniversary of the Achievement Determination Date subject to the grantee’s continued service to the Company. If the first Performance Milestone set forth above is not achieved by December 31, 2026, then the full PSU award will be forfeited.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Benefits and Compensation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currently provide broad-based welfare benefits that are available to all our employees, including our NEOs, including health, dental, life, vision and disability insurance. We maintain a 401(k) plan and our NEOs are eligible to participate in that plan on the</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37" w:name="page38"/>
    <w:bookmarkEnd w:id="37"/>
    <w:p>
      <w:pPr>
        <w:ind w:left="100"/>
        <w:spacing w:after="0"/>
        <w:rPr>
          <w:sz w:val="20"/>
          <w:szCs w:val="20"/>
          <w:color w:val="auto"/>
        </w:rPr>
      </w:pPr>
      <w:r>
        <w:rPr>
          <w:rFonts w:ascii="Times New Roman" w:cs="Times New Roman" w:eastAsia="Times New Roman" w:hAnsi="Times New Roman"/>
          <w:sz w:val="22"/>
          <w:szCs w:val="22"/>
          <w:b w:val="1"/>
          <w:bCs w:val="1"/>
          <w:color w:val="auto"/>
        </w:rPr>
        <w:t>EXECUTIVE COMPENSATION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6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same terms as our other employees generally. These benefits represent a relatively small portion of the total compensation of our NEOs.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maintain any defined benefit pension plans or nonqualified deferred compensation plans. We do not provide any perquisites to our NEOs.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PLEDGING AND HEDGING POLICIES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terms of our Insider Trading Policy, our executive officers and directors are prohibited from: trading in call or put options involving our securities and other derivative securities; engaging in short sales of our securities; holding our securities in a margin account, all forms of hedging or monetizing our transactions, such as zero-cost collars and forward sale contracts and pledging company securities to secure margin or other loans.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September 2023, we adopted a policy for recoupment of incentive compensation (the “Clawback Policy”) in compliance with the requirements of the Dodd-Frank Act, final SEC rules and applicable Nasdaq listing standards (the “final clawback rules”), which covers our current and former executive officers, including all of our NEOs. Under the Clawback Policy, in the event that we are required to prepare a restatement of our previously issued financial statements due to our material noncompliance with any financial reporting requirement under securities laws, we are required to recover (subject to certain limited exceptions described in the Clawback Policy and permitted under the final clawback rules) any cash or equity incentive-based compensation received by any current or former executive officer after the effective date of the Clawback Policy and in the three years prior to the date we are required to restate our financial statements that is in excess of the amount that would have been received based on the restated financial statements.</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38" w:name="page39"/>
    <w:bookmarkEnd w:id="38"/>
    <w:p>
      <w:pPr>
        <w:ind w:left="100"/>
        <w:spacing w:after="0"/>
        <w:rPr>
          <w:sz w:val="20"/>
          <w:szCs w:val="20"/>
          <w:color w:val="auto"/>
        </w:rPr>
      </w:pPr>
      <w:r>
        <w:rPr>
          <w:rFonts w:ascii="Times New Roman" w:cs="Times New Roman" w:eastAsia="Times New Roman" w:hAnsi="Times New Roman"/>
          <w:sz w:val="22"/>
          <w:szCs w:val="22"/>
          <w:b w:val="1"/>
          <w:bCs w:val="1"/>
          <w:color w:val="auto"/>
        </w:rPr>
        <w:t>EXECUTIVE COMPENSATION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2025 YEAR-END</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number of shares of common stock underlying outstanding plan awards held by each of our NEOs as of December 31, 2025:</w:t>
      </w:r>
    </w:p>
    <w:p>
      <w:pPr>
        <w:spacing w:after="0" w:line="157" w:lineRule="exact"/>
        <w:rPr>
          <w:sz w:val="20"/>
          <w:szCs w:val="20"/>
          <w:color w:val="auto"/>
        </w:rPr>
      </w:pPr>
    </w:p>
    <w:tbl>
      <w:tblPr>
        <w:tblLayout w:type="fixed"/>
        <w:tblInd w:w="150" w:type="dxa"/>
        <w:tblCellMar>
          <w:top w:w="0" w:type="dxa"/>
          <w:left w:w="0" w:type="dxa"/>
          <w:bottom w:w="0" w:type="dxa"/>
          <w:right w:w="0" w:type="dxa"/>
        </w:tblCellMar>
      </w:tblPr>
      <w:tr>
        <w:trPr>
          <w:trHeight w:val="203"/>
        </w:trPr>
        <w:tc>
          <w:tcPr>
            <w:tcW w:w="1440" w:type="dxa"/>
            <w:vAlign w:val="bottom"/>
            <w:tcBorders>
              <w:top w:val="single" w:sz="8" w:color="auto"/>
              <w:left w:val="single" w:sz="8" w:color="auto"/>
              <w:right w:val="single" w:sz="8" w:color="auto"/>
            </w:tcBorders>
            <w:shd w:val="clear" w:color="auto" w:fill="4DC1E4"/>
          </w:tcPr>
          <w:p>
            <w:pPr>
              <w:spacing w:after="0"/>
              <w:rPr>
                <w:sz w:val="17"/>
                <w:szCs w:val="17"/>
                <w:color w:val="auto"/>
              </w:rPr>
            </w:pPr>
          </w:p>
        </w:tc>
        <w:tc>
          <w:tcPr>
            <w:tcW w:w="60" w:type="dxa"/>
            <w:vAlign w:val="bottom"/>
            <w:tcBorders>
              <w:top w:val="single" w:sz="8" w:color="auto"/>
            </w:tcBorders>
            <w:shd w:val="clear" w:color="auto" w:fill="4DC1E4"/>
          </w:tcPr>
          <w:p>
            <w:pPr>
              <w:spacing w:after="0"/>
              <w:rPr>
                <w:sz w:val="17"/>
                <w:szCs w:val="17"/>
                <w:color w:val="auto"/>
              </w:rPr>
            </w:pPr>
          </w:p>
        </w:tc>
        <w:tc>
          <w:tcPr>
            <w:tcW w:w="780" w:type="dxa"/>
            <w:vAlign w:val="bottom"/>
            <w:tcBorders>
              <w:top w:val="single" w:sz="8" w:color="auto"/>
            </w:tcBorders>
            <w:shd w:val="clear" w:color="auto" w:fill="4DC1E4"/>
          </w:tcPr>
          <w:p>
            <w:pPr>
              <w:spacing w:after="0"/>
              <w:rPr>
                <w:sz w:val="17"/>
                <w:szCs w:val="17"/>
                <w:color w:val="auto"/>
              </w:rPr>
            </w:pPr>
          </w:p>
        </w:tc>
        <w:tc>
          <w:tcPr>
            <w:tcW w:w="900" w:type="dxa"/>
            <w:vAlign w:val="bottom"/>
            <w:tcBorders>
              <w:top w:val="single" w:sz="8" w:color="auto"/>
            </w:tcBorders>
            <w:shd w:val="clear" w:color="auto" w:fill="4DC1E4"/>
          </w:tcPr>
          <w:p>
            <w:pPr>
              <w:spacing w:after="0"/>
              <w:rPr>
                <w:sz w:val="17"/>
                <w:szCs w:val="17"/>
                <w:color w:val="auto"/>
              </w:rPr>
            </w:pPr>
          </w:p>
        </w:tc>
        <w:tc>
          <w:tcPr>
            <w:tcW w:w="840" w:type="dxa"/>
            <w:vAlign w:val="bottom"/>
            <w:tcBorders>
              <w:top w:val="single" w:sz="8" w:color="auto"/>
            </w:tcBorders>
            <w:shd w:val="clear" w:color="auto" w:fill="4DC1E4"/>
          </w:tcPr>
          <w:p>
            <w:pPr>
              <w:spacing w:after="0"/>
              <w:rPr>
                <w:sz w:val="17"/>
                <w:szCs w:val="17"/>
                <w:color w:val="auto"/>
              </w:rPr>
            </w:pPr>
          </w:p>
        </w:tc>
        <w:tc>
          <w:tcPr>
            <w:tcW w:w="760" w:type="dxa"/>
            <w:vAlign w:val="bottom"/>
            <w:tcBorders>
              <w:top w:val="single" w:sz="8" w:color="auto"/>
            </w:tcBorders>
            <w:shd w:val="clear" w:color="auto" w:fill="4DC1E4"/>
          </w:tcPr>
          <w:p>
            <w:pPr>
              <w:spacing w:after="0"/>
              <w:rPr>
                <w:sz w:val="17"/>
                <w:szCs w:val="17"/>
                <w:color w:val="auto"/>
              </w:rPr>
            </w:pPr>
          </w:p>
        </w:tc>
        <w:tc>
          <w:tcPr>
            <w:tcW w:w="860" w:type="dxa"/>
            <w:vAlign w:val="bottom"/>
            <w:tcBorders>
              <w:top w:val="single" w:sz="8" w:color="auto"/>
              <w:right w:val="single" w:sz="8" w:color="auto"/>
            </w:tcBorders>
            <w:shd w:val="clear" w:color="auto" w:fill="4DC1E4"/>
          </w:tcPr>
          <w:p>
            <w:pPr>
              <w:spacing w:after="0"/>
              <w:rPr>
                <w:sz w:val="17"/>
                <w:szCs w:val="17"/>
                <w:color w:val="auto"/>
              </w:rPr>
            </w:pPr>
          </w:p>
        </w:tc>
        <w:tc>
          <w:tcPr>
            <w:tcW w:w="1860" w:type="dxa"/>
            <w:vAlign w:val="bottom"/>
            <w:tcBorders>
              <w:top w:val="single" w:sz="8" w:color="auto"/>
              <w:right w:val="single" w:sz="8" w:color="auto"/>
            </w:tcBorders>
            <w:gridSpan w:val="2"/>
            <w:shd w:val="clear" w:color="auto" w:fill="4DC1E4"/>
          </w:tcPr>
          <w:p>
            <w:pPr>
              <w:jc w:val="right"/>
              <w:ind w:right="187"/>
              <w:spacing w:after="0"/>
              <w:rPr>
                <w:sz w:val="20"/>
                <w:szCs w:val="20"/>
                <w:color w:val="auto"/>
              </w:rPr>
            </w:pPr>
            <w:r>
              <w:rPr>
                <w:rFonts w:ascii="Times New Roman" w:cs="Times New Roman" w:eastAsia="Times New Roman" w:hAnsi="Times New Roman"/>
                <w:sz w:val="13"/>
                <w:szCs w:val="13"/>
                <w:b w:val="1"/>
                <w:bCs w:val="1"/>
                <w:color w:val="FFFFFF"/>
              </w:rPr>
              <w:t xml:space="preserve">RESTRICTED </w:t>
            </w:r>
            <w:r>
              <w:rPr>
                <w:rFonts w:ascii="Times New Roman" w:cs="Times New Roman" w:eastAsia="Times New Roman" w:hAnsi="Times New Roman"/>
                <w:sz w:val="16"/>
                <w:szCs w:val="16"/>
                <w:b w:val="1"/>
                <w:bCs w:val="1"/>
                <w:color w:val="FFFFFF"/>
              </w:rPr>
              <w:t>S</w:t>
            </w:r>
            <w:r>
              <w:rPr>
                <w:rFonts w:ascii="Times New Roman" w:cs="Times New Roman" w:eastAsia="Times New Roman" w:hAnsi="Times New Roman"/>
                <w:sz w:val="13"/>
                <w:szCs w:val="13"/>
                <w:b w:val="1"/>
                <w:bCs w:val="1"/>
                <w:color w:val="FFFFFF"/>
              </w:rPr>
              <w:t>TOCK</w:t>
            </w:r>
          </w:p>
        </w:tc>
        <w:tc>
          <w:tcPr>
            <w:tcW w:w="1940" w:type="dxa"/>
            <w:vAlign w:val="bottom"/>
            <w:tcBorders>
              <w:top w:val="single" w:sz="8" w:color="auto"/>
              <w:right w:val="single" w:sz="8" w:color="auto"/>
            </w:tcBorders>
            <w:gridSpan w:val="2"/>
            <w:shd w:val="clear" w:color="auto" w:fill="4DC1E4"/>
          </w:tcPr>
          <w:p>
            <w:pPr>
              <w:jc w:val="right"/>
              <w:ind w:right="173"/>
              <w:spacing w:after="0"/>
              <w:rPr>
                <w:sz w:val="20"/>
                <w:szCs w:val="20"/>
                <w:color w:val="auto"/>
              </w:rPr>
            </w:pPr>
            <w:r>
              <w:rPr>
                <w:rFonts w:ascii="Times New Roman" w:cs="Times New Roman" w:eastAsia="Times New Roman" w:hAnsi="Times New Roman"/>
                <w:sz w:val="13"/>
                <w:szCs w:val="13"/>
                <w:b w:val="1"/>
                <w:bCs w:val="1"/>
                <w:color w:val="FFFFFF"/>
              </w:rPr>
              <w:t>PERFORMANCE-BASED</w:t>
            </w:r>
          </w:p>
        </w:tc>
        <w:tc>
          <w:tcPr>
            <w:tcW w:w="0" w:type="dxa"/>
            <w:vAlign w:val="bottom"/>
          </w:tcPr>
          <w:p>
            <w:pPr>
              <w:spacing w:after="0"/>
              <w:rPr>
                <w:sz w:val="1"/>
                <w:szCs w:val="1"/>
                <w:color w:val="auto"/>
              </w:rPr>
            </w:pPr>
          </w:p>
        </w:tc>
      </w:tr>
      <w:tr>
        <w:trPr>
          <w:trHeight w:val="240"/>
        </w:trPr>
        <w:tc>
          <w:tcPr>
            <w:tcW w:w="1440" w:type="dxa"/>
            <w:vAlign w:val="bottom"/>
            <w:tcBorders>
              <w:left w:val="single" w:sz="8" w:color="auto"/>
              <w:bottom w:val="single" w:sz="8" w:color="auto"/>
              <w:right w:val="single" w:sz="8" w:color="auto"/>
            </w:tcBorders>
            <w:shd w:val="clear" w:color="auto" w:fill="4DC1E4"/>
          </w:tcPr>
          <w:p>
            <w:pPr>
              <w:spacing w:after="0"/>
              <w:rPr>
                <w:sz w:val="20"/>
                <w:szCs w:val="20"/>
                <w:color w:val="auto"/>
              </w:rPr>
            </w:pPr>
          </w:p>
        </w:tc>
        <w:tc>
          <w:tcPr>
            <w:tcW w:w="60" w:type="dxa"/>
            <w:vAlign w:val="bottom"/>
            <w:tcBorders>
              <w:bottom w:val="single" w:sz="8" w:color="auto"/>
            </w:tcBorders>
            <w:shd w:val="clear" w:color="auto" w:fill="4DC1E4"/>
          </w:tcPr>
          <w:p>
            <w:pPr>
              <w:spacing w:after="0"/>
              <w:rPr>
                <w:sz w:val="20"/>
                <w:szCs w:val="20"/>
                <w:color w:val="auto"/>
              </w:rPr>
            </w:pPr>
          </w:p>
        </w:tc>
        <w:tc>
          <w:tcPr>
            <w:tcW w:w="780" w:type="dxa"/>
            <w:vAlign w:val="bottom"/>
            <w:tcBorders>
              <w:bottom w:val="single" w:sz="8" w:color="auto"/>
            </w:tcBorders>
            <w:shd w:val="clear" w:color="auto" w:fill="4DC1E4"/>
          </w:tcPr>
          <w:p>
            <w:pPr>
              <w:spacing w:after="0"/>
              <w:rPr>
                <w:sz w:val="20"/>
                <w:szCs w:val="20"/>
                <w:color w:val="auto"/>
              </w:rPr>
            </w:pPr>
          </w:p>
        </w:tc>
        <w:tc>
          <w:tcPr>
            <w:tcW w:w="2500" w:type="dxa"/>
            <w:vAlign w:val="bottom"/>
            <w:tcBorders>
              <w:bottom w:val="single" w:sz="8" w:color="auto"/>
            </w:tcBorders>
            <w:gridSpan w:val="3"/>
            <w:shd w:val="clear" w:color="auto" w:fill="4DC1E4"/>
          </w:tcPr>
          <w:p>
            <w:pPr>
              <w:jc w:val="right"/>
              <w:ind w:right="588"/>
              <w:spacing w:after="0"/>
              <w:rPr>
                <w:sz w:val="20"/>
                <w:szCs w:val="20"/>
                <w:color w:val="auto"/>
              </w:rPr>
            </w:pPr>
            <w:r>
              <w:rPr>
                <w:rFonts w:ascii="Times New Roman" w:cs="Times New Roman" w:eastAsia="Times New Roman" w:hAnsi="Times New Roman"/>
                <w:sz w:val="16"/>
                <w:szCs w:val="16"/>
                <w:b w:val="1"/>
                <w:bCs w:val="1"/>
                <w:color w:val="FFFFFF"/>
              </w:rPr>
              <w:t>O</w:t>
            </w:r>
            <w:r>
              <w:rPr>
                <w:rFonts w:ascii="Times New Roman" w:cs="Times New Roman" w:eastAsia="Times New Roman" w:hAnsi="Times New Roman"/>
                <w:sz w:val="12"/>
                <w:szCs w:val="12"/>
                <w:b w:val="1"/>
                <w:bCs w:val="1"/>
                <w:color w:val="FFFFFF"/>
              </w:rPr>
              <w:t>PTION</w:t>
            </w:r>
            <w:r>
              <w:rPr>
                <w:rFonts w:ascii="Times New Roman" w:cs="Times New Roman" w:eastAsia="Times New Roman" w:hAnsi="Times New Roman"/>
                <w:sz w:val="16"/>
                <w:szCs w:val="16"/>
                <w:b w:val="1"/>
                <w:bCs w:val="1"/>
                <w:color w:val="FFFFFF"/>
              </w:rPr>
              <w:t xml:space="preserve"> A</w:t>
            </w:r>
            <w:r>
              <w:rPr>
                <w:rFonts w:ascii="Times New Roman" w:cs="Times New Roman" w:eastAsia="Times New Roman" w:hAnsi="Times New Roman"/>
                <w:sz w:val="12"/>
                <w:szCs w:val="12"/>
                <w:b w:val="1"/>
                <w:bCs w:val="1"/>
                <w:color w:val="FFFFFF"/>
              </w:rPr>
              <w:t>WARDS</w:t>
            </w:r>
            <w:r>
              <w:rPr>
                <w:rFonts w:ascii="Times New Roman" w:cs="Times New Roman" w:eastAsia="Times New Roman" w:hAnsi="Times New Roman"/>
                <w:sz w:val="16"/>
                <w:szCs w:val="16"/>
                <w:b w:val="1"/>
                <w:bCs w:val="1"/>
                <w:color w:val="FFFFFF"/>
                <w:vertAlign w:val="superscript"/>
              </w:rPr>
              <w:t>(1)</w:t>
            </w:r>
          </w:p>
        </w:tc>
        <w:tc>
          <w:tcPr>
            <w:tcW w:w="860" w:type="dxa"/>
            <w:vAlign w:val="bottom"/>
            <w:tcBorders>
              <w:bottom w:val="single" w:sz="8" w:color="auto"/>
              <w:right w:val="single" w:sz="8" w:color="auto"/>
            </w:tcBorders>
            <w:shd w:val="clear" w:color="auto" w:fill="4DC1E4"/>
          </w:tcPr>
          <w:p>
            <w:pPr>
              <w:spacing w:after="0"/>
              <w:rPr>
                <w:sz w:val="20"/>
                <w:szCs w:val="20"/>
                <w:color w:val="auto"/>
              </w:rPr>
            </w:pPr>
          </w:p>
        </w:tc>
        <w:tc>
          <w:tcPr>
            <w:tcW w:w="1860" w:type="dxa"/>
            <w:vAlign w:val="bottom"/>
            <w:tcBorders>
              <w:bottom w:val="single" w:sz="8" w:color="auto"/>
              <w:right w:val="single" w:sz="8" w:color="auto"/>
            </w:tcBorders>
            <w:gridSpan w:val="2"/>
            <w:shd w:val="clear" w:color="auto" w:fill="4DC1E4"/>
          </w:tcPr>
          <w:p>
            <w:pPr>
              <w:jc w:val="right"/>
              <w:ind w:right="487"/>
              <w:spacing w:after="0"/>
              <w:rPr>
                <w:sz w:val="20"/>
                <w:szCs w:val="20"/>
                <w:color w:val="auto"/>
              </w:rPr>
            </w:pPr>
            <w:r>
              <w:rPr>
                <w:rFonts w:ascii="Times New Roman" w:cs="Times New Roman" w:eastAsia="Times New Roman" w:hAnsi="Times New Roman"/>
                <w:sz w:val="16"/>
                <w:szCs w:val="16"/>
                <w:b w:val="1"/>
                <w:bCs w:val="1"/>
                <w:color w:val="FFFFFF"/>
              </w:rPr>
              <w:t>A</w:t>
            </w:r>
            <w:r>
              <w:rPr>
                <w:rFonts w:ascii="Times New Roman" w:cs="Times New Roman" w:eastAsia="Times New Roman" w:hAnsi="Times New Roman"/>
                <w:sz w:val="12"/>
                <w:szCs w:val="12"/>
                <w:b w:val="1"/>
                <w:bCs w:val="1"/>
                <w:color w:val="FFFFFF"/>
              </w:rPr>
              <w:t>WARDS</w:t>
            </w:r>
            <w:r>
              <w:rPr>
                <w:rFonts w:ascii="Times New Roman" w:cs="Times New Roman" w:eastAsia="Times New Roman" w:hAnsi="Times New Roman"/>
                <w:sz w:val="16"/>
                <w:szCs w:val="16"/>
                <w:b w:val="1"/>
                <w:bCs w:val="1"/>
                <w:color w:val="FFFFFF"/>
                <w:vertAlign w:val="superscript"/>
              </w:rPr>
              <w:t>(2)</w:t>
            </w:r>
          </w:p>
        </w:tc>
        <w:tc>
          <w:tcPr>
            <w:tcW w:w="1940" w:type="dxa"/>
            <w:vAlign w:val="bottom"/>
            <w:tcBorders>
              <w:bottom w:val="single" w:sz="8" w:color="auto"/>
              <w:right w:val="single" w:sz="8" w:color="auto"/>
            </w:tcBorders>
            <w:gridSpan w:val="2"/>
            <w:shd w:val="clear" w:color="auto" w:fill="4DC1E4"/>
          </w:tcPr>
          <w:p>
            <w:pPr>
              <w:jc w:val="right"/>
              <w:ind w:right="293"/>
              <w:spacing w:after="0"/>
              <w:rPr>
                <w:sz w:val="20"/>
                <w:szCs w:val="20"/>
                <w:color w:val="auto"/>
              </w:rPr>
            </w:pPr>
            <w:r>
              <w:rPr>
                <w:rFonts w:ascii="Times New Roman" w:cs="Times New Roman" w:eastAsia="Times New Roman" w:hAnsi="Times New Roman"/>
                <w:sz w:val="16"/>
                <w:szCs w:val="16"/>
                <w:b w:val="1"/>
                <w:bCs w:val="1"/>
                <w:color w:val="FFFFFF"/>
              </w:rPr>
              <w:t>S</w:t>
            </w:r>
            <w:r>
              <w:rPr>
                <w:rFonts w:ascii="Times New Roman" w:cs="Times New Roman" w:eastAsia="Times New Roman" w:hAnsi="Times New Roman"/>
                <w:sz w:val="12"/>
                <w:szCs w:val="12"/>
                <w:b w:val="1"/>
                <w:bCs w:val="1"/>
                <w:color w:val="FFFFFF"/>
              </w:rPr>
              <w:t>TOCK</w:t>
            </w:r>
            <w:r>
              <w:rPr>
                <w:rFonts w:ascii="Times New Roman" w:cs="Times New Roman" w:eastAsia="Times New Roman" w:hAnsi="Times New Roman"/>
                <w:sz w:val="16"/>
                <w:szCs w:val="16"/>
                <w:b w:val="1"/>
                <w:bCs w:val="1"/>
                <w:color w:val="FFFFFF"/>
              </w:rPr>
              <w:t xml:space="preserve"> A</w:t>
            </w:r>
            <w:r>
              <w:rPr>
                <w:rFonts w:ascii="Times New Roman" w:cs="Times New Roman" w:eastAsia="Times New Roman" w:hAnsi="Times New Roman"/>
                <w:sz w:val="12"/>
                <w:szCs w:val="12"/>
                <w:b w:val="1"/>
                <w:bCs w:val="1"/>
                <w:color w:val="FFFFFF"/>
              </w:rPr>
              <w:t>WARDS</w:t>
            </w:r>
            <w:r>
              <w:rPr>
                <w:rFonts w:ascii="Times New Roman" w:cs="Times New Roman" w:eastAsia="Times New Roman" w:hAnsi="Times New Roman"/>
                <w:sz w:val="16"/>
                <w:szCs w:val="16"/>
                <w:b w:val="1"/>
                <w:bCs w:val="1"/>
                <w:color w:val="FFFFFF"/>
                <w:vertAlign w:val="superscript"/>
              </w:rPr>
              <w:t>(3)</w:t>
            </w:r>
          </w:p>
        </w:tc>
        <w:tc>
          <w:tcPr>
            <w:tcW w:w="0" w:type="dxa"/>
            <w:vAlign w:val="bottom"/>
          </w:tcPr>
          <w:p>
            <w:pPr>
              <w:spacing w:after="0"/>
              <w:rPr>
                <w:sz w:val="1"/>
                <w:szCs w:val="1"/>
                <w:color w:val="auto"/>
              </w:rPr>
            </w:pPr>
          </w:p>
        </w:tc>
      </w:tr>
      <w:tr>
        <w:trPr>
          <w:trHeight w:val="125"/>
        </w:trPr>
        <w:tc>
          <w:tcPr>
            <w:tcW w:w="1440" w:type="dxa"/>
            <w:vAlign w:val="bottom"/>
            <w:tcBorders>
              <w:top w:val="single" w:sz="8" w:color="auto"/>
              <w:left w:val="single" w:sz="8" w:color="auto"/>
              <w:right w:val="single" w:sz="8" w:color="auto"/>
            </w:tcBorders>
            <w:shd w:val="clear" w:color="auto" w:fill="4DC1E4"/>
          </w:tcPr>
          <w:p>
            <w:pPr>
              <w:spacing w:after="0"/>
              <w:rPr>
                <w:sz w:val="10"/>
                <w:szCs w:val="10"/>
                <w:color w:val="auto"/>
              </w:rPr>
            </w:pPr>
          </w:p>
        </w:tc>
        <w:tc>
          <w:tcPr>
            <w:tcW w:w="60" w:type="dxa"/>
            <w:vAlign w:val="bottom"/>
            <w:tcBorders>
              <w:top w:val="single" w:sz="8" w:color="4DC1E4"/>
            </w:tcBorders>
            <w:shd w:val="clear" w:color="auto" w:fill="4DC1E4"/>
          </w:tcPr>
          <w:p>
            <w:pPr>
              <w:spacing w:after="0"/>
              <w:rPr>
                <w:sz w:val="10"/>
                <w:szCs w:val="10"/>
                <w:color w:val="auto"/>
              </w:rPr>
            </w:pPr>
          </w:p>
        </w:tc>
        <w:tc>
          <w:tcPr>
            <w:tcW w:w="780" w:type="dxa"/>
            <w:vAlign w:val="bottom"/>
            <w:tcBorders>
              <w:top w:val="single" w:sz="8" w:color="4DC1E4"/>
            </w:tcBorders>
            <w:shd w:val="clear" w:color="auto" w:fill="4DC1E4"/>
          </w:tcPr>
          <w:p>
            <w:pPr>
              <w:spacing w:after="0"/>
              <w:rPr>
                <w:sz w:val="10"/>
                <w:szCs w:val="10"/>
                <w:color w:val="auto"/>
              </w:rPr>
            </w:pPr>
          </w:p>
        </w:tc>
        <w:tc>
          <w:tcPr>
            <w:tcW w:w="900" w:type="dxa"/>
            <w:vAlign w:val="bottom"/>
            <w:tcBorders>
              <w:top w:val="single" w:sz="8" w:color="4DC1E4"/>
            </w:tcBorders>
            <w:shd w:val="clear" w:color="auto" w:fill="4DC1E4"/>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FFFFFF"/>
              </w:rPr>
              <w:t>N</w:t>
            </w:r>
            <w:r>
              <w:rPr>
                <w:rFonts w:ascii="Times New Roman" w:cs="Times New Roman" w:eastAsia="Times New Roman" w:hAnsi="Times New Roman"/>
                <w:sz w:val="11"/>
                <w:szCs w:val="11"/>
                <w:b w:val="1"/>
                <w:bCs w:val="1"/>
                <w:color w:val="FFFFFF"/>
              </w:rPr>
              <w:t>UMBER</w:t>
            </w:r>
          </w:p>
        </w:tc>
        <w:tc>
          <w:tcPr>
            <w:tcW w:w="840" w:type="dxa"/>
            <w:vAlign w:val="bottom"/>
            <w:tcBorders>
              <w:top w:val="single" w:sz="8" w:color="4DC1E4"/>
            </w:tcBorders>
            <w:shd w:val="clear" w:color="auto" w:fill="4DC1E4"/>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FFFFFF"/>
              </w:rPr>
              <w:t>N</w:t>
            </w:r>
            <w:r>
              <w:rPr>
                <w:rFonts w:ascii="Times New Roman" w:cs="Times New Roman" w:eastAsia="Times New Roman" w:hAnsi="Times New Roman"/>
                <w:sz w:val="11"/>
                <w:szCs w:val="11"/>
                <w:b w:val="1"/>
                <w:bCs w:val="1"/>
                <w:color w:val="FFFFFF"/>
              </w:rPr>
              <w:t>UMBER</w:t>
            </w:r>
          </w:p>
        </w:tc>
        <w:tc>
          <w:tcPr>
            <w:tcW w:w="760" w:type="dxa"/>
            <w:vAlign w:val="bottom"/>
            <w:tcBorders>
              <w:top w:val="single" w:sz="8" w:color="4DC1E4"/>
            </w:tcBorders>
            <w:shd w:val="clear" w:color="auto" w:fill="4DC1E4"/>
          </w:tcPr>
          <w:p>
            <w:pPr>
              <w:spacing w:after="0"/>
              <w:rPr>
                <w:sz w:val="10"/>
                <w:szCs w:val="10"/>
                <w:color w:val="auto"/>
              </w:rPr>
            </w:pPr>
          </w:p>
        </w:tc>
        <w:tc>
          <w:tcPr>
            <w:tcW w:w="860" w:type="dxa"/>
            <w:vAlign w:val="bottom"/>
            <w:tcBorders>
              <w:top w:val="single" w:sz="8" w:color="4DC1E4"/>
              <w:right w:val="single" w:sz="8" w:color="auto"/>
            </w:tcBorders>
            <w:shd w:val="clear" w:color="auto" w:fill="4DC1E4"/>
          </w:tcPr>
          <w:p>
            <w:pPr>
              <w:spacing w:after="0"/>
              <w:rPr>
                <w:sz w:val="10"/>
                <w:szCs w:val="10"/>
                <w:color w:val="auto"/>
              </w:rPr>
            </w:pPr>
          </w:p>
        </w:tc>
        <w:tc>
          <w:tcPr>
            <w:tcW w:w="980" w:type="dxa"/>
            <w:vAlign w:val="bottom"/>
            <w:tcBorders>
              <w:top w:val="single" w:sz="8" w:color="4DC1E4"/>
            </w:tcBorders>
            <w:shd w:val="clear" w:color="auto" w:fill="4DC1E4"/>
          </w:tcPr>
          <w:p>
            <w:pPr>
              <w:spacing w:after="0"/>
              <w:rPr>
                <w:sz w:val="10"/>
                <w:szCs w:val="10"/>
                <w:color w:val="auto"/>
              </w:rPr>
            </w:pPr>
          </w:p>
        </w:tc>
        <w:tc>
          <w:tcPr>
            <w:tcW w:w="880" w:type="dxa"/>
            <w:vAlign w:val="bottom"/>
            <w:tcBorders>
              <w:top w:val="single" w:sz="8" w:color="4DC1E4"/>
              <w:right w:val="single" w:sz="8" w:color="auto"/>
            </w:tcBorders>
            <w:shd w:val="clear" w:color="auto" w:fill="4DC1E4"/>
          </w:tcPr>
          <w:p>
            <w:pPr>
              <w:spacing w:after="0"/>
              <w:rPr>
                <w:sz w:val="10"/>
                <w:szCs w:val="10"/>
                <w:color w:val="auto"/>
              </w:rPr>
            </w:pPr>
          </w:p>
        </w:tc>
        <w:tc>
          <w:tcPr>
            <w:tcW w:w="980" w:type="dxa"/>
            <w:vAlign w:val="bottom"/>
            <w:tcBorders>
              <w:top w:val="single" w:sz="8" w:color="4DC1E4"/>
            </w:tcBorders>
            <w:shd w:val="clear" w:color="auto" w:fill="4DC1E4"/>
          </w:tcPr>
          <w:p>
            <w:pPr>
              <w:spacing w:after="0"/>
              <w:rPr>
                <w:sz w:val="10"/>
                <w:szCs w:val="10"/>
                <w:color w:val="auto"/>
              </w:rPr>
            </w:pPr>
          </w:p>
        </w:tc>
        <w:tc>
          <w:tcPr>
            <w:tcW w:w="960" w:type="dxa"/>
            <w:vAlign w:val="bottom"/>
            <w:tcBorders>
              <w:top w:val="single" w:sz="8" w:color="4DC1E4"/>
              <w:right w:val="single" w:sz="8" w:color="auto"/>
            </w:tcBorders>
            <w:shd w:val="clear" w:color="auto" w:fill="4DC1E4"/>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FFFFFF"/>
                <w:w w:val="97"/>
              </w:rPr>
              <w:t>EQUITY</w:t>
            </w:r>
          </w:p>
        </w:tc>
        <w:tc>
          <w:tcPr>
            <w:tcW w:w="0" w:type="dxa"/>
            <w:vAlign w:val="bottom"/>
          </w:tcPr>
          <w:p>
            <w:pPr>
              <w:spacing w:after="0"/>
              <w:rPr>
                <w:sz w:val="1"/>
                <w:szCs w:val="1"/>
                <w:color w:val="auto"/>
              </w:rPr>
            </w:pPr>
          </w:p>
        </w:tc>
      </w:tr>
      <w:tr>
        <w:trPr>
          <w:trHeight w:val="101"/>
        </w:trPr>
        <w:tc>
          <w:tcPr>
            <w:tcW w:w="1440" w:type="dxa"/>
            <w:vAlign w:val="bottom"/>
            <w:tcBorders>
              <w:left w:val="single" w:sz="8" w:color="auto"/>
              <w:right w:val="single" w:sz="8" w:color="auto"/>
            </w:tcBorders>
            <w:shd w:val="clear" w:color="auto" w:fill="4DC1E4"/>
          </w:tcPr>
          <w:p>
            <w:pPr>
              <w:spacing w:after="0"/>
              <w:rPr>
                <w:sz w:val="8"/>
                <w:szCs w:val="8"/>
                <w:color w:val="auto"/>
              </w:rPr>
            </w:pPr>
          </w:p>
        </w:tc>
        <w:tc>
          <w:tcPr>
            <w:tcW w:w="60" w:type="dxa"/>
            <w:vAlign w:val="bottom"/>
            <w:shd w:val="clear" w:color="auto" w:fill="4DC1E4"/>
          </w:tcPr>
          <w:p>
            <w:pPr>
              <w:spacing w:after="0"/>
              <w:rPr>
                <w:sz w:val="8"/>
                <w:szCs w:val="8"/>
                <w:color w:val="auto"/>
              </w:rPr>
            </w:pPr>
          </w:p>
        </w:tc>
        <w:tc>
          <w:tcPr>
            <w:tcW w:w="780" w:type="dxa"/>
            <w:vAlign w:val="bottom"/>
            <w:shd w:val="clear" w:color="auto" w:fill="4DC1E4"/>
          </w:tcPr>
          <w:p>
            <w:pPr>
              <w:spacing w:after="0"/>
              <w:rPr>
                <w:sz w:val="8"/>
                <w:szCs w:val="8"/>
                <w:color w:val="auto"/>
              </w:rPr>
            </w:pPr>
          </w:p>
        </w:tc>
        <w:tc>
          <w:tcPr>
            <w:tcW w:w="900" w:type="dxa"/>
            <w:vAlign w:val="bottom"/>
            <w:vMerge w:val="restart"/>
            <w:shd w:val="clear" w:color="auto" w:fill="4DC1E4"/>
          </w:tcPr>
          <w:p>
            <w:pPr>
              <w:jc w:val="center"/>
              <w:spacing w:after="0"/>
              <w:rPr>
                <w:sz w:val="20"/>
                <w:szCs w:val="20"/>
                <w:color w:val="auto"/>
              </w:rPr>
            </w:pPr>
            <w:r>
              <w:rPr>
                <w:rFonts w:ascii="Times New Roman" w:cs="Times New Roman" w:eastAsia="Times New Roman" w:hAnsi="Times New Roman"/>
                <w:sz w:val="13"/>
                <w:szCs w:val="13"/>
                <w:b w:val="1"/>
                <w:bCs w:val="1"/>
                <w:color w:val="FFFFFF"/>
                <w:w w:val="99"/>
              </w:rPr>
              <w:t>OF</w:t>
            </w:r>
          </w:p>
        </w:tc>
        <w:tc>
          <w:tcPr>
            <w:tcW w:w="840" w:type="dxa"/>
            <w:vAlign w:val="bottom"/>
            <w:vMerge w:val="restart"/>
            <w:shd w:val="clear" w:color="auto" w:fill="4DC1E4"/>
          </w:tcPr>
          <w:p>
            <w:pPr>
              <w:jc w:val="center"/>
              <w:spacing w:after="0"/>
              <w:rPr>
                <w:sz w:val="20"/>
                <w:szCs w:val="20"/>
                <w:color w:val="auto"/>
              </w:rPr>
            </w:pPr>
            <w:r>
              <w:rPr>
                <w:rFonts w:ascii="Times New Roman" w:cs="Times New Roman" w:eastAsia="Times New Roman" w:hAnsi="Times New Roman"/>
                <w:sz w:val="13"/>
                <w:szCs w:val="13"/>
                <w:b w:val="1"/>
                <w:bCs w:val="1"/>
                <w:color w:val="FFFFFF"/>
                <w:w w:val="99"/>
              </w:rPr>
              <w:t>OF</w:t>
            </w:r>
          </w:p>
        </w:tc>
        <w:tc>
          <w:tcPr>
            <w:tcW w:w="760" w:type="dxa"/>
            <w:vAlign w:val="bottom"/>
            <w:shd w:val="clear" w:color="auto" w:fill="4DC1E4"/>
          </w:tcPr>
          <w:p>
            <w:pPr>
              <w:spacing w:after="0"/>
              <w:rPr>
                <w:sz w:val="8"/>
                <w:szCs w:val="8"/>
                <w:color w:val="auto"/>
              </w:rPr>
            </w:pPr>
          </w:p>
        </w:tc>
        <w:tc>
          <w:tcPr>
            <w:tcW w:w="860" w:type="dxa"/>
            <w:vAlign w:val="bottom"/>
            <w:tcBorders>
              <w:right w:val="single" w:sz="8" w:color="auto"/>
            </w:tcBorders>
            <w:shd w:val="clear" w:color="auto" w:fill="4DC1E4"/>
          </w:tcPr>
          <w:p>
            <w:pPr>
              <w:spacing w:after="0"/>
              <w:rPr>
                <w:sz w:val="8"/>
                <w:szCs w:val="8"/>
                <w:color w:val="auto"/>
              </w:rPr>
            </w:pPr>
          </w:p>
        </w:tc>
        <w:tc>
          <w:tcPr>
            <w:tcW w:w="980" w:type="dxa"/>
            <w:vAlign w:val="bottom"/>
            <w:shd w:val="clear" w:color="auto" w:fill="4DC1E4"/>
          </w:tcPr>
          <w:p>
            <w:pPr>
              <w:spacing w:after="0"/>
              <w:rPr>
                <w:sz w:val="8"/>
                <w:szCs w:val="8"/>
                <w:color w:val="auto"/>
              </w:rPr>
            </w:pPr>
          </w:p>
        </w:tc>
        <w:tc>
          <w:tcPr>
            <w:tcW w:w="880" w:type="dxa"/>
            <w:vAlign w:val="bottom"/>
            <w:tcBorders>
              <w:right w:val="single" w:sz="8" w:color="auto"/>
            </w:tcBorders>
            <w:shd w:val="clear" w:color="auto" w:fill="4DC1E4"/>
          </w:tcPr>
          <w:p>
            <w:pPr>
              <w:spacing w:after="0"/>
              <w:rPr>
                <w:sz w:val="8"/>
                <w:szCs w:val="8"/>
                <w:color w:val="auto"/>
              </w:rPr>
            </w:pPr>
          </w:p>
        </w:tc>
        <w:tc>
          <w:tcPr>
            <w:tcW w:w="980" w:type="dxa"/>
            <w:vAlign w:val="bottom"/>
            <w:shd w:val="clear" w:color="auto" w:fill="4DC1E4"/>
          </w:tcPr>
          <w:p>
            <w:pPr>
              <w:spacing w:after="0"/>
              <w:rPr>
                <w:sz w:val="8"/>
                <w:szCs w:val="8"/>
                <w:color w:val="auto"/>
              </w:rPr>
            </w:pPr>
          </w:p>
        </w:tc>
        <w:tc>
          <w:tcPr>
            <w:tcW w:w="960" w:type="dxa"/>
            <w:vAlign w:val="bottom"/>
            <w:tcBorders>
              <w:right w:val="single" w:sz="8" w:color="auto"/>
            </w:tcBorders>
            <w:shd w:val="clear" w:color="auto" w:fill="4DC1E4"/>
          </w:tcPr>
          <w:p>
            <w:pPr>
              <w:jc w:val="center"/>
              <w:spacing w:after="0" w:line="102" w:lineRule="exact"/>
              <w:rPr>
                <w:sz w:val="20"/>
                <w:szCs w:val="20"/>
                <w:color w:val="auto"/>
              </w:rPr>
            </w:pPr>
            <w:r>
              <w:rPr>
                <w:rFonts w:ascii="Times New Roman" w:cs="Times New Roman" w:eastAsia="Times New Roman" w:hAnsi="Times New Roman"/>
                <w:sz w:val="10"/>
                <w:szCs w:val="10"/>
                <w:b w:val="1"/>
                <w:bCs w:val="1"/>
                <w:color w:val="FFFFFF"/>
              </w:rPr>
              <w:t>INCENTIVE</w:t>
            </w:r>
          </w:p>
        </w:tc>
        <w:tc>
          <w:tcPr>
            <w:tcW w:w="0" w:type="dxa"/>
            <w:vAlign w:val="bottom"/>
          </w:tcPr>
          <w:p>
            <w:pPr>
              <w:spacing w:after="0"/>
              <w:rPr>
                <w:sz w:val="1"/>
                <w:szCs w:val="1"/>
                <w:color w:val="auto"/>
              </w:rPr>
            </w:pPr>
          </w:p>
        </w:tc>
      </w:tr>
      <w:tr>
        <w:trPr>
          <w:trHeight w:val="72"/>
        </w:trPr>
        <w:tc>
          <w:tcPr>
            <w:tcW w:w="1440" w:type="dxa"/>
            <w:vAlign w:val="bottom"/>
            <w:tcBorders>
              <w:left w:val="single" w:sz="8" w:color="auto"/>
              <w:right w:val="single" w:sz="8" w:color="auto"/>
            </w:tcBorders>
            <w:shd w:val="clear" w:color="auto" w:fill="4DC1E4"/>
          </w:tcPr>
          <w:p>
            <w:pPr>
              <w:spacing w:after="0"/>
              <w:rPr>
                <w:sz w:val="6"/>
                <w:szCs w:val="6"/>
                <w:color w:val="auto"/>
              </w:rPr>
            </w:pPr>
          </w:p>
        </w:tc>
        <w:tc>
          <w:tcPr>
            <w:tcW w:w="60" w:type="dxa"/>
            <w:vAlign w:val="bottom"/>
            <w:shd w:val="clear" w:color="auto" w:fill="4DC1E4"/>
          </w:tcPr>
          <w:p>
            <w:pPr>
              <w:spacing w:after="0"/>
              <w:rPr>
                <w:sz w:val="6"/>
                <w:szCs w:val="6"/>
                <w:color w:val="auto"/>
              </w:rPr>
            </w:pPr>
          </w:p>
        </w:tc>
        <w:tc>
          <w:tcPr>
            <w:tcW w:w="780" w:type="dxa"/>
            <w:vAlign w:val="bottom"/>
            <w:shd w:val="clear" w:color="auto" w:fill="4DC1E4"/>
          </w:tcPr>
          <w:p>
            <w:pPr>
              <w:spacing w:after="0"/>
              <w:rPr>
                <w:sz w:val="6"/>
                <w:szCs w:val="6"/>
                <w:color w:val="auto"/>
              </w:rPr>
            </w:pPr>
          </w:p>
        </w:tc>
        <w:tc>
          <w:tcPr>
            <w:tcW w:w="900" w:type="dxa"/>
            <w:vAlign w:val="bottom"/>
            <w:vMerge w:val="continue"/>
            <w:shd w:val="clear" w:color="auto" w:fill="4DC1E4"/>
          </w:tcPr>
          <w:p>
            <w:pPr>
              <w:spacing w:after="0"/>
              <w:rPr>
                <w:sz w:val="6"/>
                <w:szCs w:val="6"/>
                <w:color w:val="auto"/>
              </w:rPr>
            </w:pPr>
          </w:p>
        </w:tc>
        <w:tc>
          <w:tcPr>
            <w:tcW w:w="840" w:type="dxa"/>
            <w:vAlign w:val="bottom"/>
            <w:vMerge w:val="continue"/>
            <w:shd w:val="clear" w:color="auto" w:fill="4DC1E4"/>
          </w:tcPr>
          <w:p>
            <w:pPr>
              <w:spacing w:after="0"/>
              <w:rPr>
                <w:sz w:val="6"/>
                <w:szCs w:val="6"/>
                <w:color w:val="auto"/>
              </w:rPr>
            </w:pPr>
          </w:p>
        </w:tc>
        <w:tc>
          <w:tcPr>
            <w:tcW w:w="760" w:type="dxa"/>
            <w:vAlign w:val="bottom"/>
            <w:shd w:val="clear" w:color="auto" w:fill="4DC1E4"/>
          </w:tcPr>
          <w:p>
            <w:pPr>
              <w:spacing w:after="0"/>
              <w:rPr>
                <w:sz w:val="6"/>
                <w:szCs w:val="6"/>
                <w:color w:val="auto"/>
              </w:rPr>
            </w:pPr>
          </w:p>
        </w:tc>
        <w:tc>
          <w:tcPr>
            <w:tcW w:w="860" w:type="dxa"/>
            <w:vAlign w:val="bottom"/>
            <w:tcBorders>
              <w:right w:val="single" w:sz="8" w:color="auto"/>
            </w:tcBorders>
            <w:shd w:val="clear" w:color="auto" w:fill="4DC1E4"/>
          </w:tcPr>
          <w:p>
            <w:pPr>
              <w:spacing w:after="0"/>
              <w:rPr>
                <w:sz w:val="6"/>
                <w:szCs w:val="6"/>
                <w:color w:val="auto"/>
              </w:rPr>
            </w:pPr>
          </w:p>
        </w:tc>
        <w:tc>
          <w:tcPr>
            <w:tcW w:w="980" w:type="dxa"/>
            <w:vAlign w:val="bottom"/>
            <w:shd w:val="clear" w:color="auto" w:fill="4DC1E4"/>
          </w:tcPr>
          <w:p>
            <w:pPr>
              <w:spacing w:after="0"/>
              <w:rPr>
                <w:sz w:val="6"/>
                <w:szCs w:val="6"/>
                <w:color w:val="auto"/>
              </w:rPr>
            </w:pPr>
          </w:p>
        </w:tc>
        <w:tc>
          <w:tcPr>
            <w:tcW w:w="880" w:type="dxa"/>
            <w:vAlign w:val="bottom"/>
            <w:tcBorders>
              <w:right w:val="single" w:sz="8" w:color="auto"/>
            </w:tcBorders>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M</w:t>
            </w:r>
            <w:r>
              <w:rPr>
                <w:rFonts w:ascii="Times New Roman" w:cs="Times New Roman" w:eastAsia="Times New Roman" w:hAnsi="Times New Roman"/>
                <w:sz w:val="12"/>
                <w:szCs w:val="12"/>
                <w:b w:val="1"/>
                <w:bCs w:val="1"/>
                <w:color w:val="FFFFFF"/>
              </w:rPr>
              <w:t>ARKET</w:t>
            </w:r>
          </w:p>
        </w:tc>
        <w:tc>
          <w:tcPr>
            <w:tcW w:w="980" w:type="dxa"/>
            <w:vAlign w:val="bottom"/>
            <w:vMerge w:val="restart"/>
            <w:shd w:val="clear" w:color="auto" w:fill="4DC1E4"/>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7"/>
              </w:rPr>
              <w:t>EQUITY</w:t>
            </w:r>
          </w:p>
        </w:tc>
        <w:tc>
          <w:tcPr>
            <w:tcW w:w="960" w:type="dxa"/>
            <w:vAlign w:val="bottom"/>
            <w:tcBorders>
              <w:right w:val="single" w:sz="8" w:color="auto"/>
            </w:tcBorders>
            <w:vMerge w:val="restart"/>
            <w:shd w:val="clear" w:color="auto" w:fill="4DC1E4"/>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5"/>
              </w:rPr>
              <w:t>PLAN</w:t>
            </w:r>
          </w:p>
        </w:tc>
        <w:tc>
          <w:tcPr>
            <w:tcW w:w="0" w:type="dxa"/>
            <w:vAlign w:val="bottom"/>
          </w:tcPr>
          <w:p>
            <w:pPr>
              <w:spacing w:after="0"/>
              <w:rPr>
                <w:sz w:val="1"/>
                <w:szCs w:val="1"/>
                <w:color w:val="auto"/>
              </w:rPr>
            </w:pPr>
          </w:p>
        </w:tc>
      </w:tr>
      <w:tr>
        <w:trPr>
          <w:trHeight w:val="63"/>
        </w:trPr>
        <w:tc>
          <w:tcPr>
            <w:tcW w:w="1440" w:type="dxa"/>
            <w:vAlign w:val="bottom"/>
            <w:tcBorders>
              <w:left w:val="single" w:sz="8" w:color="auto"/>
              <w:right w:val="single" w:sz="8" w:color="auto"/>
            </w:tcBorders>
            <w:shd w:val="clear" w:color="auto" w:fill="4DC1E4"/>
          </w:tcPr>
          <w:p>
            <w:pPr>
              <w:spacing w:after="0"/>
              <w:rPr>
                <w:sz w:val="5"/>
                <w:szCs w:val="5"/>
                <w:color w:val="auto"/>
              </w:rPr>
            </w:pPr>
          </w:p>
        </w:tc>
        <w:tc>
          <w:tcPr>
            <w:tcW w:w="60" w:type="dxa"/>
            <w:vAlign w:val="bottom"/>
            <w:shd w:val="clear" w:color="auto" w:fill="4DC1E4"/>
          </w:tcPr>
          <w:p>
            <w:pPr>
              <w:spacing w:after="0"/>
              <w:rPr>
                <w:sz w:val="5"/>
                <w:szCs w:val="5"/>
                <w:color w:val="auto"/>
              </w:rPr>
            </w:pPr>
          </w:p>
        </w:tc>
        <w:tc>
          <w:tcPr>
            <w:tcW w:w="780" w:type="dxa"/>
            <w:vAlign w:val="bottom"/>
            <w:shd w:val="clear" w:color="auto" w:fill="4DC1E4"/>
          </w:tcPr>
          <w:p>
            <w:pPr>
              <w:spacing w:after="0"/>
              <w:rPr>
                <w:sz w:val="5"/>
                <w:szCs w:val="5"/>
                <w:color w:val="auto"/>
              </w:rPr>
            </w:pPr>
          </w:p>
        </w:tc>
        <w:tc>
          <w:tcPr>
            <w:tcW w:w="900" w:type="dxa"/>
            <w:vAlign w:val="bottom"/>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S</w:t>
            </w:r>
            <w:r>
              <w:rPr>
                <w:rFonts w:ascii="Times New Roman" w:cs="Times New Roman" w:eastAsia="Times New Roman" w:hAnsi="Times New Roman"/>
                <w:sz w:val="12"/>
                <w:szCs w:val="12"/>
                <w:b w:val="1"/>
                <w:bCs w:val="1"/>
                <w:color w:val="FFFFFF"/>
              </w:rPr>
              <w:t>ECURITIE</w:t>
            </w:r>
          </w:p>
        </w:tc>
        <w:tc>
          <w:tcPr>
            <w:tcW w:w="840" w:type="dxa"/>
            <w:vAlign w:val="bottom"/>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S</w:t>
            </w:r>
            <w:r>
              <w:rPr>
                <w:rFonts w:ascii="Times New Roman" w:cs="Times New Roman" w:eastAsia="Times New Roman" w:hAnsi="Times New Roman"/>
                <w:sz w:val="12"/>
                <w:szCs w:val="12"/>
                <w:b w:val="1"/>
                <w:bCs w:val="1"/>
                <w:color w:val="FFFFFF"/>
              </w:rPr>
              <w:t>ECURITIE</w:t>
            </w:r>
          </w:p>
        </w:tc>
        <w:tc>
          <w:tcPr>
            <w:tcW w:w="760" w:type="dxa"/>
            <w:vAlign w:val="bottom"/>
            <w:shd w:val="clear" w:color="auto" w:fill="4DC1E4"/>
          </w:tcPr>
          <w:p>
            <w:pPr>
              <w:spacing w:after="0"/>
              <w:rPr>
                <w:sz w:val="5"/>
                <w:szCs w:val="5"/>
                <w:color w:val="auto"/>
              </w:rPr>
            </w:pPr>
          </w:p>
        </w:tc>
        <w:tc>
          <w:tcPr>
            <w:tcW w:w="860" w:type="dxa"/>
            <w:vAlign w:val="bottom"/>
            <w:tcBorders>
              <w:right w:val="single" w:sz="8" w:color="auto"/>
            </w:tcBorders>
            <w:shd w:val="clear" w:color="auto" w:fill="4DC1E4"/>
          </w:tcPr>
          <w:p>
            <w:pPr>
              <w:spacing w:after="0"/>
              <w:rPr>
                <w:sz w:val="5"/>
                <w:szCs w:val="5"/>
                <w:color w:val="auto"/>
              </w:rPr>
            </w:pPr>
          </w:p>
        </w:tc>
        <w:tc>
          <w:tcPr>
            <w:tcW w:w="980" w:type="dxa"/>
            <w:vAlign w:val="bottom"/>
            <w:shd w:val="clear" w:color="auto" w:fill="4DC1E4"/>
          </w:tcPr>
          <w:p>
            <w:pPr>
              <w:spacing w:after="0"/>
              <w:rPr>
                <w:sz w:val="5"/>
                <w:szCs w:val="5"/>
                <w:color w:val="auto"/>
              </w:rPr>
            </w:pPr>
          </w:p>
        </w:tc>
        <w:tc>
          <w:tcPr>
            <w:tcW w:w="880" w:type="dxa"/>
            <w:vAlign w:val="bottom"/>
            <w:tcBorders>
              <w:right w:val="single" w:sz="8" w:color="auto"/>
            </w:tcBorders>
            <w:vMerge w:val="continue"/>
            <w:shd w:val="clear" w:color="auto" w:fill="4DC1E4"/>
          </w:tcPr>
          <w:p>
            <w:pPr>
              <w:spacing w:after="0"/>
              <w:rPr>
                <w:sz w:val="5"/>
                <w:szCs w:val="5"/>
                <w:color w:val="auto"/>
              </w:rPr>
            </w:pPr>
          </w:p>
        </w:tc>
        <w:tc>
          <w:tcPr>
            <w:tcW w:w="980" w:type="dxa"/>
            <w:vAlign w:val="bottom"/>
            <w:vMerge w:val="continue"/>
            <w:shd w:val="clear" w:color="auto" w:fill="4DC1E4"/>
          </w:tcPr>
          <w:p>
            <w:pPr>
              <w:spacing w:after="0"/>
              <w:rPr>
                <w:sz w:val="5"/>
                <w:szCs w:val="5"/>
                <w:color w:val="auto"/>
              </w:rPr>
            </w:pPr>
          </w:p>
        </w:tc>
        <w:tc>
          <w:tcPr>
            <w:tcW w:w="960" w:type="dxa"/>
            <w:vAlign w:val="bottom"/>
            <w:tcBorders>
              <w:right w:val="single" w:sz="8" w:color="auto"/>
            </w:tcBorders>
            <w:vMerge w:val="continue"/>
            <w:shd w:val="clear" w:color="auto" w:fill="4DC1E4"/>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440" w:type="dxa"/>
            <w:vAlign w:val="bottom"/>
            <w:tcBorders>
              <w:left w:val="single" w:sz="8" w:color="auto"/>
              <w:right w:val="single" w:sz="8" w:color="auto"/>
            </w:tcBorders>
            <w:shd w:val="clear" w:color="auto" w:fill="4DC1E4"/>
          </w:tcPr>
          <w:p>
            <w:pPr>
              <w:spacing w:after="0"/>
              <w:rPr>
                <w:sz w:val="11"/>
                <w:szCs w:val="11"/>
                <w:color w:val="auto"/>
              </w:rPr>
            </w:pPr>
          </w:p>
        </w:tc>
        <w:tc>
          <w:tcPr>
            <w:tcW w:w="60" w:type="dxa"/>
            <w:vAlign w:val="bottom"/>
            <w:shd w:val="clear" w:color="auto" w:fill="4DC1E4"/>
          </w:tcPr>
          <w:p>
            <w:pPr>
              <w:spacing w:after="0"/>
              <w:rPr>
                <w:sz w:val="11"/>
                <w:szCs w:val="11"/>
                <w:color w:val="auto"/>
              </w:rPr>
            </w:pPr>
          </w:p>
        </w:tc>
        <w:tc>
          <w:tcPr>
            <w:tcW w:w="780" w:type="dxa"/>
            <w:vAlign w:val="bottom"/>
            <w:shd w:val="clear" w:color="auto" w:fill="4DC1E4"/>
          </w:tcPr>
          <w:p>
            <w:pPr>
              <w:spacing w:after="0"/>
              <w:rPr>
                <w:sz w:val="11"/>
                <w:szCs w:val="11"/>
                <w:color w:val="auto"/>
              </w:rPr>
            </w:pPr>
          </w:p>
        </w:tc>
        <w:tc>
          <w:tcPr>
            <w:tcW w:w="900" w:type="dxa"/>
            <w:vAlign w:val="bottom"/>
            <w:vMerge w:val="continue"/>
            <w:shd w:val="clear" w:color="auto" w:fill="4DC1E4"/>
          </w:tcPr>
          <w:p>
            <w:pPr>
              <w:spacing w:after="0"/>
              <w:rPr>
                <w:sz w:val="11"/>
                <w:szCs w:val="11"/>
                <w:color w:val="auto"/>
              </w:rPr>
            </w:pPr>
          </w:p>
        </w:tc>
        <w:tc>
          <w:tcPr>
            <w:tcW w:w="840" w:type="dxa"/>
            <w:vAlign w:val="bottom"/>
            <w:vMerge w:val="continue"/>
            <w:shd w:val="clear" w:color="auto" w:fill="4DC1E4"/>
          </w:tcPr>
          <w:p>
            <w:pPr>
              <w:spacing w:after="0"/>
              <w:rPr>
                <w:sz w:val="11"/>
                <w:szCs w:val="11"/>
                <w:color w:val="auto"/>
              </w:rPr>
            </w:pPr>
          </w:p>
        </w:tc>
        <w:tc>
          <w:tcPr>
            <w:tcW w:w="760" w:type="dxa"/>
            <w:vAlign w:val="bottom"/>
            <w:shd w:val="clear" w:color="auto" w:fill="4DC1E4"/>
          </w:tcPr>
          <w:p>
            <w:pPr>
              <w:spacing w:after="0"/>
              <w:rPr>
                <w:sz w:val="11"/>
                <w:szCs w:val="11"/>
                <w:color w:val="auto"/>
              </w:rPr>
            </w:pPr>
          </w:p>
        </w:tc>
        <w:tc>
          <w:tcPr>
            <w:tcW w:w="860" w:type="dxa"/>
            <w:vAlign w:val="bottom"/>
            <w:tcBorders>
              <w:right w:val="single" w:sz="8" w:color="auto"/>
            </w:tcBorders>
            <w:shd w:val="clear" w:color="auto" w:fill="4DC1E4"/>
          </w:tcPr>
          <w:p>
            <w:pPr>
              <w:spacing w:after="0"/>
              <w:rPr>
                <w:sz w:val="11"/>
                <w:szCs w:val="11"/>
                <w:color w:val="auto"/>
              </w:rPr>
            </w:pPr>
          </w:p>
        </w:tc>
        <w:tc>
          <w:tcPr>
            <w:tcW w:w="980" w:type="dxa"/>
            <w:vAlign w:val="bottom"/>
            <w:shd w:val="clear" w:color="auto" w:fill="4DC1E4"/>
          </w:tcPr>
          <w:p>
            <w:pPr>
              <w:spacing w:after="0"/>
              <w:rPr>
                <w:sz w:val="11"/>
                <w:szCs w:val="11"/>
                <w:color w:val="auto"/>
              </w:rPr>
            </w:pPr>
          </w:p>
        </w:tc>
        <w:tc>
          <w:tcPr>
            <w:tcW w:w="880" w:type="dxa"/>
            <w:vAlign w:val="bottom"/>
            <w:tcBorders>
              <w:right w:val="single" w:sz="8" w:color="auto"/>
            </w:tcBorders>
            <w:vMerge w:val="continue"/>
            <w:shd w:val="clear" w:color="auto" w:fill="4DC1E4"/>
          </w:tcPr>
          <w:p>
            <w:pPr>
              <w:spacing w:after="0"/>
              <w:rPr>
                <w:sz w:val="11"/>
                <w:szCs w:val="11"/>
                <w:color w:val="auto"/>
              </w:rPr>
            </w:pPr>
          </w:p>
        </w:tc>
        <w:tc>
          <w:tcPr>
            <w:tcW w:w="980" w:type="dxa"/>
            <w:vAlign w:val="bottom"/>
            <w:shd w:val="clear" w:color="auto" w:fill="4DC1E4"/>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FFFFFF"/>
                <w:w w:val="97"/>
              </w:rPr>
              <w:t>INCENTIVE</w:t>
            </w:r>
          </w:p>
        </w:tc>
        <w:tc>
          <w:tcPr>
            <w:tcW w:w="960" w:type="dxa"/>
            <w:vAlign w:val="bottom"/>
            <w:tcBorders>
              <w:right w:val="single" w:sz="8" w:color="auto"/>
            </w:tcBorders>
            <w:shd w:val="clear" w:color="auto" w:fill="4DC1E4"/>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FFFFFF"/>
                <w:w w:val="96"/>
              </w:rPr>
              <w:t>AWARDS:</w:t>
            </w:r>
          </w:p>
        </w:tc>
        <w:tc>
          <w:tcPr>
            <w:tcW w:w="0" w:type="dxa"/>
            <w:vAlign w:val="bottom"/>
          </w:tcPr>
          <w:p>
            <w:pPr>
              <w:spacing w:after="0"/>
              <w:rPr>
                <w:sz w:val="1"/>
                <w:szCs w:val="1"/>
                <w:color w:val="auto"/>
              </w:rPr>
            </w:pPr>
          </w:p>
        </w:tc>
      </w:tr>
      <w:tr>
        <w:trPr>
          <w:trHeight w:val="148"/>
        </w:trPr>
        <w:tc>
          <w:tcPr>
            <w:tcW w:w="1440" w:type="dxa"/>
            <w:vAlign w:val="bottom"/>
            <w:tcBorders>
              <w:left w:val="single" w:sz="8" w:color="auto"/>
              <w:right w:val="single" w:sz="8" w:color="auto"/>
            </w:tcBorders>
            <w:shd w:val="clear" w:color="auto" w:fill="4DC1E4"/>
          </w:tcPr>
          <w:p>
            <w:pPr>
              <w:spacing w:after="0"/>
              <w:rPr>
                <w:sz w:val="12"/>
                <w:szCs w:val="12"/>
                <w:color w:val="auto"/>
              </w:rPr>
            </w:pPr>
          </w:p>
        </w:tc>
        <w:tc>
          <w:tcPr>
            <w:tcW w:w="60" w:type="dxa"/>
            <w:vAlign w:val="bottom"/>
            <w:shd w:val="clear" w:color="auto" w:fill="4DC1E4"/>
          </w:tcPr>
          <w:p>
            <w:pPr>
              <w:spacing w:after="0"/>
              <w:rPr>
                <w:sz w:val="12"/>
                <w:szCs w:val="12"/>
                <w:color w:val="auto"/>
              </w:rPr>
            </w:pPr>
          </w:p>
        </w:tc>
        <w:tc>
          <w:tcPr>
            <w:tcW w:w="780" w:type="dxa"/>
            <w:vAlign w:val="bottom"/>
            <w:shd w:val="clear" w:color="auto" w:fill="4DC1E4"/>
          </w:tcPr>
          <w:p>
            <w:pPr>
              <w:spacing w:after="0"/>
              <w:rPr>
                <w:sz w:val="12"/>
                <w:szCs w:val="12"/>
                <w:color w:val="auto"/>
              </w:rPr>
            </w:pPr>
          </w:p>
        </w:tc>
        <w:tc>
          <w:tcPr>
            <w:tcW w:w="900" w:type="dxa"/>
            <w:vAlign w:val="bottom"/>
            <w:shd w:val="clear" w:color="auto" w:fill="4DC1E4"/>
          </w:tcPr>
          <w:p>
            <w:pPr>
              <w:jc w:val="center"/>
              <w:spacing w:after="0"/>
              <w:rPr>
                <w:sz w:val="20"/>
                <w:szCs w:val="20"/>
                <w:color w:val="auto"/>
              </w:rPr>
            </w:pPr>
            <w:r>
              <w:rPr>
                <w:rFonts w:ascii="Times New Roman" w:cs="Times New Roman" w:eastAsia="Times New Roman" w:hAnsi="Times New Roman"/>
                <w:sz w:val="13"/>
                <w:szCs w:val="13"/>
                <w:b w:val="1"/>
                <w:bCs w:val="1"/>
                <w:color w:val="FFFFFF"/>
                <w:w w:val="82"/>
              </w:rPr>
              <w:t>S</w:t>
            </w:r>
          </w:p>
        </w:tc>
        <w:tc>
          <w:tcPr>
            <w:tcW w:w="840" w:type="dxa"/>
            <w:vAlign w:val="bottom"/>
            <w:shd w:val="clear" w:color="auto" w:fill="4DC1E4"/>
          </w:tcPr>
          <w:p>
            <w:pPr>
              <w:jc w:val="center"/>
              <w:spacing w:after="0"/>
              <w:rPr>
                <w:sz w:val="20"/>
                <w:szCs w:val="20"/>
                <w:color w:val="auto"/>
              </w:rPr>
            </w:pPr>
            <w:r>
              <w:rPr>
                <w:rFonts w:ascii="Times New Roman" w:cs="Times New Roman" w:eastAsia="Times New Roman" w:hAnsi="Times New Roman"/>
                <w:sz w:val="13"/>
                <w:szCs w:val="13"/>
                <w:b w:val="1"/>
                <w:bCs w:val="1"/>
                <w:color w:val="FFFFFF"/>
              </w:rPr>
              <w:t>S</w:t>
            </w:r>
          </w:p>
        </w:tc>
        <w:tc>
          <w:tcPr>
            <w:tcW w:w="760" w:type="dxa"/>
            <w:vAlign w:val="bottom"/>
            <w:shd w:val="clear" w:color="auto" w:fill="4DC1E4"/>
          </w:tcPr>
          <w:p>
            <w:pPr>
              <w:spacing w:after="0"/>
              <w:rPr>
                <w:sz w:val="12"/>
                <w:szCs w:val="12"/>
                <w:color w:val="auto"/>
              </w:rPr>
            </w:pPr>
          </w:p>
        </w:tc>
        <w:tc>
          <w:tcPr>
            <w:tcW w:w="860" w:type="dxa"/>
            <w:vAlign w:val="bottom"/>
            <w:tcBorders>
              <w:right w:val="single" w:sz="8" w:color="auto"/>
            </w:tcBorders>
            <w:shd w:val="clear" w:color="auto" w:fill="4DC1E4"/>
          </w:tcPr>
          <w:p>
            <w:pPr>
              <w:spacing w:after="0"/>
              <w:rPr>
                <w:sz w:val="12"/>
                <w:szCs w:val="12"/>
                <w:color w:val="auto"/>
              </w:rPr>
            </w:pPr>
          </w:p>
        </w:tc>
        <w:tc>
          <w:tcPr>
            <w:tcW w:w="980" w:type="dxa"/>
            <w:vAlign w:val="bottom"/>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N</w:t>
            </w:r>
            <w:r>
              <w:rPr>
                <w:rFonts w:ascii="Times New Roman" w:cs="Times New Roman" w:eastAsia="Times New Roman" w:hAnsi="Times New Roman"/>
                <w:sz w:val="12"/>
                <w:szCs w:val="12"/>
                <w:b w:val="1"/>
                <w:bCs w:val="1"/>
                <w:color w:val="FFFFFF"/>
              </w:rPr>
              <w:t>UMBER OF</w:t>
            </w:r>
          </w:p>
        </w:tc>
        <w:tc>
          <w:tcPr>
            <w:tcW w:w="880" w:type="dxa"/>
            <w:vAlign w:val="bottom"/>
            <w:tcBorders>
              <w:right w:val="single" w:sz="8" w:color="auto"/>
            </w:tcBorders>
            <w:shd w:val="clear" w:color="auto" w:fill="4DC1E4"/>
          </w:tcPr>
          <w:p>
            <w:pPr>
              <w:jc w:val="center"/>
              <w:spacing w:after="0" w:line="148" w:lineRule="exact"/>
              <w:rPr>
                <w:sz w:val="20"/>
                <w:szCs w:val="20"/>
                <w:color w:val="auto"/>
              </w:rPr>
            </w:pPr>
            <w:r>
              <w:rPr>
                <w:rFonts w:ascii="Times New Roman" w:cs="Times New Roman" w:eastAsia="Times New Roman" w:hAnsi="Times New Roman"/>
                <w:sz w:val="16"/>
                <w:szCs w:val="16"/>
                <w:b w:val="1"/>
                <w:bCs w:val="1"/>
                <w:color w:val="FFFFFF"/>
              </w:rPr>
              <w:t>V</w:t>
            </w:r>
            <w:r>
              <w:rPr>
                <w:rFonts w:ascii="Times New Roman" w:cs="Times New Roman" w:eastAsia="Times New Roman" w:hAnsi="Times New Roman"/>
                <w:sz w:val="12"/>
                <w:szCs w:val="12"/>
                <w:b w:val="1"/>
                <w:bCs w:val="1"/>
                <w:color w:val="FFFFFF"/>
              </w:rPr>
              <w:t>ALUE OF</w:t>
            </w:r>
          </w:p>
        </w:tc>
        <w:tc>
          <w:tcPr>
            <w:tcW w:w="980" w:type="dxa"/>
            <w:vAlign w:val="bottom"/>
            <w:shd w:val="clear" w:color="auto" w:fill="4DC1E4"/>
          </w:tcPr>
          <w:p>
            <w:pPr>
              <w:jc w:val="center"/>
              <w:spacing w:after="0"/>
              <w:rPr>
                <w:sz w:val="20"/>
                <w:szCs w:val="20"/>
                <w:color w:val="auto"/>
              </w:rPr>
            </w:pPr>
            <w:r>
              <w:rPr>
                <w:rFonts w:ascii="Times New Roman" w:cs="Times New Roman" w:eastAsia="Times New Roman" w:hAnsi="Times New Roman"/>
                <w:sz w:val="13"/>
                <w:szCs w:val="13"/>
                <w:b w:val="1"/>
                <w:bCs w:val="1"/>
                <w:color w:val="FFFFFF"/>
                <w:w w:val="95"/>
              </w:rPr>
              <w:t>PLAN</w:t>
            </w:r>
          </w:p>
        </w:tc>
        <w:tc>
          <w:tcPr>
            <w:tcW w:w="9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3"/>
                <w:szCs w:val="13"/>
                <w:b w:val="1"/>
                <w:bCs w:val="1"/>
                <w:color w:val="FFFFFF"/>
                <w:w w:val="95"/>
              </w:rPr>
              <w:t>MARKET OR</w:t>
            </w:r>
          </w:p>
        </w:tc>
        <w:tc>
          <w:tcPr>
            <w:tcW w:w="0" w:type="dxa"/>
            <w:vAlign w:val="bottom"/>
          </w:tcPr>
          <w:p>
            <w:pPr>
              <w:spacing w:after="0"/>
              <w:rPr>
                <w:sz w:val="1"/>
                <w:szCs w:val="1"/>
                <w:color w:val="auto"/>
              </w:rPr>
            </w:pPr>
          </w:p>
        </w:tc>
      </w:tr>
      <w:tr>
        <w:trPr>
          <w:trHeight w:val="162"/>
        </w:trPr>
        <w:tc>
          <w:tcPr>
            <w:tcW w:w="1440" w:type="dxa"/>
            <w:vAlign w:val="bottom"/>
            <w:tcBorders>
              <w:left w:val="single" w:sz="8" w:color="auto"/>
              <w:right w:val="single" w:sz="8" w:color="auto"/>
            </w:tcBorders>
            <w:shd w:val="clear" w:color="auto" w:fill="4DC1E4"/>
          </w:tcPr>
          <w:p>
            <w:pPr>
              <w:spacing w:after="0"/>
              <w:rPr>
                <w:sz w:val="14"/>
                <w:szCs w:val="14"/>
                <w:color w:val="auto"/>
              </w:rPr>
            </w:pPr>
          </w:p>
        </w:tc>
        <w:tc>
          <w:tcPr>
            <w:tcW w:w="60" w:type="dxa"/>
            <w:vAlign w:val="bottom"/>
            <w:shd w:val="clear" w:color="auto" w:fill="4DC1E4"/>
          </w:tcPr>
          <w:p>
            <w:pPr>
              <w:spacing w:after="0"/>
              <w:rPr>
                <w:sz w:val="14"/>
                <w:szCs w:val="14"/>
                <w:color w:val="auto"/>
              </w:rPr>
            </w:pPr>
          </w:p>
        </w:tc>
        <w:tc>
          <w:tcPr>
            <w:tcW w:w="780" w:type="dxa"/>
            <w:vAlign w:val="bottom"/>
            <w:shd w:val="clear" w:color="auto" w:fill="4DC1E4"/>
          </w:tcPr>
          <w:p>
            <w:pPr>
              <w:spacing w:after="0"/>
              <w:rPr>
                <w:sz w:val="14"/>
                <w:szCs w:val="14"/>
                <w:color w:val="auto"/>
              </w:rPr>
            </w:pPr>
          </w:p>
        </w:tc>
        <w:tc>
          <w:tcPr>
            <w:tcW w:w="900" w:type="dxa"/>
            <w:vAlign w:val="bottom"/>
            <w:shd w:val="clear" w:color="auto" w:fill="4DC1E4"/>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FFFFFF"/>
              </w:rPr>
              <w:t>U</w:t>
            </w:r>
            <w:r>
              <w:rPr>
                <w:rFonts w:ascii="Times New Roman" w:cs="Times New Roman" w:eastAsia="Times New Roman" w:hAnsi="Times New Roman"/>
                <w:sz w:val="12"/>
                <w:szCs w:val="12"/>
                <w:b w:val="1"/>
                <w:bCs w:val="1"/>
                <w:color w:val="FFFFFF"/>
              </w:rPr>
              <w:t>NDERLYI</w:t>
            </w:r>
          </w:p>
        </w:tc>
        <w:tc>
          <w:tcPr>
            <w:tcW w:w="840" w:type="dxa"/>
            <w:vAlign w:val="bottom"/>
            <w:shd w:val="clear" w:color="auto" w:fill="4DC1E4"/>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FFFFFF"/>
              </w:rPr>
              <w:t>U</w:t>
            </w:r>
            <w:r>
              <w:rPr>
                <w:rFonts w:ascii="Times New Roman" w:cs="Times New Roman" w:eastAsia="Times New Roman" w:hAnsi="Times New Roman"/>
                <w:sz w:val="12"/>
                <w:szCs w:val="12"/>
                <w:b w:val="1"/>
                <w:bCs w:val="1"/>
                <w:color w:val="FFFFFF"/>
              </w:rPr>
              <w:t>NDERLYI</w:t>
            </w:r>
          </w:p>
        </w:tc>
        <w:tc>
          <w:tcPr>
            <w:tcW w:w="760" w:type="dxa"/>
            <w:vAlign w:val="bottom"/>
            <w:shd w:val="clear" w:color="auto" w:fill="4DC1E4"/>
          </w:tcPr>
          <w:p>
            <w:pPr>
              <w:spacing w:after="0"/>
              <w:rPr>
                <w:sz w:val="14"/>
                <w:szCs w:val="14"/>
                <w:color w:val="auto"/>
              </w:rPr>
            </w:pPr>
          </w:p>
        </w:tc>
        <w:tc>
          <w:tcPr>
            <w:tcW w:w="860" w:type="dxa"/>
            <w:vAlign w:val="bottom"/>
            <w:tcBorders>
              <w:right w:val="single" w:sz="8" w:color="auto"/>
            </w:tcBorders>
            <w:shd w:val="clear" w:color="auto" w:fill="4DC1E4"/>
          </w:tcPr>
          <w:p>
            <w:pPr>
              <w:spacing w:after="0"/>
              <w:rPr>
                <w:sz w:val="14"/>
                <w:szCs w:val="14"/>
                <w:color w:val="auto"/>
              </w:rPr>
            </w:pPr>
          </w:p>
        </w:tc>
        <w:tc>
          <w:tcPr>
            <w:tcW w:w="980" w:type="dxa"/>
            <w:vAlign w:val="bottom"/>
            <w:vMerge w:val="continue"/>
            <w:shd w:val="clear" w:color="auto" w:fill="4DC1E4"/>
          </w:tcPr>
          <w:p>
            <w:pPr>
              <w:spacing w:after="0"/>
              <w:rPr>
                <w:sz w:val="14"/>
                <w:szCs w:val="14"/>
                <w:color w:val="auto"/>
              </w:rPr>
            </w:pPr>
          </w:p>
        </w:tc>
        <w:tc>
          <w:tcPr>
            <w:tcW w:w="880" w:type="dxa"/>
            <w:vAlign w:val="bottom"/>
            <w:tcBorders>
              <w:right w:val="single" w:sz="8" w:color="auto"/>
            </w:tcBorders>
            <w:shd w:val="clear" w:color="auto" w:fill="4DC1E4"/>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FFFFFF"/>
              </w:rPr>
              <w:t>S</w:t>
            </w:r>
            <w:r>
              <w:rPr>
                <w:rFonts w:ascii="Times New Roman" w:cs="Times New Roman" w:eastAsia="Times New Roman" w:hAnsi="Times New Roman"/>
                <w:sz w:val="12"/>
                <w:szCs w:val="12"/>
                <w:b w:val="1"/>
                <w:bCs w:val="1"/>
                <w:color w:val="FFFFFF"/>
              </w:rPr>
              <w:t>HARES OR</w:t>
            </w:r>
          </w:p>
        </w:tc>
        <w:tc>
          <w:tcPr>
            <w:tcW w:w="980" w:type="dxa"/>
            <w:vAlign w:val="bottom"/>
            <w:shd w:val="clear" w:color="auto" w:fill="4DC1E4"/>
          </w:tcPr>
          <w:p>
            <w:pPr>
              <w:jc w:val="center"/>
              <w:spacing w:after="0"/>
              <w:rPr>
                <w:sz w:val="20"/>
                <w:szCs w:val="20"/>
                <w:color w:val="auto"/>
              </w:rPr>
            </w:pPr>
            <w:r>
              <w:rPr>
                <w:rFonts w:ascii="Times New Roman" w:cs="Times New Roman" w:eastAsia="Times New Roman" w:hAnsi="Times New Roman"/>
                <w:sz w:val="13"/>
                <w:szCs w:val="13"/>
                <w:b w:val="1"/>
                <w:bCs w:val="1"/>
                <w:color w:val="FFFFFF"/>
                <w:w w:val="96"/>
              </w:rPr>
              <w:t>AWARDS:</w:t>
            </w:r>
          </w:p>
        </w:tc>
        <w:tc>
          <w:tcPr>
            <w:tcW w:w="9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3"/>
                <w:szCs w:val="13"/>
                <w:b w:val="1"/>
                <w:bCs w:val="1"/>
                <w:color w:val="FFFFFF"/>
                <w:w w:val="98"/>
              </w:rPr>
              <w:t>PAYOUT</w:t>
            </w:r>
          </w:p>
        </w:tc>
        <w:tc>
          <w:tcPr>
            <w:tcW w:w="0" w:type="dxa"/>
            <w:vAlign w:val="bottom"/>
          </w:tcPr>
          <w:p>
            <w:pPr>
              <w:spacing w:after="0"/>
              <w:rPr>
                <w:sz w:val="1"/>
                <w:szCs w:val="1"/>
                <w:color w:val="auto"/>
              </w:rPr>
            </w:pPr>
          </w:p>
        </w:tc>
      </w:tr>
      <w:tr>
        <w:trPr>
          <w:trHeight w:val="135"/>
        </w:trPr>
        <w:tc>
          <w:tcPr>
            <w:tcW w:w="1440" w:type="dxa"/>
            <w:vAlign w:val="bottom"/>
            <w:tcBorders>
              <w:left w:val="single" w:sz="8" w:color="auto"/>
              <w:right w:val="single" w:sz="8" w:color="auto"/>
            </w:tcBorders>
            <w:shd w:val="clear" w:color="auto" w:fill="4DC1E4"/>
          </w:tcPr>
          <w:p>
            <w:pPr>
              <w:spacing w:after="0"/>
              <w:rPr>
                <w:sz w:val="11"/>
                <w:szCs w:val="11"/>
                <w:color w:val="auto"/>
              </w:rPr>
            </w:pPr>
          </w:p>
        </w:tc>
        <w:tc>
          <w:tcPr>
            <w:tcW w:w="60" w:type="dxa"/>
            <w:vAlign w:val="bottom"/>
            <w:shd w:val="clear" w:color="auto" w:fill="4DC1E4"/>
          </w:tcPr>
          <w:p>
            <w:pPr>
              <w:spacing w:after="0"/>
              <w:rPr>
                <w:sz w:val="11"/>
                <w:szCs w:val="11"/>
                <w:color w:val="auto"/>
              </w:rPr>
            </w:pPr>
          </w:p>
        </w:tc>
        <w:tc>
          <w:tcPr>
            <w:tcW w:w="780" w:type="dxa"/>
            <w:vAlign w:val="bottom"/>
            <w:shd w:val="clear" w:color="auto" w:fill="4DC1E4"/>
          </w:tcPr>
          <w:p>
            <w:pPr>
              <w:spacing w:after="0"/>
              <w:rPr>
                <w:sz w:val="11"/>
                <w:szCs w:val="11"/>
                <w:color w:val="auto"/>
              </w:rPr>
            </w:pPr>
          </w:p>
        </w:tc>
        <w:tc>
          <w:tcPr>
            <w:tcW w:w="900" w:type="dxa"/>
            <w:vAlign w:val="bottom"/>
            <w:shd w:val="clear" w:color="auto" w:fill="4DC1E4"/>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2"/>
              </w:rPr>
              <w:t>NG</w:t>
            </w:r>
          </w:p>
        </w:tc>
        <w:tc>
          <w:tcPr>
            <w:tcW w:w="840" w:type="dxa"/>
            <w:vAlign w:val="bottom"/>
            <w:shd w:val="clear" w:color="auto" w:fill="4DC1E4"/>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rPr>
              <w:t>NG</w:t>
            </w:r>
          </w:p>
        </w:tc>
        <w:tc>
          <w:tcPr>
            <w:tcW w:w="760" w:type="dxa"/>
            <w:vAlign w:val="bottom"/>
            <w:shd w:val="clear" w:color="auto" w:fill="4DC1E4"/>
          </w:tcPr>
          <w:p>
            <w:pPr>
              <w:spacing w:after="0"/>
              <w:rPr>
                <w:sz w:val="11"/>
                <w:szCs w:val="11"/>
                <w:color w:val="auto"/>
              </w:rPr>
            </w:pPr>
          </w:p>
        </w:tc>
        <w:tc>
          <w:tcPr>
            <w:tcW w:w="860" w:type="dxa"/>
            <w:vAlign w:val="bottom"/>
            <w:tcBorders>
              <w:right w:val="single" w:sz="8" w:color="auto"/>
            </w:tcBorders>
            <w:shd w:val="clear" w:color="auto" w:fill="4DC1E4"/>
          </w:tcPr>
          <w:p>
            <w:pPr>
              <w:spacing w:after="0"/>
              <w:rPr>
                <w:sz w:val="11"/>
                <w:szCs w:val="11"/>
                <w:color w:val="auto"/>
              </w:rPr>
            </w:pPr>
          </w:p>
        </w:tc>
        <w:tc>
          <w:tcPr>
            <w:tcW w:w="980" w:type="dxa"/>
            <w:vAlign w:val="bottom"/>
            <w:shd w:val="clear" w:color="auto" w:fill="4DC1E4"/>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FFFFFF"/>
              </w:rPr>
              <w:t>S</w:t>
            </w:r>
            <w:r>
              <w:rPr>
                <w:rFonts w:ascii="Times New Roman" w:cs="Times New Roman" w:eastAsia="Times New Roman" w:hAnsi="Times New Roman"/>
                <w:sz w:val="11"/>
                <w:szCs w:val="11"/>
                <w:b w:val="1"/>
                <w:bCs w:val="1"/>
                <w:color w:val="FFFFFF"/>
              </w:rPr>
              <w:t>HARES OR</w:t>
            </w:r>
          </w:p>
        </w:tc>
        <w:tc>
          <w:tcPr>
            <w:tcW w:w="880" w:type="dxa"/>
            <w:vAlign w:val="bottom"/>
            <w:tcBorders>
              <w:right w:val="single" w:sz="8" w:color="auto"/>
            </w:tcBorders>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U</w:t>
            </w:r>
            <w:r>
              <w:rPr>
                <w:rFonts w:ascii="Times New Roman" w:cs="Times New Roman" w:eastAsia="Times New Roman" w:hAnsi="Times New Roman"/>
                <w:sz w:val="12"/>
                <w:szCs w:val="12"/>
                <w:b w:val="1"/>
                <w:bCs w:val="1"/>
                <w:color w:val="FFFFFF"/>
              </w:rPr>
              <w:t>NITS OF</w:t>
            </w:r>
          </w:p>
        </w:tc>
        <w:tc>
          <w:tcPr>
            <w:tcW w:w="980" w:type="dxa"/>
            <w:vAlign w:val="bottom"/>
            <w:shd w:val="clear" w:color="auto" w:fill="4DC1E4"/>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6"/>
              </w:rPr>
              <w:t>NUMBER OF</w:t>
            </w:r>
          </w:p>
        </w:tc>
        <w:tc>
          <w:tcPr>
            <w:tcW w:w="960" w:type="dxa"/>
            <w:vAlign w:val="bottom"/>
            <w:tcBorders>
              <w:right w:val="single" w:sz="8" w:color="auto"/>
            </w:tcBorders>
            <w:shd w:val="clear" w:color="auto" w:fill="4DC1E4"/>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8"/>
              </w:rPr>
              <w:t>VALUE OF</w:t>
            </w:r>
          </w:p>
        </w:tc>
        <w:tc>
          <w:tcPr>
            <w:tcW w:w="0" w:type="dxa"/>
            <w:vAlign w:val="bottom"/>
          </w:tcPr>
          <w:p>
            <w:pPr>
              <w:spacing w:after="0"/>
              <w:rPr>
                <w:sz w:val="1"/>
                <w:szCs w:val="1"/>
                <w:color w:val="auto"/>
              </w:rPr>
            </w:pPr>
          </w:p>
        </w:tc>
      </w:tr>
      <w:tr>
        <w:trPr>
          <w:trHeight w:val="101"/>
        </w:trPr>
        <w:tc>
          <w:tcPr>
            <w:tcW w:w="1440" w:type="dxa"/>
            <w:vAlign w:val="bottom"/>
            <w:tcBorders>
              <w:left w:val="single" w:sz="8" w:color="auto"/>
              <w:right w:val="single" w:sz="8" w:color="auto"/>
            </w:tcBorders>
            <w:shd w:val="clear" w:color="auto" w:fill="4DC1E4"/>
          </w:tcPr>
          <w:p>
            <w:pPr>
              <w:spacing w:after="0"/>
              <w:rPr>
                <w:sz w:val="8"/>
                <w:szCs w:val="8"/>
                <w:color w:val="auto"/>
              </w:rPr>
            </w:pPr>
          </w:p>
        </w:tc>
        <w:tc>
          <w:tcPr>
            <w:tcW w:w="60" w:type="dxa"/>
            <w:vAlign w:val="bottom"/>
            <w:shd w:val="clear" w:color="auto" w:fill="4DC1E4"/>
          </w:tcPr>
          <w:p>
            <w:pPr>
              <w:spacing w:after="0"/>
              <w:rPr>
                <w:sz w:val="8"/>
                <w:szCs w:val="8"/>
                <w:color w:val="auto"/>
              </w:rPr>
            </w:pPr>
          </w:p>
        </w:tc>
        <w:tc>
          <w:tcPr>
            <w:tcW w:w="780" w:type="dxa"/>
            <w:vAlign w:val="bottom"/>
            <w:shd w:val="clear" w:color="auto" w:fill="4DC1E4"/>
          </w:tcPr>
          <w:p>
            <w:pPr>
              <w:spacing w:after="0"/>
              <w:rPr>
                <w:sz w:val="8"/>
                <w:szCs w:val="8"/>
                <w:color w:val="auto"/>
              </w:rPr>
            </w:pPr>
          </w:p>
        </w:tc>
        <w:tc>
          <w:tcPr>
            <w:tcW w:w="900" w:type="dxa"/>
            <w:vAlign w:val="bottom"/>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U</w:t>
            </w:r>
            <w:r>
              <w:rPr>
                <w:rFonts w:ascii="Times New Roman" w:cs="Times New Roman" w:eastAsia="Times New Roman" w:hAnsi="Times New Roman"/>
                <w:sz w:val="12"/>
                <w:szCs w:val="12"/>
                <w:b w:val="1"/>
                <w:bCs w:val="1"/>
                <w:color w:val="FFFFFF"/>
              </w:rPr>
              <w:t>NEXERCI</w:t>
            </w:r>
          </w:p>
        </w:tc>
        <w:tc>
          <w:tcPr>
            <w:tcW w:w="840" w:type="dxa"/>
            <w:vAlign w:val="bottom"/>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U</w:t>
            </w:r>
            <w:r>
              <w:rPr>
                <w:rFonts w:ascii="Times New Roman" w:cs="Times New Roman" w:eastAsia="Times New Roman" w:hAnsi="Times New Roman"/>
                <w:sz w:val="12"/>
                <w:szCs w:val="12"/>
                <w:b w:val="1"/>
                <w:bCs w:val="1"/>
                <w:color w:val="FFFFFF"/>
              </w:rPr>
              <w:t>NEXERCI</w:t>
            </w:r>
          </w:p>
        </w:tc>
        <w:tc>
          <w:tcPr>
            <w:tcW w:w="760" w:type="dxa"/>
            <w:vAlign w:val="bottom"/>
            <w:shd w:val="clear" w:color="auto" w:fill="4DC1E4"/>
          </w:tcPr>
          <w:p>
            <w:pPr>
              <w:spacing w:after="0"/>
              <w:rPr>
                <w:sz w:val="8"/>
                <w:szCs w:val="8"/>
                <w:color w:val="auto"/>
              </w:rPr>
            </w:pPr>
          </w:p>
        </w:tc>
        <w:tc>
          <w:tcPr>
            <w:tcW w:w="860" w:type="dxa"/>
            <w:vAlign w:val="bottom"/>
            <w:tcBorders>
              <w:right w:val="single" w:sz="8" w:color="auto"/>
            </w:tcBorders>
            <w:shd w:val="clear" w:color="auto" w:fill="4DC1E4"/>
          </w:tcPr>
          <w:p>
            <w:pPr>
              <w:spacing w:after="0"/>
              <w:rPr>
                <w:sz w:val="8"/>
                <w:szCs w:val="8"/>
                <w:color w:val="auto"/>
              </w:rPr>
            </w:pPr>
          </w:p>
        </w:tc>
        <w:tc>
          <w:tcPr>
            <w:tcW w:w="980" w:type="dxa"/>
            <w:vAlign w:val="bottom"/>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U</w:t>
            </w:r>
            <w:r>
              <w:rPr>
                <w:rFonts w:ascii="Times New Roman" w:cs="Times New Roman" w:eastAsia="Times New Roman" w:hAnsi="Times New Roman"/>
                <w:sz w:val="12"/>
                <w:szCs w:val="12"/>
                <w:b w:val="1"/>
                <w:bCs w:val="1"/>
                <w:color w:val="FFFFFF"/>
              </w:rPr>
              <w:t>NITS OF</w:t>
            </w:r>
          </w:p>
        </w:tc>
        <w:tc>
          <w:tcPr>
            <w:tcW w:w="880" w:type="dxa"/>
            <w:vAlign w:val="bottom"/>
            <w:tcBorders>
              <w:right w:val="single" w:sz="8" w:color="auto"/>
            </w:tcBorders>
            <w:vMerge w:val="continue"/>
            <w:shd w:val="clear" w:color="auto" w:fill="4DC1E4"/>
          </w:tcPr>
          <w:p>
            <w:pPr>
              <w:spacing w:after="0"/>
              <w:rPr>
                <w:sz w:val="8"/>
                <w:szCs w:val="8"/>
                <w:color w:val="auto"/>
              </w:rPr>
            </w:pPr>
          </w:p>
        </w:tc>
        <w:tc>
          <w:tcPr>
            <w:tcW w:w="980" w:type="dxa"/>
            <w:vAlign w:val="bottom"/>
            <w:shd w:val="clear" w:color="auto" w:fill="4DC1E4"/>
          </w:tcPr>
          <w:p>
            <w:pPr>
              <w:jc w:val="center"/>
              <w:spacing w:after="0" w:line="102" w:lineRule="exact"/>
              <w:rPr>
                <w:sz w:val="20"/>
                <w:szCs w:val="20"/>
                <w:color w:val="auto"/>
              </w:rPr>
            </w:pPr>
            <w:r>
              <w:rPr>
                <w:rFonts w:ascii="Times New Roman" w:cs="Times New Roman" w:eastAsia="Times New Roman" w:hAnsi="Times New Roman"/>
                <w:sz w:val="10"/>
                <w:szCs w:val="10"/>
                <w:b w:val="1"/>
                <w:bCs w:val="1"/>
                <w:color w:val="FFFFFF"/>
              </w:rPr>
              <w:t>UNEARNED</w:t>
            </w:r>
          </w:p>
        </w:tc>
        <w:tc>
          <w:tcPr>
            <w:tcW w:w="960" w:type="dxa"/>
            <w:vAlign w:val="bottom"/>
            <w:tcBorders>
              <w:right w:val="single" w:sz="8" w:color="auto"/>
            </w:tcBorders>
            <w:shd w:val="clear" w:color="auto" w:fill="4DC1E4"/>
          </w:tcPr>
          <w:p>
            <w:pPr>
              <w:jc w:val="center"/>
              <w:spacing w:after="0" w:line="102" w:lineRule="exact"/>
              <w:rPr>
                <w:sz w:val="20"/>
                <w:szCs w:val="20"/>
                <w:color w:val="auto"/>
              </w:rPr>
            </w:pPr>
            <w:r>
              <w:rPr>
                <w:rFonts w:ascii="Times New Roman" w:cs="Times New Roman" w:eastAsia="Times New Roman" w:hAnsi="Times New Roman"/>
                <w:sz w:val="10"/>
                <w:szCs w:val="10"/>
                <w:b w:val="1"/>
                <w:bCs w:val="1"/>
                <w:color w:val="FFFFFF"/>
              </w:rPr>
              <w:t>UNEARNED</w:t>
            </w:r>
          </w:p>
        </w:tc>
        <w:tc>
          <w:tcPr>
            <w:tcW w:w="0" w:type="dxa"/>
            <w:vAlign w:val="bottom"/>
          </w:tcPr>
          <w:p>
            <w:pPr>
              <w:spacing w:after="0"/>
              <w:rPr>
                <w:sz w:val="1"/>
                <w:szCs w:val="1"/>
                <w:color w:val="auto"/>
              </w:rPr>
            </w:pPr>
          </w:p>
        </w:tc>
      </w:tr>
      <w:tr>
        <w:trPr>
          <w:trHeight w:val="135"/>
        </w:trPr>
        <w:tc>
          <w:tcPr>
            <w:tcW w:w="1440" w:type="dxa"/>
            <w:vAlign w:val="bottom"/>
            <w:tcBorders>
              <w:left w:val="single" w:sz="8" w:color="auto"/>
              <w:right w:val="single" w:sz="8" w:color="auto"/>
            </w:tcBorders>
            <w:shd w:val="clear" w:color="auto" w:fill="4DC1E4"/>
          </w:tcPr>
          <w:p>
            <w:pPr>
              <w:spacing w:after="0"/>
              <w:rPr>
                <w:sz w:val="11"/>
                <w:szCs w:val="11"/>
                <w:color w:val="auto"/>
              </w:rPr>
            </w:pPr>
          </w:p>
        </w:tc>
        <w:tc>
          <w:tcPr>
            <w:tcW w:w="60" w:type="dxa"/>
            <w:vAlign w:val="bottom"/>
            <w:shd w:val="clear" w:color="auto" w:fill="4DC1E4"/>
          </w:tcPr>
          <w:p>
            <w:pPr>
              <w:spacing w:after="0"/>
              <w:rPr>
                <w:sz w:val="11"/>
                <w:szCs w:val="11"/>
                <w:color w:val="auto"/>
              </w:rPr>
            </w:pPr>
          </w:p>
        </w:tc>
        <w:tc>
          <w:tcPr>
            <w:tcW w:w="780" w:type="dxa"/>
            <w:vAlign w:val="bottom"/>
            <w:shd w:val="clear" w:color="auto" w:fill="4DC1E4"/>
          </w:tcPr>
          <w:p>
            <w:pPr>
              <w:spacing w:after="0"/>
              <w:rPr>
                <w:sz w:val="11"/>
                <w:szCs w:val="11"/>
                <w:color w:val="auto"/>
              </w:rPr>
            </w:pPr>
          </w:p>
        </w:tc>
        <w:tc>
          <w:tcPr>
            <w:tcW w:w="900" w:type="dxa"/>
            <w:vAlign w:val="bottom"/>
            <w:vMerge w:val="continue"/>
            <w:shd w:val="clear" w:color="auto" w:fill="4DC1E4"/>
          </w:tcPr>
          <w:p>
            <w:pPr>
              <w:spacing w:after="0"/>
              <w:rPr>
                <w:sz w:val="11"/>
                <w:szCs w:val="11"/>
                <w:color w:val="auto"/>
              </w:rPr>
            </w:pPr>
          </w:p>
        </w:tc>
        <w:tc>
          <w:tcPr>
            <w:tcW w:w="840" w:type="dxa"/>
            <w:vAlign w:val="bottom"/>
            <w:vMerge w:val="continue"/>
            <w:shd w:val="clear" w:color="auto" w:fill="4DC1E4"/>
          </w:tcPr>
          <w:p>
            <w:pPr>
              <w:spacing w:after="0"/>
              <w:rPr>
                <w:sz w:val="11"/>
                <w:szCs w:val="11"/>
                <w:color w:val="auto"/>
              </w:rPr>
            </w:pPr>
          </w:p>
        </w:tc>
        <w:tc>
          <w:tcPr>
            <w:tcW w:w="760" w:type="dxa"/>
            <w:vAlign w:val="bottom"/>
            <w:shd w:val="clear" w:color="auto" w:fill="4DC1E4"/>
          </w:tcPr>
          <w:p>
            <w:pPr>
              <w:spacing w:after="0"/>
              <w:rPr>
                <w:sz w:val="11"/>
                <w:szCs w:val="11"/>
                <w:color w:val="auto"/>
              </w:rPr>
            </w:pPr>
          </w:p>
        </w:tc>
        <w:tc>
          <w:tcPr>
            <w:tcW w:w="860" w:type="dxa"/>
            <w:vAlign w:val="bottom"/>
            <w:tcBorders>
              <w:right w:val="single" w:sz="8" w:color="auto"/>
            </w:tcBorders>
            <w:shd w:val="clear" w:color="auto" w:fill="4DC1E4"/>
          </w:tcPr>
          <w:p>
            <w:pPr>
              <w:spacing w:after="0"/>
              <w:rPr>
                <w:sz w:val="11"/>
                <w:szCs w:val="11"/>
                <w:color w:val="auto"/>
              </w:rPr>
            </w:pPr>
          </w:p>
        </w:tc>
        <w:tc>
          <w:tcPr>
            <w:tcW w:w="980" w:type="dxa"/>
            <w:vAlign w:val="bottom"/>
            <w:vMerge w:val="continue"/>
            <w:shd w:val="clear" w:color="auto" w:fill="4DC1E4"/>
          </w:tcPr>
          <w:p>
            <w:pPr>
              <w:spacing w:after="0"/>
              <w:rPr>
                <w:sz w:val="11"/>
                <w:szCs w:val="11"/>
                <w:color w:val="auto"/>
              </w:rPr>
            </w:pPr>
          </w:p>
        </w:tc>
        <w:tc>
          <w:tcPr>
            <w:tcW w:w="880" w:type="dxa"/>
            <w:vAlign w:val="bottom"/>
            <w:tcBorders>
              <w:right w:val="single" w:sz="8" w:color="auto"/>
            </w:tcBorders>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S</w:t>
            </w:r>
            <w:r>
              <w:rPr>
                <w:rFonts w:ascii="Times New Roman" w:cs="Times New Roman" w:eastAsia="Times New Roman" w:hAnsi="Times New Roman"/>
                <w:sz w:val="12"/>
                <w:szCs w:val="12"/>
                <w:b w:val="1"/>
                <w:bCs w:val="1"/>
                <w:color w:val="FFFFFF"/>
              </w:rPr>
              <w:t>TOCK</w:t>
            </w:r>
          </w:p>
        </w:tc>
        <w:tc>
          <w:tcPr>
            <w:tcW w:w="980" w:type="dxa"/>
            <w:vAlign w:val="bottom"/>
            <w:shd w:val="clear" w:color="auto" w:fill="4DC1E4"/>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7"/>
              </w:rPr>
              <w:t>SHARES,</w:t>
            </w:r>
          </w:p>
        </w:tc>
        <w:tc>
          <w:tcPr>
            <w:tcW w:w="960" w:type="dxa"/>
            <w:vAlign w:val="bottom"/>
            <w:tcBorders>
              <w:right w:val="single" w:sz="8" w:color="auto"/>
            </w:tcBorders>
            <w:shd w:val="clear" w:color="auto" w:fill="4DC1E4"/>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7"/>
              </w:rPr>
              <w:t>SHARES,</w:t>
            </w:r>
          </w:p>
        </w:tc>
        <w:tc>
          <w:tcPr>
            <w:tcW w:w="0" w:type="dxa"/>
            <w:vAlign w:val="bottom"/>
          </w:tcPr>
          <w:p>
            <w:pPr>
              <w:spacing w:after="0"/>
              <w:rPr>
                <w:sz w:val="1"/>
                <w:szCs w:val="1"/>
                <w:color w:val="auto"/>
              </w:rPr>
            </w:pPr>
          </w:p>
        </w:tc>
      </w:tr>
      <w:tr>
        <w:trPr>
          <w:trHeight w:val="112"/>
        </w:trPr>
        <w:tc>
          <w:tcPr>
            <w:tcW w:w="1440" w:type="dxa"/>
            <w:vAlign w:val="bottom"/>
            <w:tcBorders>
              <w:left w:val="single" w:sz="8" w:color="auto"/>
              <w:right w:val="single" w:sz="8" w:color="auto"/>
            </w:tcBorders>
            <w:shd w:val="clear" w:color="auto" w:fill="4DC1E4"/>
          </w:tcPr>
          <w:p>
            <w:pPr>
              <w:spacing w:after="0"/>
              <w:rPr>
                <w:sz w:val="9"/>
                <w:szCs w:val="9"/>
                <w:color w:val="auto"/>
              </w:rPr>
            </w:pPr>
          </w:p>
        </w:tc>
        <w:tc>
          <w:tcPr>
            <w:tcW w:w="60" w:type="dxa"/>
            <w:vAlign w:val="bottom"/>
            <w:shd w:val="clear" w:color="auto" w:fill="4DC1E4"/>
          </w:tcPr>
          <w:p>
            <w:pPr>
              <w:spacing w:after="0"/>
              <w:rPr>
                <w:sz w:val="9"/>
                <w:szCs w:val="9"/>
                <w:color w:val="auto"/>
              </w:rPr>
            </w:pPr>
          </w:p>
        </w:tc>
        <w:tc>
          <w:tcPr>
            <w:tcW w:w="780" w:type="dxa"/>
            <w:vAlign w:val="bottom"/>
            <w:shd w:val="clear" w:color="auto" w:fill="4DC1E4"/>
          </w:tcPr>
          <w:p>
            <w:pPr>
              <w:spacing w:after="0"/>
              <w:rPr>
                <w:sz w:val="9"/>
                <w:szCs w:val="9"/>
                <w:color w:val="auto"/>
              </w:rPr>
            </w:pPr>
          </w:p>
        </w:tc>
        <w:tc>
          <w:tcPr>
            <w:tcW w:w="900" w:type="dxa"/>
            <w:vAlign w:val="bottom"/>
            <w:vMerge w:val="restart"/>
            <w:shd w:val="clear" w:color="auto" w:fill="4DC1E4"/>
          </w:tcPr>
          <w:p>
            <w:pPr>
              <w:jc w:val="center"/>
              <w:spacing w:after="0"/>
              <w:rPr>
                <w:sz w:val="20"/>
                <w:szCs w:val="20"/>
                <w:color w:val="auto"/>
              </w:rPr>
            </w:pPr>
            <w:r>
              <w:rPr>
                <w:rFonts w:ascii="Times New Roman" w:cs="Times New Roman" w:eastAsia="Times New Roman" w:hAnsi="Times New Roman"/>
                <w:sz w:val="13"/>
                <w:szCs w:val="13"/>
                <w:b w:val="1"/>
                <w:bCs w:val="1"/>
                <w:color w:val="FFFFFF"/>
                <w:w w:val="94"/>
              </w:rPr>
              <w:t>SED</w:t>
            </w:r>
          </w:p>
        </w:tc>
        <w:tc>
          <w:tcPr>
            <w:tcW w:w="840" w:type="dxa"/>
            <w:vAlign w:val="bottom"/>
            <w:vMerge w:val="restart"/>
            <w:shd w:val="clear" w:color="auto" w:fill="4DC1E4"/>
          </w:tcPr>
          <w:p>
            <w:pPr>
              <w:jc w:val="center"/>
              <w:spacing w:after="0"/>
              <w:rPr>
                <w:sz w:val="20"/>
                <w:szCs w:val="20"/>
                <w:color w:val="auto"/>
              </w:rPr>
            </w:pPr>
            <w:r>
              <w:rPr>
                <w:rFonts w:ascii="Times New Roman" w:cs="Times New Roman" w:eastAsia="Times New Roman" w:hAnsi="Times New Roman"/>
                <w:sz w:val="13"/>
                <w:szCs w:val="13"/>
                <w:b w:val="1"/>
                <w:bCs w:val="1"/>
                <w:color w:val="FFFFFF"/>
                <w:w w:val="94"/>
              </w:rPr>
              <w:t>SED</w:t>
            </w:r>
          </w:p>
        </w:tc>
        <w:tc>
          <w:tcPr>
            <w:tcW w:w="760" w:type="dxa"/>
            <w:vAlign w:val="bottom"/>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O</w:t>
            </w:r>
            <w:r>
              <w:rPr>
                <w:rFonts w:ascii="Times New Roman" w:cs="Times New Roman" w:eastAsia="Times New Roman" w:hAnsi="Times New Roman"/>
                <w:sz w:val="12"/>
                <w:szCs w:val="12"/>
                <w:b w:val="1"/>
                <w:bCs w:val="1"/>
                <w:color w:val="FFFFFF"/>
              </w:rPr>
              <w:t>PTION</w:t>
            </w:r>
          </w:p>
        </w:tc>
        <w:tc>
          <w:tcPr>
            <w:tcW w:w="860" w:type="dxa"/>
            <w:vAlign w:val="bottom"/>
            <w:tcBorders>
              <w:right w:val="single" w:sz="8" w:color="auto"/>
            </w:tcBorders>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O</w:t>
            </w:r>
            <w:r>
              <w:rPr>
                <w:rFonts w:ascii="Times New Roman" w:cs="Times New Roman" w:eastAsia="Times New Roman" w:hAnsi="Times New Roman"/>
                <w:sz w:val="12"/>
                <w:szCs w:val="12"/>
                <w:b w:val="1"/>
                <w:bCs w:val="1"/>
                <w:color w:val="FFFFFF"/>
              </w:rPr>
              <w:t>PTION</w:t>
            </w:r>
          </w:p>
        </w:tc>
        <w:tc>
          <w:tcPr>
            <w:tcW w:w="980" w:type="dxa"/>
            <w:vAlign w:val="bottom"/>
            <w:vMerge w:val="restart"/>
            <w:shd w:val="clear" w:color="auto" w:fill="4DC1E4"/>
          </w:tcPr>
          <w:p>
            <w:pPr>
              <w:jc w:val="center"/>
              <w:spacing w:after="0" w:line="169" w:lineRule="exact"/>
              <w:rPr>
                <w:sz w:val="20"/>
                <w:szCs w:val="20"/>
                <w:color w:val="auto"/>
              </w:rPr>
            </w:pPr>
            <w:r>
              <w:rPr>
                <w:rFonts w:ascii="Times New Roman" w:cs="Times New Roman" w:eastAsia="Times New Roman" w:hAnsi="Times New Roman"/>
                <w:sz w:val="16"/>
                <w:szCs w:val="16"/>
                <w:b w:val="1"/>
                <w:bCs w:val="1"/>
                <w:color w:val="FFFFFF"/>
              </w:rPr>
              <w:t>S</w:t>
            </w:r>
            <w:r>
              <w:rPr>
                <w:rFonts w:ascii="Times New Roman" w:cs="Times New Roman" w:eastAsia="Times New Roman" w:hAnsi="Times New Roman"/>
                <w:sz w:val="12"/>
                <w:szCs w:val="12"/>
                <w:b w:val="1"/>
                <w:bCs w:val="1"/>
                <w:color w:val="FFFFFF"/>
              </w:rPr>
              <w:t>TOCK</w:t>
            </w:r>
          </w:p>
        </w:tc>
        <w:tc>
          <w:tcPr>
            <w:tcW w:w="880" w:type="dxa"/>
            <w:vAlign w:val="bottom"/>
            <w:tcBorders>
              <w:right w:val="single" w:sz="8" w:color="auto"/>
            </w:tcBorders>
            <w:vMerge w:val="continue"/>
            <w:shd w:val="clear" w:color="auto" w:fill="4DC1E4"/>
          </w:tcPr>
          <w:p>
            <w:pPr>
              <w:spacing w:after="0"/>
              <w:rPr>
                <w:sz w:val="9"/>
                <w:szCs w:val="9"/>
                <w:color w:val="auto"/>
              </w:rPr>
            </w:pPr>
          </w:p>
        </w:tc>
        <w:tc>
          <w:tcPr>
            <w:tcW w:w="980" w:type="dxa"/>
            <w:vAlign w:val="bottom"/>
            <w:vMerge w:val="restart"/>
            <w:shd w:val="clear" w:color="auto" w:fill="4DC1E4"/>
          </w:tcPr>
          <w:p>
            <w:pPr>
              <w:jc w:val="center"/>
              <w:spacing w:after="0"/>
              <w:rPr>
                <w:sz w:val="20"/>
                <w:szCs w:val="20"/>
                <w:color w:val="auto"/>
              </w:rPr>
            </w:pPr>
            <w:r>
              <w:rPr>
                <w:rFonts w:ascii="Times New Roman" w:cs="Times New Roman" w:eastAsia="Times New Roman" w:hAnsi="Times New Roman"/>
                <w:sz w:val="13"/>
                <w:szCs w:val="13"/>
                <w:b w:val="1"/>
                <w:bCs w:val="1"/>
                <w:color w:val="FFFFFF"/>
                <w:w w:val="95"/>
              </w:rPr>
              <w:t>UNITS OR</w:t>
            </w:r>
          </w:p>
        </w:tc>
        <w:tc>
          <w:tcPr>
            <w:tcW w:w="960" w:type="dxa"/>
            <w:vAlign w:val="bottom"/>
            <w:tcBorders>
              <w:right w:val="single" w:sz="8" w:color="auto"/>
            </w:tcBorders>
            <w:vMerge w:val="restart"/>
            <w:shd w:val="clear" w:color="auto" w:fill="4DC1E4"/>
          </w:tcPr>
          <w:p>
            <w:pPr>
              <w:jc w:val="center"/>
              <w:spacing w:after="0"/>
              <w:rPr>
                <w:sz w:val="20"/>
                <w:szCs w:val="20"/>
                <w:color w:val="auto"/>
              </w:rPr>
            </w:pPr>
            <w:r>
              <w:rPr>
                <w:rFonts w:ascii="Times New Roman" w:cs="Times New Roman" w:eastAsia="Times New Roman" w:hAnsi="Times New Roman"/>
                <w:sz w:val="13"/>
                <w:szCs w:val="13"/>
                <w:b w:val="1"/>
                <w:bCs w:val="1"/>
                <w:color w:val="FFFFFF"/>
                <w:w w:val="99"/>
              </w:rPr>
              <w:t>UNITS OR</w:t>
            </w:r>
          </w:p>
        </w:tc>
        <w:tc>
          <w:tcPr>
            <w:tcW w:w="0" w:type="dxa"/>
            <w:vAlign w:val="bottom"/>
          </w:tcPr>
          <w:p>
            <w:pPr>
              <w:spacing w:after="0"/>
              <w:rPr>
                <w:sz w:val="1"/>
                <w:szCs w:val="1"/>
                <w:color w:val="auto"/>
              </w:rPr>
            </w:pPr>
          </w:p>
        </w:tc>
      </w:tr>
      <w:tr>
        <w:trPr>
          <w:trHeight w:val="56"/>
        </w:trPr>
        <w:tc>
          <w:tcPr>
            <w:tcW w:w="1440" w:type="dxa"/>
            <w:vAlign w:val="bottom"/>
            <w:tcBorders>
              <w:left w:val="single" w:sz="8" w:color="auto"/>
              <w:right w:val="single" w:sz="8" w:color="auto"/>
            </w:tcBorders>
            <w:shd w:val="clear" w:color="auto" w:fill="4DC1E4"/>
          </w:tcPr>
          <w:p>
            <w:pPr>
              <w:spacing w:after="0"/>
              <w:rPr>
                <w:sz w:val="4"/>
                <w:szCs w:val="4"/>
                <w:color w:val="auto"/>
              </w:rPr>
            </w:pPr>
          </w:p>
        </w:tc>
        <w:tc>
          <w:tcPr>
            <w:tcW w:w="60" w:type="dxa"/>
            <w:vAlign w:val="bottom"/>
            <w:shd w:val="clear" w:color="auto" w:fill="4DC1E4"/>
          </w:tcPr>
          <w:p>
            <w:pPr>
              <w:spacing w:after="0"/>
              <w:rPr>
                <w:sz w:val="4"/>
                <w:szCs w:val="4"/>
                <w:color w:val="auto"/>
              </w:rPr>
            </w:pPr>
          </w:p>
        </w:tc>
        <w:tc>
          <w:tcPr>
            <w:tcW w:w="780" w:type="dxa"/>
            <w:vAlign w:val="bottom"/>
            <w:shd w:val="clear" w:color="auto" w:fill="4DC1E4"/>
          </w:tcPr>
          <w:p>
            <w:pPr>
              <w:spacing w:after="0"/>
              <w:rPr>
                <w:sz w:val="4"/>
                <w:szCs w:val="4"/>
                <w:color w:val="auto"/>
              </w:rPr>
            </w:pPr>
          </w:p>
        </w:tc>
        <w:tc>
          <w:tcPr>
            <w:tcW w:w="900" w:type="dxa"/>
            <w:vAlign w:val="bottom"/>
            <w:vMerge w:val="continue"/>
            <w:shd w:val="clear" w:color="auto" w:fill="4DC1E4"/>
          </w:tcPr>
          <w:p>
            <w:pPr>
              <w:spacing w:after="0"/>
              <w:rPr>
                <w:sz w:val="4"/>
                <w:szCs w:val="4"/>
                <w:color w:val="auto"/>
              </w:rPr>
            </w:pPr>
          </w:p>
        </w:tc>
        <w:tc>
          <w:tcPr>
            <w:tcW w:w="840" w:type="dxa"/>
            <w:vAlign w:val="bottom"/>
            <w:vMerge w:val="continue"/>
            <w:shd w:val="clear" w:color="auto" w:fill="4DC1E4"/>
          </w:tcPr>
          <w:p>
            <w:pPr>
              <w:spacing w:after="0"/>
              <w:rPr>
                <w:sz w:val="4"/>
                <w:szCs w:val="4"/>
                <w:color w:val="auto"/>
              </w:rPr>
            </w:pPr>
          </w:p>
        </w:tc>
        <w:tc>
          <w:tcPr>
            <w:tcW w:w="760" w:type="dxa"/>
            <w:vAlign w:val="bottom"/>
            <w:vMerge w:val="continue"/>
            <w:shd w:val="clear" w:color="auto" w:fill="4DC1E4"/>
          </w:tcPr>
          <w:p>
            <w:pPr>
              <w:spacing w:after="0"/>
              <w:rPr>
                <w:sz w:val="4"/>
                <w:szCs w:val="4"/>
                <w:color w:val="auto"/>
              </w:rPr>
            </w:pPr>
          </w:p>
        </w:tc>
        <w:tc>
          <w:tcPr>
            <w:tcW w:w="860" w:type="dxa"/>
            <w:vAlign w:val="bottom"/>
            <w:tcBorders>
              <w:right w:val="single" w:sz="8" w:color="auto"/>
            </w:tcBorders>
            <w:vMerge w:val="continue"/>
            <w:shd w:val="clear" w:color="auto" w:fill="4DC1E4"/>
          </w:tcPr>
          <w:p>
            <w:pPr>
              <w:spacing w:after="0"/>
              <w:rPr>
                <w:sz w:val="4"/>
                <w:szCs w:val="4"/>
                <w:color w:val="auto"/>
              </w:rPr>
            </w:pPr>
          </w:p>
        </w:tc>
        <w:tc>
          <w:tcPr>
            <w:tcW w:w="980" w:type="dxa"/>
            <w:vAlign w:val="bottom"/>
            <w:vMerge w:val="continue"/>
            <w:shd w:val="clear" w:color="auto" w:fill="4DC1E4"/>
          </w:tcPr>
          <w:p>
            <w:pPr>
              <w:spacing w:after="0"/>
              <w:rPr>
                <w:sz w:val="4"/>
                <w:szCs w:val="4"/>
                <w:color w:val="auto"/>
              </w:rPr>
            </w:pPr>
          </w:p>
        </w:tc>
        <w:tc>
          <w:tcPr>
            <w:tcW w:w="880" w:type="dxa"/>
            <w:vAlign w:val="bottom"/>
            <w:tcBorders>
              <w:right w:val="single" w:sz="8" w:color="auto"/>
            </w:tcBorders>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T</w:t>
            </w:r>
            <w:r>
              <w:rPr>
                <w:rFonts w:ascii="Times New Roman" w:cs="Times New Roman" w:eastAsia="Times New Roman" w:hAnsi="Times New Roman"/>
                <w:sz w:val="12"/>
                <w:szCs w:val="12"/>
                <w:b w:val="1"/>
                <w:bCs w:val="1"/>
                <w:color w:val="FFFFFF"/>
              </w:rPr>
              <w:t>HAT</w:t>
            </w:r>
          </w:p>
        </w:tc>
        <w:tc>
          <w:tcPr>
            <w:tcW w:w="980" w:type="dxa"/>
            <w:vAlign w:val="bottom"/>
            <w:vMerge w:val="continue"/>
            <w:shd w:val="clear" w:color="auto" w:fill="4DC1E4"/>
          </w:tcPr>
          <w:p>
            <w:pPr>
              <w:spacing w:after="0"/>
              <w:rPr>
                <w:sz w:val="4"/>
                <w:szCs w:val="4"/>
                <w:color w:val="auto"/>
              </w:rPr>
            </w:pPr>
          </w:p>
        </w:tc>
        <w:tc>
          <w:tcPr>
            <w:tcW w:w="960" w:type="dxa"/>
            <w:vAlign w:val="bottom"/>
            <w:tcBorders>
              <w:right w:val="single" w:sz="8" w:color="auto"/>
            </w:tcBorders>
            <w:vMerge w:val="continue"/>
            <w:shd w:val="clear" w:color="auto" w:fill="4DC1E4"/>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440" w:type="dxa"/>
            <w:vAlign w:val="bottom"/>
            <w:tcBorders>
              <w:left w:val="single" w:sz="8" w:color="auto"/>
              <w:right w:val="single" w:sz="8" w:color="auto"/>
            </w:tcBorders>
            <w:shd w:val="clear" w:color="auto" w:fill="4DC1E4"/>
          </w:tcPr>
          <w:p>
            <w:pPr>
              <w:spacing w:after="0"/>
              <w:rPr>
                <w:sz w:val="11"/>
                <w:szCs w:val="11"/>
                <w:color w:val="auto"/>
              </w:rPr>
            </w:pPr>
          </w:p>
        </w:tc>
        <w:tc>
          <w:tcPr>
            <w:tcW w:w="60" w:type="dxa"/>
            <w:vAlign w:val="bottom"/>
            <w:shd w:val="clear" w:color="auto" w:fill="4DC1E4"/>
          </w:tcPr>
          <w:p>
            <w:pPr>
              <w:spacing w:after="0"/>
              <w:rPr>
                <w:sz w:val="11"/>
                <w:szCs w:val="11"/>
                <w:color w:val="auto"/>
              </w:rPr>
            </w:pPr>
          </w:p>
        </w:tc>
        <w:tc>
          <w:tcPr>
            <w:tcW w:w="780" w:type="dxa"/>
            <w:vAlign w:val="bottom"/>
            <w:shd w:val="clear" w:color="auto" w:fill="4DC1E4"/>
          </w:tcPr>
          <w:p>
            <w:pPr>
              <w:spacing w:after="0"/>
              <w:rPr>
                <w:sz w:val="11"/>
                <w:szCs w:val="11"/>
                <w:color w:val="auto"/>
              </w:rPr>
            </w:pPr>
          </w:p>
        </w:tc>
        <w:tc>
          <w:tcPr>
            <w:tcW w:w="900" w:type="dxa"/>
            <w:vAlign w:val="bottom"/>
            <w:shd w:val="clear" w:color="auto" w:fill="4DC1E4"/>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FFFFFF"/>
              </w:rPr>
              <w:t>O</w:t>
            </w:r>
            <w:r>
              <w:rPr>
                <w:rFonts w:ascii="Times New Roman" w:cs="Times New Roman" w:eastAsia="Times New Roman" w:hAnsi="Times New Roman"/>
                <w:sz w:val="11"/>
                <w:szCs w:val="11"/>
                <w:b w:val="1"/>
                <w:bCs w:val="1"/>
                <w:color w:val="FFFFFF"/>
              </w:rPr>
              <w:t>PTIONS</w:t>
            </w:r>
          </w:p>
        </w:tc>
        <w:tc>
          <w:tcPr>
            <w:tcW w:w="840" w:type="dxa"/>
            <w:vAlign w:val="bottom"/>
            <w:shd w:val="clear" w:color="auto" w:fill="4DC1E4"/>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FFFFFF"/>
              </w:rPr>
              <w:t>O</w:t>
            </w:r>
            <w:r>
              <w:rPr>
                <w:rFonts w:ascii="Times New Roman" w:cs="Times New Roman" w:eastAsia="Times New Roman" w:hAnsi="Times New Roman"/>
                <w:sz w:val="11"/>
                <w:szCs w:val="11"/>
                <w:b w:val="1"/>
                <w:bCs w:val="1"/>
                <w:color w:val="FFFFFF"/>
              </w:rPr>
              <w:t>PTIONS</w:t>
            </w:r>
          </w:p>
        </w:tc>
        <w:tc>
          <w:tcPr>
            <w:tcW w:w="760" w:type="dxa"/>
            <w:vAlign w:val="bottom"/>
            <w:vMerge w:val="continue"/>
            <w:shd w:val="clear" w:color="auto" w:fill="4DC1E4"/>
          </w:tcPr>
          <w:p>
            <w:pPr>
              <w:spacing w:after="0"/>
              <w:rPr>
                <w:sz w:val="11"/>
                <w:szCs w:val="11"/>
                <w:color w:val="auto"/>
              </w:rPr>
            </w:pPr>
          </w:p>
        </w:tc>
        <w:tc>
          <w:tcPr>
            <w:tcW w:w="860" w:type="dxa"/>
            <w:vAlign w:val="bottom"/>
            <w:tcBorders>
              <w:right w:val="single" w:sz="8" w:color="auto"/>
            </w:tcBorders>
            <w:vMerge w:val="continue"/>
            <w:shd w:val="clear" w:color="auto" w:fill="4DC1E4"/>
          </w:tcPr>
          <w:p>
            <w:pPr>
              <w:spacing w:after="0"/>
              <w:rPr>
                <w:sz w:val="11"/>
                <w:szCs w:val="11"/>
                <w:color w:val="auto"/>
              </w:rPr>
            </w:pPr>
          </w:p>
        </w:tc>
        <w:tc>
          <w:tcPr>
            <w:tcW w:w="980" w:type="dxa"/>
            <w:vAlign w:val="bottom"/>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T</w:t>
            </w:r>
            <w:r>
              <w:rPr>
                <w:rFonts w:ascii="Times New Roman" w:cs="Times New Roman" w:eastAsia="Times New Roman" w:hAnsi="Times New Roman"/>
                <w:sz w:val="12"/>
                <w:szCs w:val="12"/>
                <w:b w:val="1"/>
                <w:bCs w:val="1"/>
                <w:color w:val="FFFFFF"/>
              </w:rPr>
              <w:t>HAT</w:t>
            </w:r>
          </w:p>
        </w:tc>
        <w:tc>
          <w:tcPr>
            <w:tcW w:w="880" w:type="dxa"/>
            <w:vAlign w:val="bottom"/>
            <w:tcBorders>
              <w:right w:val="single" w:sz="8" w:color="auto"/>
            </w:tcBorders>
            <w:vMerge w:val="continue"/>
            <w:shd w:val="clear" w:color="auto" w:fill="4DC1E4"/>
          </w:tcPr>
          <w:p>
            <w:pPr>
              <w:spacing w:after="0"/>
              <w:rPr>
                <w:sz w:val="11"/>
                <w:szCs w:val="11"/>
                <w:color w:val="auto"/>
              </w:rPr>
            </w:pPr>
          </w:p>
        </w:tc>
        <w:tc>
          <w:tcPr>
            <w:tcW w:w="980" w:type="dxa"/>
            <w:vAlign w:val="bottom"/>
            <w:shd w:val="clear" w:color="auto" w:fill="4DC1E4"/>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7"/>
              </w:rPr>
              <w:t>OTHER</w:t>
            </w:r>
          </w:p>
        </w:tc>
        <w:tc>
          <w:tcPr>
            <w:tcW w:w="960" w:type="dxa"/>
            <w:vAlign w:val="bottom"/>
            <w:tcBorders>
              <w:right w:val="single" w:sz="8" w:color="auto"/>
            </w:tcBorders>
            <w:shd w:val="clear" w:color="auto" w:fill="4DC1E4"/>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7"/>
              </w:rPr>
              <w:t>OTHER</w:t>
            </w:r>
          </w:p>
        </w:tc>
        <w:tc>
          <w:tcPr>
            <w:tcW w:w="0" w:type="dxa"/>
            <w:vAlign w:val="bottom"/>
          </w:tcPr>
          <w:p>
            <w:pPr>
              <w:spacing w:after="0"/>
              <w:rPr>
                <w:sz w:val="1"/>
                <w:szCs w:val="1"/>
                <w:color w:val="auto"/>
              </w:rPr>
            </w:pPr>
          </w:p>
        </w:tc>
      </w:tr>
      <w:tr>
        <w:trPr>
          <w:trHeight w:val="101"/>
        </w:trPr>
        <w:tc>
          <w:tcPr>
            <w:tcW w:w="1440" w:type="dxa"/>
            <w:vAlign w:val="bottom"/>
            <w:tcBorders>
              <w:left w:val="single" w:sz="8" w:color="auto"/>
              <w:right w:val="single" w:sz="8" w:color="auto"/>
            </w:tcBorders>
            <w:shd w:val="clear" w:color="auto" w:fill="4DC1E4"/>
          </w:tcPr>
          <w:p>
            <w:pPr>
              <w:spacing w:after="0"/>
              <w:rPr>
                <w:sz w:val="8"/>
                <w:szCs w:val="8"/>
                <w:color w:val="auto"/>
              </w:rPr>
            </w:pPr>
          </w:p>
        </w:tc>
        <w:tc>
          <w:tcPr>
            <w:tcW w:w="60" w:type="dxa"/>
            <w:vAlign w:val="bottom"/>
            <w:shd w:val="clear" w:color="auto" w:fill="4DC1E4"/>
          </w:tcPr>
          <w:p>
            <w:pPr>
              <w:spacing w:after="0"/>
              <w:rPr>
                <w:sz w:val="8"/>
                <w:szCs w:val="8"/>
                <w:color w:val="auto"/>
              </w:rPr>
            </w:pPr>
          </w:p>
        </w:tc>
        <w:tc>
          <w:tcPr>
            <w:tcW w:w="780" w:type="dxa"/>
            <w:vAlign w:val="bottom"/>
            <w:shd w:val="clear" w:color="auto" w:fill="4DC1E4"/>
          </w:tcPr>
          <w:p>
            <w:pPr>
              <w:spacing w:after="0"/>
              <w:rPr>
                <w:sz w:val="8"/>
                <w:szCs w:val="8"/>
                <w:color w:val="auto"/>
              </w:rPr>
            </w:pPr>
          </w:p>
        </w:tc>
        <w:tc>
          <w:tcPr>
            <w:tcW w:w="900" w:type="dxa"/>
            <w:vAlign w:val="bottom"/>
            <w:vMerge w:val="restart"/>
            <w:shd w:val="clear" w:color="auto" w:fill="4DC1E4"/>
          </w:tcPr>
          <w:p>
            <w:pPr>
              <w:jc w:val="center"/>
              <w:spacing w:after="0"/>
              <w:rPr>
                <w:sz w:val="20"/>
                <w:szCs w:val="20"/>
                <w:color w:val="auto"/>
              </w:rPr>
            </w:pPr>
            <w:r>
              <w:rPr>
                <w:rFonts w:ascii="Times New Roman" w:cs="Times New Roman" w:eastAsia="Times New Roman" w:hAnsi="Times New Roman"/>
                <w:sz w:val="13"/>
                <w:szCs w:val="13"/>
                <w:b w:val="1"/>
                <w:bCs w:val="1"/>
                <w:color w:val="FFFFFF"/>
                <w:w w:val="92"/>
              </w:rPr>
              <w:t>(#)</w:t>
            </w:r>
          </w:p>
        </w:tc>
        <w:tc>
          <w:tcPr>
            <w:tcW w:w="840" w:type="dxa"/>
            <w:vAlign w:val="bottom"/>
            <w:vMerge w:val="restart"/>
            <w:shd w:val="clear" w:color="auto" w:fill="4DC1E4"/>
          </w:tcPr>
          <w:p>
            <w:pPr>
              <w:jc w:val="center"/>
              <w:spacing w:after="0"/>
              <w:rPr>
                <w:sz w:val="20"/>
                <w:szCs w:val="20"/>
                <w:color w:val="auto"/>
              </w:rPr>
            </w:pPr>
            <w:r>
              <w:rPr>
                <w:rFonts w:ascii="Times New Roman" w:cs="Times New Roman" w:eastAsia="Times New Roman" w:hAnsi="Times New Roman"/>
                <w:sz w:val="13"/>
                <w:szCs w:val="13"/>
                <w:b w:val="1"/>
                <w:bCs w:val="1"/>
                <w:color w:val="FFFFFF"/>
              </w:rPr>
              <w:t>(#)</w:t>
            </w:r>
          </w:p>
        </w:tc>
        <w:tc>
          <w:tcPr>
            <w:tcW w:w="760" w:type="dxa"/>
            <w:vAlign w:val="bottom"/>
            <w:vMerge w:val="restart"/>
            <w:shd w:val="clear" w:color="auto" w:fill="4DC1E4"/>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FFFFFF"/>
              </w:rPr>
              <w:t>E</w:t>
            </w:r>
            <w:r>
              <w:rPr>
                <w:rFonts w:ascii="Times New Roman" w:cs="Times New Roman" w:eastAsia="Times New Roman" w:hAnsi="Times New Roman"/>
                <w:sz w:val="12"/>
                <w:szCs w:val="12"/>
                <w:b w:val="1"/>
                <w:bCs w:val="1"/>
                <w:color w:val="FFFFFF"/>
              </w:rPr>
              <w:t>XERCIS</w:t>
            </w:r>
          </w:p>
        </w:tc>
        <w:tc>
          <w:tcPr>
            <w:tcW w:w="860" w:type="dxa"/>
            <w:vAlign w:val="bottom"/>
            <w:tcBorders>
              <w:right w:val="single" w:sz="8" w:color="auto"/>
            </w:tcBorders>
            <w:vMerge w:val="restart"/>
            <w:shd w:val="clear" w:color="auto" w:fill="4DC1E4"/>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FFFFFF"/>
              </w:rPr>
              <w:t>E</w:t>
            </w:r>
            <w:r>
              <w:rPr>
                <w:rFonts w:ascii="Times New Roman" w:cs="Times New Roman" w:eastAsia="Times New Roman" w:hAnsi="Times New Roman"/>
                <w:sz w:val="12"/>
                <w:szCs w:val="12"/>
                <w:b w:val="1"/>
                <w:bCs w:val="1"/>
                <w:color w:val="FFFFFF"/>
              </w:rPr>
              <w:t>XPIRATIO</w:t>
            </w:r>
          </w:p>
        </w:tc>
        <w:tc>
          <w:tcPr>
            <w:tcW w:w="980" w:type="dxa"/>
            <w:vAlign w:val="bottom"/>
            <w:vMerge w:val="continue"/>
            <w:shd w:val="clear" w:color="auto" w:fill="4DC1E4"/>
          </w:tcPr>
          <w:p>
            <w:pPr>
              <w:spacing w:after="0"/>
              <w:rPr>
                <w:sz w:val="8"/>
                <w:szCs w:val="8"/>
                <w:color w:val="auto"/>
              </w:rPr>
            </w:pPr>
          </w:p>
        </w:tc>
        <w:tc>
          <w:tcPr>
            <w:tcW w:w="880" w:type="dxa"/>
            <w:vAlign w:val="bottom"/>
            <w:tcBorders>
              <w:right w:val="single" w:sz="8" w:color="auto"/>
            </w:tcBorders>
            <w:vMerge w:val="restart"/>
            <w:shd w:val="clear" w:color="auto" w:fill="4DC1E4"/>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FFFFFF"/>
              </w:rPr>
              <w:t>H</w:t>
            </w:r>
            <w:r>
              <w:rPr>
                <w:rFonts w:ascii="Times New Roman" w:cs="Times New Roman" w:eastAsia="Times New Roman" w:hAnsi="Times New Roman"/>
                <w:sz w:val="12"/>
                <w:szCs w:val="12"/>
                <w:b w:val="1"/>
                <w:bCs w:val="1"/>
                <w:color w:val="FFFFFF"/>
              </w:rPr>
              <w:t>AVE</w:t>
            </w:r>
            <w:r>
              <w:rPr>
                <w:rFonts w:ascii="Times New Roman" w:cs="Times New Roman" w:eastAsia="Times New Roman" w:hAnsi="Times New Roman"/>
                <w:sz w:val="16"/>
                <w:szCs w:val="16"/>
                <w:b w:val="1"/>
                <w:bCs w:val="1"/>
                <w:color w:val="FFFFFF"/>
              </w:rPr>
              <w:t xml:space="preserve"> N</w:t>
            </w:r>
            <w:r>
              <w:rPr>
                <w:rFonts w:ascii="Times New Roman" w:cs="Times New Roman" w:eastAsia="Times New Roman" w:hAnsi="Times New Roman"/>
                <w:sz w:val="12"/>
                <w:szCs w:val="12"/>
                <w:b w:val="1"/>
                <w:bCs w:val="1"/>
                <w:color w:val="FFFFFF"/>
              </w:rPr>
              <w:t>OT</w:t>
            </w:r>
          </w:p>
        </w:tc>
        <w:tc>
          <w:tcPr>
            <w:tcW w:w="980" w:type="dxa"/>
            <w:vAlign w:val="bottom"/>
            <w:shd w:val="clear" w:color="auto" w:fill="4DC1E4"/>
          </w:tcPr>
          <w:p>
            <w:pPr>
              <w:jc w:val="center"/>
              <w:spacing w:after="0" w:line="102" w:lineRule="exact"/>
              <w:rPr>
                <w:sz w:val="20"/>
                <w:szCs w:val="20"/>
                <w:color w:val="auto"/>
              </w:rPr>
            </w:pPr>
            <w:r>
              <w:rPr>
                <w:rFonts w:ascii="Times New Roman" w:cs="Times New Roman" w:eastAsia="Times New Roman" w:hAnsi="Times New Roman"/>
                <w:sz w:val="10"/>
                <w:szCs w:val="10"/>
                <w:b w:val="1"/>
                <w:bCs w:val="1"/>
                <w:color w:val="FFFFFF"/>
              </w:rPr>
              <w:t>RIGHTS</w:t>
            </w:r>
          </w:p>
        </w:tc>
        <w:tc>
          <w:tcPr>
            <w:tcW w:w="960" w:type="dxa"/>
            <w:vAlign w:val="bottom"/>
            <w:tcBorders>
              <w:right w:val="single" w:sz="8" w:color="auto"/>
            </w:tcBorders>
            <w:shd w:val="clear" w:color="auto" w:fill="4DC1E4"/>
          </w:tcPr>
          <w:p>
            <w:pPr>
              <w:jc w:val="center"/>
              <w:spacing w:after="0" w:line="102" w:lineRule="exact"/>
              <w:rPr>
                <w:sz w:val="20"/>
                <w:szCs w:val="20"/>
                <w:color w:val="auto"/>
              </w:rPr>
            </w:pPr>
            <w:r>
              <w:rPr>
                <w:rFonts w:ascii="Times New Roman" w:cs="Times New Roman" w:eastAsia="Times New Roman" w:hAnsi="Times New Roman"/>
                <w:sz w:val="10"/>
                <w:szCs w:val="10"/>
                <w:b w:val="1"/>
                <w:bCs w:val="1"/>
                <w:color w:val="FFFFFF"/>
              </w:rPr>
              <w:t>RIGHTS</w:t>
            </w:r>
          </w:p>
        </w:tc>
        <w:tc>
          <w:tcPr>
            <w:tcW w:w="0" w:type="dxa"/>
            <w:vAlign w:val="bottom"/>
          </w:tcPr>
          <w:p>
            <w:pPr>
              <w:spacing w:after="0"/>
              <w:rPr>
                <w:sz w:val="1"/>
                <w:szCs w:val="1"/>
                <w:color w:val="auto"/>
              </w:rPr>
            </w:pPr>
          </w:p>
        </w:tc>
      </w:tr>
      <w:tr>
        <w:trPr>
          <w:trHeight w:val="74"/>
        </w:trPr>
        <w:tc>
          <w:tcPr>
            <w:tcW w:w="1440" w:type="dxa"/>
            <w:vAlign w:val="bottom"/>
            <w:tcBorders>
              <w:left w:val="single" w:sz="8" w:color="auto"/>
              <w:right w:val="single" w:sz="8" w:color="auto"/>
            </w:tcBorders>
            <w:shd w:val="clear" w:color="auto" w:fill="4DC1E4"/>
          </w:tcPr>
          <w:p>
            <w:pPr>
              <w:spacing w:after="0"/>
              <w:rPr>
                <w:sz w:val="6"/>
                <w:szCs w:val="6"/>
                <w:color w:val="auto"/>
              </w:rPr>
            </w:pPr>
          </w:p>
        </w:tc>
        <w:tc>
          <w:tcPr>
            <w:tcW w:w="60" w:type="dxa"/>
            <w:vAlign w:val="bottom"/>
            <w:shd w:val="clear" w:color="auto" w:fill="4DC1E4"/>
          </w:tcPr>
          <w:p>
            <w:pPr>
              <w:spacing w:after="0"/>
              <w:rPr>
                <w:sz w:val="6"/>
                <w:szCs w:val="6"/>
                <w:color w:val="auto"/>
              </w:rPr>
            </w:pPr>
          </w:p>
        </w:tc>
        <w:tc>
          <w:tcPr>
            <w:tcW w:w="780" w:type="dxa"/>
            <w:vAlign w:val="bottom"/>
            <w:vMerge w:val="restart"/>
            <w:shd w:val="clear" w:color="auto" w:fill="4DC1E4"/>
          </w:tcPr>
          <w:p>
            <w:pPr>
              <w:jc w:val="right"/>
              <w:ind w:right="79"/>
              <w:spacing w:after="0" w:line="169" w:lineRule="exact"/>
              <w:rPr>
                <w:sz w:val="20"/>
                <w:szCs w:val="20"/>
                <w:color w:val="auto"/>
              </w:rPr>
            </w:pPr>
            <w:r>
              <w:rPr>
                <w:rFonts w:ascii="Times New Roman" w:cs="Times New Roman" w:eastAsia="Times New Roman" w:hAnsi="Times New Roman"/>
                <w:sz w:val="16"/>
                <w:szCs w:val="16"/>
                <w:b w:val="1"/>
                <w:bCs w:val="1"/>
                <w:color w:val="FFFFFF"/>
              </w:rPr>
              <w:t>G</w:t>
            </w:r>
            <w:r>
              <w:rPr>
                <w:rFonts w:ascii="Times New Roman" w:cs="Times New Roman" w:eastAsia="Times New Roman" w:hAnsi="Times New Roman"/>
                <w:sz w:val="12"/>
                <w:szCs w:val="12"/>
                <w:b w:val="1"/>
                <w:bCs w:val="1"/>
                <w:color w:val="FFFFFF"/>
              </w:rPr>
              <w:t>RANT</w:t>
            </w:r>
          </w:p>
        </w:tc>
        <w:tc>
          <w:tcPr>
            <w:tcW w:w="900" w:type="dxa"/>
            <w:vAlign w:val="bottom"/>
            <w:vMerge w:val="continue"/>
            <w:shd w:val="clear" w:color="auto" w:fill="4DC1E4"/>
          </w:tcPr>
          <w:p>
            <w:pPr>
              <w:spacing w:after="0"/>
              <w:rPr>
                <w:sz w:val="6"/>
                <w:szCs w:val="6"/>
                <w:color w:val="auto"/>
              </w:rPr>
            </w:pPr>
          </w:p>
        </w:tc>
        <w:tc>
          <w:tcPr>
            <w:tcW w:w="840" w:type="dxa"/>
            <w:vAlign w:val="bottom"/>
            <w:vMerge w:val="continue"/>
            <w:shd w:val="clear" w:color="auto" w:fill="4DC1E4"/>
          </w:tcPr>
          <w:p>
            <w:pPr>
              <w:spacing w:after="0"/>
              <w:rPr>
                <w:sz w:val="6"/>
                <w:szCs w:val="6"/>
                <w:color w:val="auto"/>
              </w:rPr>
            </w:pPr>
          </w:p>
        </w:tc>
        <w:tc>
          <w:tcPr>
            <w:tcW w:w="760" w:type="dxa"/>
            <w:vAlign w:val="bottom"/>
            <w:vMerge w:val="continue"/>
            <w:shd w:val="clear" w:color="auto" w:fill="4DC1E4"/>
          </w:tcPr>
          <w:p>
            <w:pPr>
              <w:spacing w:after="0"/>
              <w:rPr>
                <w:sz w:val="6"/>
                <w:szCs w:val="6"/>
                <w:color w:val="auto"/>
              </w:rPr>
            </w:pPr>
          </w:p>
        </w:tc>
        <w:tc>
          <w:tcPr>
            <w:tcW w:w="860" w:type="dxa"/>
            <w:vAlign w:val="bottom"/>
            <w:tcBorders>
              <w:right w:val="single" w:sz="8" w:color="auto"/>
            </w:tcBorders>
            <w:vMerge w:val="continue"/>
            <w:shd w:val="clear" w:color="auto" w:fill="4DC1E4"/>
          </w:tcPr>
          <w:p>
            <w:pPr>
              <w:spacing w:after="0"/>
              <w:rPr>
                <w:sz w:val="6"/>
                <w:szCs w:val="6"/>
                <w:color w:val="auto"/>
              </w:rPr>
            </w:pPr>
          </w:p>
        </w:tc>
        <w:tc>
          <w:tcPr>
            <w:tcW w:w="980" w:type="dxa"/>
            <w:vAlign w:val="bottom"/>
            <w:vMerge w:val="restart"/>
            <w:shd w:val="clear" w:color="auto" w:fill="4DC1E4"/>
          </w:tcPr>
          <w:p>
            <w:pPr>
              <w:jc w:val="center"/>
              <w:spacing w:after="0" w:line="169" w:lineRule="exact"/>
              <w:rPr>
                <w:sz w:val="20"/>
                <w:szCs w:val="20"/>
                <w:color w:val="auto"/>
              </w:rPr>
            </w:pPr>
            <w:r>
              <w:rPr>
                <w:rFonts w:ascii="Times New Roman" w:cs="Times New Roman" w:eastAsia="Times New Roman" w:hAnsi="Times New Roman"/>
                <w:sz w:val="16"/>
                <w:szCs w:val="16"/>
                <w:b w:val="1"/>
                <w:bCs w:val="1"/>
                <w:color w:val="FFFFFF"/>
              </w:rPr>
              <w:t>H</w:t>
            </w:r>
            <w:r>
              <w:rPr>
                <w:rFonts w:ascii="Times New Roman" w:cs="Times New Roman" w:eastAsia="Times New Roman" w:hAnsi="Times New Roman"/>
                <w:sz w:val="12"/>
                <w:szCs w:val="12"/>
                <w:b w:val="1"/>
                <w:bCs w:val="1"/>
                <w:color w:val="FFFFFF"/>
              </w:rPr>
              <w:t>AVE</w:t>
            </w:r>
            <w:r>
              <w:rPr>
                <w:rFonts w:ascii="Times New Roman" w:cs="Times New Roman" w:eastAsia="Times New Roman" w:hAnsi="Times New Roman"/>
                <w:sz w:val="16"/>
                <w:szCs w:val="16"/>
                <w:b w:val="1"/>
                <w:bCs w:val="1"/>
                <w:color w:val="FFFFFF"/>
              </w:rPr>
              <w:t xml:space="preserve"> N</w:t>
            </w:r>
            <w:r>
              <w:rPr>
                <w:rFonts w:ascii="Times New Roman" w:cs="Times New Roman" w:eastAsia="Times New Roman" w:hAnsi="Times New Roman"/>
                <w:sz w:val="12"/>
                <w:szCs w:val="12"/>
                <w:b w:val="1"/>
                <w:bCs w:val="1"/>
                <w:color w:val="FFFFFF"/>
              </w:rPr>
              <w:t>OT</w:t>
            </w:r>
          </w:p>
        </w:tc>
        <w:tc>
          <w:tcPr>
            <w:tcW w:w="880" w:type="dxa"/>
            <w:vAlign w:val="bottom"/>
            <w:tcBorders>
              <w:right w:val="single" w:sz="8" w:color="auto"/>
            </w:tcBorders>
            <w:vMerge w:val="continue"/>
            <w:shd w:val="clear" w:color="auto" w:fill="4DC1E4"/>
          </w:tcPr>
          <w:p>
            <w:pPr>
              <w:spacing w:after="0"/>
              <w:rPr>
                <w:sz w:val="6"/>
                <w:szCs w:val="6"/>
                <w:color w:val="auto"/>
              </w:rPr>
            </w:pPr>
          </w:p>
        </w:tc>
        <w:tc>
          <w:tcPr>
            <w:tcW w:w="980" w:type="dxa"/>
            <w:vAlign w:val="bottom"/>
            <w:vMerge w:val="restart"/>
            <w:shd w:val="clear" w:color="auto" w:fill="4DC1E4"/>
          </w:tcPr>
          <w:p>
            <w:pPr>
              <w:jc w:val="center"/>
              <w:spacing w:after="0"/>
              <w:rPr>
                <w:sz w:val="20"/>
                <w:szCs w:val="20"/>
                <w:color w:val="auto"/>
              </w:rPr>
            </w:pPr>
            <w:r>
              <w:rPr>
                <w:rFonts w:ascii="Times New Roman" w:cs="Times New Roman" w:eastAsia="Times New Roman" w:hAnsi="Times New Roman"/>
                <w:sz w:val="13"/>
                <w:szCs w:val="13"/>
                <w:b w:val="1"/>
                <w:bCs w:val="1"/>
                <w:color w:val="FFFFFF"/>
                <w:w w:val="97"/>
              </w:rPr>
              <w:t>THAT HAVE</w:t>
            </w:r>
          </w:p>
        </w:tc>
        <w:tc>
          <w:tcPr>
            <w:tcW w:w="960" w:type="dxa"/>
            <w:vAlign w:val="bottom"/>
            <w:tcBorders>
              <w:right w:val="single" w:sz="8" w:color="auto"/>
            </w:tcBorders>
            <w:vMerge w:val="restart"/>
            <w:shd w:val="clear" w:color="auto" w:fill="4DC1E4"/>
          </w:tcPr>
          <w:p>
            <w:pPr>
              <w:jc w:val="center"/>
              <w:spacing w:after="0"/>
              <w:rPr>
                <w:sz w:val="20"/>
                <w:szCs w:val="20"/>
                <w:color w:val="auto"/>
              </w:rPr>
            </w:pPr>
            <w:r>
              <w:rPr>
                <w:rFonts w:ascii="Times New Roman" w:cs="Times New Roman" w:eastAsia="Times New Roman" w:hAnsi="Times New Roman"/>
                <w:sz w:val="13"/>
                <w:szCs w:val="13"/>
                <w:b w:val="1"/>
                <w:bCs w:val="1"/>
                <w:color w:val="FFFFFF"/>
                <w:w w:val="95"/>
              </w:rPr>
              <w:t>THAT HAVE</w:t>
            </w:r>
          </w:p>
        </w:tc>
        <w:tc>
          <w:tcPr>
            <w:tcW w:w="0" w:type="dxa"/>
            <w:vAlign w:val="bottom"/>
          </w:tcPr>
          <w:p>
            <w:pPr>
              <w:spacing w:after="0"/>
              <w:rPr>
                <w:sz w:val="1"/>
                <w:szCs w:val="1"/>
                <w:color w:val="auto"/>
              </w:rPr>
            </w:pPr>
          </w:p>
        </w:tc>
      </w:tr>
      <w:tr>
        <w:trPr>
          <w:trHeight w:val="94"/>
        </w:trPr>
        <w:tc>
          <w:tcPr>
            <w:tcW w:w="1440" w:type="dxa"/>
            <w:vAlign w:val="bottom"/>
            <w:tcBorders>
              <w:left w:val="single" w:sz="8" w:color="auto"/>
              <w:right w:val="single" w:sz="8" w:color="auto"/>
            </w:tcBorders>
            <w:shd w:val="clear" w:color="auto" w:fill="4DC1E4"/>
          </w:tcPr>
          <w:p>
            <w:pPr>
              <w:spacing w:after="0"/>
              <w:rPr>
                <w:sz w:val="8"/>
                <w:szCs w:val="8"/>
                <w:color w:val="auto"/>
              </w:rPr>
            </w:pPr>
          </w:p>
        </w:tc>
        <w:tc>
          <w:tcPr>
            <w:tcW w:w="60" w:type="dxa"/>
            <w:vAlign w:val="bottom"/>
            <w:shd w:val="clear" w:color="auto" w:fill="4DC1E4"/>
          </w:tcPr>
          <w:p>
            <w:pPr>
              <w:spacing w:after="0"/>
              <w:rPr>
                <w:sz w:val="8"/>
                <w:szCs w:val="8"/>
                <w:color w:val="auto"/>
              </w:rPr>
            </w:pPr>
          </w:p>
        </w:tc>
        <w:tc>
          <w:tcPr>
            <w:tcW w:w="780" w:type="dxa"/>
            <w:vAlign w:val="bottom"/>
            <w:vMerge w:val="continue"/>
            <w:shd w:val="clear" w:color="auto" w:fill="4DC1E4"/>
          </w:tcPr>
          <w:p>
            <w:pPr>
              <w:spacing w:after="0"/>
              <w:rPr>
                <w:sz w:val="8"/>
                <w:szCs w:val="8"/>
                <w:color w:val="auto"/>
              </w:rPr>
            </w:pPr>
          </w:p>
        </w:tc>
        <w:tc>
          <w:tcPr>
            <w:tcW w:w="900" w:type="dxa"/>
            <w:vAlign w:val="bottom"/>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E</w:t>
            </w:r>
            <w:r>
              <w:rPr>
                <w:rFonts w:ascii="Times New Roman" w:cs="Times New Roman" w:eastAsia="Times New Roman" w:hAnsi="Times New Roman"/>
                <w:sz w:val="12"/>
                <w:szCs w:val="12"/>
                <w:b w:val="1"/>
                <w:bCs w:val="1"/>
                <w:color w:val="FFFFFF"/>
              </w:rPr>
              <w:t>XERCISA</w:t>
            </w:r>
          </w:p>
        </w:tc>
        <w:tc>
          <w:tcPr>
            <w:tcW w:w="840" w:type="dxa"/>
            <w:vAlign w:val="bottom"/>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U</w:t>
            </w:r>
            <w:r>
              <w:rPr>
                <w:rFonts w:ascii="Times New Roman" w:cs="Times New Roman" w:eastAsia="Times New Roman" w:hAnsi="Times New Roman"/>
                <w:sz w:val="12"/>
                <w:szCs w:val="12"/>
                <w:b w:val="1"/>
                <w:bCs w:val="1"/>
                <w:color w:val="FFFFFF"/>
              </w:rPr>
              <w:t>NEXERCI</w:t>
            </w:r>
          </w:p>
        </w:tc>
        <w:tc>
          <w:tcPr>
            <w:tcW w:w="760" w:type="dxa"/>
            <w:vAlign w:val="bottom"/>
            <w:shd w:val="clear" w:color="auto" w:fill="4DC1E4"/>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FFFFFF"/>
              </w:rPr>
              <w:t>E</w:t>
            </w:r>
          </w:p>
        </w:tc>
        <w:tc>
          <w:tcPr>
            <w:tcW w:w="860" w:type="dxa"/>
            <w:vAlign w:val="bottom"/>
            <w:tcBorders>
              <w:right w:val="single" w:sz="8" w:color="auto"/>
            </w:tcBorders>
            <w:shd w:val="clear" w:color="auto" w:fill="4DC1E4"/>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FFFFFF"/>
              </w:rPr>
              <w:t>N</w:t>
            </w:r>
          </w:p>
        </w:tc>
        <w:tc>
          <w:tcPr>
            <w:tcW w:w="980" w:type="dxa"/>
            <w:vAlign w:val="bottom"/>
            <w:vMerge w:val="continue"/>
            <w:shd w:val="clear" w:color="auto" w:fill="4DC1E4"/>
          </w:tcPr>
          <w:p>
            <w:pPr>
              <w:spacing w:after="0"/>
              <w:rPr>
                <w:sz w:val="8"/>
                <w:szCs w:val="8"/>
                <w:color w:val="auto"/>
              </w:rPr>
            </w:pPr>
          </w:p>
        </w:tc>
        <w:tc>
          <w:tcPr>
            <w:tcW w:w="880" w:type="dxa"/>
            <w:vAlign w:val="bottom"/>
            <w:tcBorders>
              <w:right w:val="single" w:sz="8" w:color="auto"/>
            </w:tcBorders>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V</w:t>
            </w:r>
            <w:r>
              <w:rPr>
                <w:rFonts w:ascii="Times New Roman" w:cs="Times New Roman" w:eastAsia="Times New Roman" w:hAnsi="Times New Roman"/>
                <w:sz w:val="12"/>
                <w:szCs w:val="12"/>
                <w:b w:val="1"/>
                <w:bCs w:val="1"/>
                <w:color w:val="FFFFFF"/>
              </w:rPr>
              <w:t>ESTED ($)</w:t>
            </w:r>
          </w:p>
        </w:tc>
        <w:tc>
          <w:tcPr>
            <w:tcW w:w="980" w:type="dxa"/>
            <w:vAlign w:val="bottom"/>
            <w:vMerge w:val="continue"/>
            <w:shd w:val="clear" w:color="auto" w:fill="4DC1E4"/>
          </w:tcPr>
          <w:p>
            <w:pPr>
              <w:spacing w:after="0"/>
              <w:rPr>
                <w:sz w:val="8"/>
                <w:szCs w:val="8"/>
                <w:color w:val="auto"/>
              </w:rPr>
            </w:pPr>
          </w:p>
        </w:tc>
        <w:tc>
          <w:tcPr>
            <w:tcW w:w="960" w:type="dxa"/>
            <w:vAlign w:val="bottom"/>
            <w:tcBorders>
              <w:right w:val="single" w:sz="8" w:color="auto"/>
            </w:tcBorders>
            <w:vMerge w:val="continue"/>
            <w:shd w:val="clear" w:color="auto" w:fill="4DC1E4"/>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440" w:type="dxa"/>
            <w:vAlign w:val="bottom"/>
            <w:tcBorders>
              <w:left w:val="single" w:sz="8" w:color="auto"/>
              <w:right w:val="single" w:sz="8" w:color="auto"/>
            </w:tcBorders>
            <w:vMerge w:val="restart"/>
            <w:shd w:val="clear" w:color="auto" w:fill="4DC1E4"/>
          </w:tcPr>
          <w:p>
            <w:pPr>
              <w:ind w:left="500"/>
              <w:spacing w:after="0"/>
              <w:rPr>
                <w:sz w:val="20"/>
                <w:szCs w:val="20"/>
                <w:color w:val="auto"/>
              </w:rPr>
            </w:pPr>
            <w:r>
              <w:rPr>
                <w:rFonts w:ascii="Times New Roman" w:cs="Times New Roman" w:eastAsia="Times New Roman" w:hAnsi="Times New Roman"/>
                <w:sz w:val="16"/>
                <w:szCs w:val="16"/>
                <w:b w:val="1"/>
                <w:bCs w:val="1"/>
                <w:color w:val="FFFFFF"/>
              </w:rPr>
              <w:t>N</w:t>
            </w:r>
            <w:r>
              <w:rPr>
                <w:rFonts w:ascii="Times New Roman" w:cs="Times New Roman" w:eastAsia="Times New Roman" w:hAnsi="Times New Roman"/>
                <w:sz w:val="12"/>
                <w:szCs w:val="12"/>
                <w:b w:val="1"/>
                <w:bCs w:val="1"/>
                <w:color w:val="FFFFFF"/>
              </w:rPr>
              <w:t>AME</w:t>
            </w:r>
          </w:p>
        </w:tc>
        <w:tc>
          <w:tcPr>
            <w:tcW w:w="60" w:type="dxa"/>
            <w:vAlign w:val="bottom"/>
            <w:shd w:val="clear" w:color="auto" w:fill="4DC1E4"/>
          </w:tcPr>
          <w:p>
            <w:pPr>
              <w:spacing w:after="0"/>
              <w:rPr>
                <w:sz w:val="9"/>
                <w:szCs w:val="9"/>
                <w:color w:val="auto"/>
              </w:rPr>
            </w:pPr>
          </w:p>
        </w:tc>
        <w:tc>
          <w:tcPr>
            <w:tcW w:w="780" w:type="dxa"/>
            <w:vAlign w:val="bottom"/>
            <w:vMerge w:val="restart"/>
            <w:shd w:val="clear" w:color="auto" w:fill="4DC1E4"/>
          </w:tcPr>
          <w:p>
            <w:pPr>
              <w:jc w:val="right"/>
              <w:ind w:right="119"/>
              <w:spacing w:after="0"/>
              <w:rPr>
                <w:sz w:val="20"/>
                <w:szCs w:val="20"/>
                <w:color w:val="auto"/>
              </w:rPr>
            </w:pPr>
            <w:r>
              <w:rPr>
                <w:rFonts w:ascii="Times New Roman" w:cs="Times New Roman" w:eastAsia="Times New Roman" w:hAnsi="Times New Roman"/>
                <w:sz w:val="16"/>
                <w:szCs w:val="16"/>
                <w:b w:val="1"/>
                <w:bCs w:val="1"/>
                <w:color w:val="FFFFFF"/>
              </w:rPr>
              <w:t>D</w:t>
            </w:r>
            <w:r>
              <w:rPr>
                <w:rFonts w:ascii="Times New Roman" w:cs="Times New Roman" w:eastAsia="Times New Roman" w:hAnsi="Times New Roman"/>
                <w:sz w:val="12"/>
                <w:szCs w:val="12"/>
                <w:b w:val="1"/>
                <w:bCs w:val="1"/>
                <w:color w:val="FFFFFF"/>
              </w:rPr>
              <w:t>ATE</w:t>
            </w:r>
          </w:p>
        </w:tc>
        <w:tc>
          <w:tcPr>
            <w:tcW w:w="900" w:type="dxa"/>
            <w:vAlign w:val="bottom"/>
            <w:vMerge w:val="continue"/>
            <w:shd w:val="clear" w:color="auto" w:fill="4DC1E4"/>
          </w:tcPr>
          <w:p>
            <w:pPr>
              <w:spacing w:after="0"/>
              <w:rPr>
                <w:sz w:val="9"/>
                <w:szCs w:val="9"/>
                <w:color w:val="auto"/>
              </w:rPr>
            </w:pPr>
          </w:p>
        </w:tc>
        <w:tc>
          <w:tcPr>
            <w:tcW w:w="840" w:type="dxa"/>
            <w:vAlign w:val="bottom"/>
            <w:vMerge w:val="continue"/>
            <w:shd w:val="clear" w:color="auto" w:fill="4DC1E4"/>
          </w:tcPr>
          <w:p>
            <w:pPr>
              <w:spacing w:after="0"/>
              <w:rPr>
                <w:sz w:val="9"/>
                <w:szCs w:val="9"/>
                <w:color w:val="auto"/>
              </w:rPr>
            </w:pPr>
          </w:p>
        </w:tc>
        <w:tc>
          <w:tcPr>
            <w:tcW w:w="760" w:type="dxa"/>
            <w:vAlign w:val="bottom"/>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P</w:t>
            </w:r>
            <w:r>
              <w:rPr>
                <w:rFonts w:ascii="Times New Roman" w:cs="Times New Roman" w:eastAsia="Times New Roman" w:hAnsi="Times New Roman"/>
                <w:sz w:val="12"/>
                <w:szCs w:val="12"/>
                <w:b w:val="1"/>
                <w:bCs w:val="1"/>
                <w:color w:val="FFFFFF"/>
              </w:rPr>
              <w:t>RICE ($)</w:t>
            </w:r>
          </w:p>
        </w:tc>
        <w:tc>
          <w:tcPr>
            <w:tcW w:w="860" w:type="dxa"/>
            <w:vAlign w:val="bottom"/>
            <w:tcBorders>
              <w:right w:val="single" w:sz="8" w:color="auto"/>
            </w:tcBorders>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D</w:t>
            </w:r>
            <w:r>
              <w:rPr>
                <w:rFonts w:ascii="Times New Roman" w:cs="Times New Roman" w:eastAsia="Times New Roman" w:hAnsi="Times New Roman"/>
                <w:sz w:val="12"/>
                <w:szCs w:val="12"/>
                <w:b w:val="1"/>
                <w:bCs w:val="1"/>
                <w:color w:val="FFFFFF"/>
              </w:rPr>
              <w:t>ATE</w:t>
            </w:r>
          </w:p>
        </w:tc>
        <w:tc>
          <w:tcPr>
            <w:tcW w:w="980" w:type="dxa"/>
            <w:vAlign w:val="bottom"/>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V</w:t>
            </w:r>
            <w:r>
              <w:rPr>
                <w:rFonts w:ascii="Times New Roman" w:cs="Times New Roman" w:eastAsia="Times New Roman" w:hAnsi="Times New Roman"/>
                <w:sz w:val="12"/>
                <w:szCs w:val="12"/>
                <w:b w:val="1"/>
                <w:bCs w:val="1"/>
                <w:color w:val="FFFFFF"/>
              </w:rPr>
              <w:t>ESTED (#)</w:t>
            </w:r>
          </w:p>
        </w:tc>
        <w:tc>
          <w:tcPr>
            <w:tcW w:w="880" w:type="dxa"/>
            <w:vAlign w:val="bottom"/>
            <w:tcBorders>
              <w:right w:val="single" w:sz="8" w:color="auto"/>
            </w:tcBorders>
            <w:vMerge w:val="continue"/>
            <w:shd w:val="clear" w:color="auto" w:fill="4DC1E4"/>
          </w:tcPr>
          <w:p>
            <w:pPr>
              <w:spacing w:after="0"/>
              <w:rPr>
                <w:sz w:val="9"/>
                <w:szCs w:val="9"/>
                <w:color w:val="auto"/>
              </w:rPr>
            </w:pPr>
          </w:p>
        </w:tc>
        <w:tc>
          <w:tcPr>
            <w:tcW w:w="980" w:type="dxa"/>
            <w:vAlign w:val="bottom"/>
            <w:shd w:val="clear" w:color="auto" w:fill="4DC1E4"/>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FFFFFF"/>
              </w:rPr>
              <w:t>NOT VESTED</w:t>
            </w:r>
          </w:p>
        </w:tc>
        <w:tc>
          <w:tcPr>
            <w:tcW w:w="960" w:type="dxa"/>
            <w:vAlign w:val="bottom"/>
            <w:tcBorders>
              <w:right w:val="single" w:sz="8" w:color="auto"/>
            </w:tcBorders>
            <w:shd w:val="clear" w:color="auto" w:fill="4DC1E4"/>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FFFFFF"/>
              </w:rPr>
              <w:t>NOT VESTED</w:t>
            </w:r>
          </w:p>
        </w:tc>
        <w:tc>
          <w:tcPr>
            <w:tcW w:w="0" w:type="dxa"/>
            <w:vAlign w:val="bottom"/>
          </w:tcPr>
          <w:p>
            <w:pPr>
              <w:spacing w:after="0"/>
              <w:rPr>
                <w:sz w:val="1"/>
                <w:szCs w:val="1"/>
                <w:color w:val="auto"/>
              </w:rPr>
            </w:pPr>
          </w:p>
        </w:tc>
      </w:tr>
      <w:tr>
        <w:trPr>
          <w:trHeight w:val="189"/>
        </w:trPr>
        <w:tc>
          <w:tcPr>
            <w:tcW w:w="1440" w:type="dxa"/>
            <w:vAlign w:val="bottom"/>
            <w:tcBorders>
              <w:left w:val="single" w:sz="8" w:color="auto"/>
              <w:bottom w:val="single" w:sz="8" w:color="4DC1E4"/>
              <w:right w:val="single" w:sz="8" w:color="auto"/>
            </w:tcBorders>
            <w:vMerge w:val="continue"/>
            <w:shd w:val="clear" w:color="auto" w:fill="4DC1E4"/>
          </w:tcPr>
          <w:p>
            <w:pPr>
              <w:spacing w:after="0"/>
              <w:rPr>
                <w:sz w:val="16"/>
                <w:szCs w:val="16"/>
                <w:color w:val="auto"/>
              </w:rPr>
            </w:pPr>
          </w:p>
        </w:tc>
        <w:tc>
          <w:tcPr>
            <w:tcW w:w="60" w:type="dxa"/>
            <w:vAlign w:val="bottom"/>
            <w:tcBorders>
              <w:bottom w:val="single" w:sz="8" w:color="4DC1E4"/>
            </w:tcBorders>
            <w:shd w:val="clear" w:color="auto" w:fill="4DC1E4"/>
          </w:tcPr>
          <w:p>
            <w:pPr>
              <w:spacing w:after="0"/>
              <w:rPr>
                <w:sz w:val="16"/>
                <w:szCs w:val="16"/>
                <w:color w:val="auto"/>
              </w:rPr>
            </w:pPr>
          </w:p>
        </w:tc>
        <w:tc>
          <w:tcPr>
            <w:tcW w:w="780" w:type="dxa"/>
            <w:vAlign w:val="bottom"/>
            <w:tcBorders>
              <w:bottom w:val="single" w:sz="8" w:color="4DC1E4"/>
            </w:tcBorders>
            <w:vMerge w:val="continue"/>
            <w:shd w:val="clear" w:color="auto" w:fill="4DC1E4"/>
          </w:tcPr>
          <w:p>
            <w:pPr>
              <w:spacing w:after="0"/>
              <w:rPr>
                <w:sz w:val="16"/>
                <w:szCs w:val="16"/>
                <w:color w:val="auto"/>
              </w:rPr>
            </w:pPr>
          </w:p>
        </w:tc>
        <w:tc>
          <w:tcPr>
            <w:tcW w:w="900" w:type="dxa"/>
            <w:vAlign w:val="bottom"/>
            <w:tcBorders>
              <w:bottom w:val="single" w:sz="8" w:color="4DC1E4"/>
            </w:tcBorders>
            <w:shd w:val="clear" w:color="auto" w:fill="4DC1E4"/>
          </w:tcPr>
          <w:p>
            <w:pPr>
              <w:jc w:val="center"/>
              <w:spacing w:after="0"/>
              <w:rPr>
                <w:sz w:val="20"/>
                <w:szCs w:val="20"/>
                <w:color w:val="auto"/>
              </w:rPr>
            </w:pPr>
            <w:r>
              <w:rPr>
                <w:rFonts w:ascii="Times New Roman" w:cs="Times New Roman" w:eastAsia="Times New Roman" w:hAnsi="Times New Roman"/>
                <w:sz w:val="13"/>
                <w:szCs w:val="13"/>
                <w:b w:val="1"/>
                <w:bCs w:val="1"/>
                <w:color w:val="FFFFFF"/>
                <w:w w:val="99"/>
              </w:rPr>
              <w:t>BLE</w:t>
            </w:r>
          </w:p>
        </w:tc>
        <w:tc>
          <w:tcPr>
            <w:tcW w:w="840" w:type="dxa"/>
            <w:vAlign w:val="bottom"/>
            <w:tcBorders>
              <w:bottom w:val="single" w:sz="8" w:color="4DC1E4"/>
            </w:tcBorders>
            <w:shd w:val="clear" w:color="auto" w:fill="4DC1E4"/>
          </w:tcPr>
          <w:p>
            <w:pPr>
              <w:jc w:val="center"/>
              <w:spacing w:after="0"/>
              <w:rPr>
                <w:sz w:val="20"/>
                <w:szCs w:val="20"/>
                <w:color w:val="auto"/>
              </w:rPr>
            </w:pPr>
            <w:r>
              <w:rPr>
                <w:rFonts w:ascii="Times New Roman" w:cs="Times New Roman" w:eastAsia="Times New Roman" w:hAnsi="Times New Roman"/>
                <w:sz w:val="13"/>
                <w:szCs w:val="13"/>
                <w:b w:val="1"/>
                <w:bCs w:val="1"/>
                <w:color w:val="FFFFFF"/>
                <w:w w:val="93"/>
              </w:rPr>
              <w:t>SABLE</w:t>
            </w:r>
          </w:p>
        </w:tc>
        <w:tc>
          <w:tcPr>
            <w:tcW w:w="760" w:type="dxa"/>
            <w:vAlign w:val="bottom"/>
            <w:tcBorders>
              <w:bottom w:val="single" w:sz="8" w:color="4DC1E4"/>
            </w:tcBorders>
            <w:vMerge w:val="continue"/>
            <w:shd w:val="clear" w:color="auto" w:fill="4DC1E4"/>
          </w:tcPr>
          <w:p>
            <w:pPr>
              <w:spacing w:after="0"/>
              <w:rPr>
                <w:sz w:val="16"/>
                <w:szCs w:val="16"/>
                <w:color w:val="auto"/>
              </w:rPr>
            </w:pPr>
          </w:p>
        </w:tc>
        <w:tc>
          <w:tcPr>
            <w:tcW w:w="860" w:type="dxa"/>
            <w:vAlign w:val="bottom"/>
            <w:tcBorders>
              <w:bottom w:val="single" w:sz="8" w:color="4DC1E4"/>
              <w:right w:val="single" w:sz="8" w:color="auto"/>
            </w:tcBorders>
            <w:vMerge w:val="continue"/>
            <w:shd w:val="clear" w:color="auto" w:fill="4DC1E4"/>
          </w:tcPr>
          <w:p>
            <w:pPr>
              <w:spacing w:after="0"/>
              <w:rPr>
                <w:sz w:val="16"/>
                <w:szCs w:val="16"/>
                <w:color w:val="auto"/>
              </w:rPr>
            </w:pPr>
          </w:p>
        </w:tc>
        <w:tc>
          <w:tcPr>
            <w:tcW w:w="980" w:type="dxa"/>
            <w:vAlign w:val="bottom"/>
            <w:tcBorders>
              <w:bottom w:val="single" w:sz="8" w:color="4DC1E4"/>
            </w:tcBorders>
            <w:vMerge w:val="continue"/>
            <w:shd w:val="clear" w:color="auto" w:fill="4DC1E4"/>
          </w:tcPr>
          <w:p>
            <w:pPr>
              <w:spacing w:after="0"/>
              <w:rPr>
                <w:sz w:val="16"/>
                <w:szCs w:val="16"/>
                <w:color w:val="auto"/>
              </w:rPr>
            </w:pPr>
          </w:p>
        </w:tc>
        <w:tc>
          <w:tcPr>
            <w:tcW w:w="880" w:type="dxa"/>
            <w:vAlign w:val="bottom"/>
            <w:tcBorders>
              <w:bottom w:val="single" w:sz="8" w:color="4DC1E4"/>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8"/>
                <w:szCs w:val="8"/>
                <w:b w:val="1"/>
                <w:bCs w:val="1"/>
                <w:color w:val="FFFFFF"/>
              </w:rPr>
              <w:t>(4)</w:t>
            </w:r>
          </w:p>
        </w:tc>
        <w:tc>
          <w:tcPr>
            <w:tcW w:w="980" w:type="dxa"/>
            <w:vAlign w:val="bottom"/>
            <w:tcBorders>
              <w:bottom w:val="single" w:sz="8" w:color="4DC1E4"/>
            </w:tcBorders>
            <w:shd w:val="clear" w:color="auto" w:fill="4DC1E4"/>
          </w:tcPr>
          <w:p>
            <w:pPr>
              <w:jc w:val="center"/>
              <w:spacing w:after="0"/>
              <w:rPr>
                <w:sz w:val="20"/>
                <w:szCs w:val="20"/>
                <w:color w:val="auto"/>
              </w:rPr>
            </w:pPr>
            <w:r>
              <w:rPr>
                <w:rFonts w:ascii="Times New Roman" w:cs="Times New Roman" w:eastAsia="Times New Roman" w:hAnsi="Times New Roman"/>
                <w:sz w:val="13"/>
                <w:szCs w:val="13"/>
                <w:b w:val="1"/>
                <w:bCs w:val="1"/>
                <w:color w:val="FFFFFF"/>
              </w:rPr>
              <w:t>(#)</w:t>
            </w:r>
          </w:p>
        </w:tc>
        <w:tc>
          <w:tcPr>
            <w:tcW w:w="960" w:type="dxa"/>
            <w:vAlign w:val="bottom"/>
            <w:tcBorders>
              <w:bottom w:val="single" w:sz="8" w:color="4DC1E4"/>
              <w:right w:val="single" w:sz="8" w:color="auto"/>
            </w:tcBorders>
            <w:shd w:val="clear" w:color="auto" w:fill="4DC1E4"/>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FFFFFF"/>
                <w:w w:val="86"/>
              </w:rPr>
              <w:t>($)</w:t>
            </w:r>
            <w:r>
              <w:rPr>
                <w:rFonts w:ascii="Times New Roman" w:cs="Times New Roman" w:eastAsia="Times New Roman" w:hAnsi="Times New Roman"/>
                <w:sz w:val="16"/>
                <w:szCs w:val="16"/>
                <w:b w:val="1"/>
                <w:bCs w:val="1"/>
                <w:color w:val="FFFFFF"/>
                <w:w w:val="86"/>
                <w:vertAlign w:val="superscript"/>
              </w:rPr>
              <w:t>(4)</w:t>
            </w:r>
          </w:p>
        </w:tc>
        <w:tc>
          <w:tcPr>
            <w:tcW w:w="0" w:type="dxa"/>
            <w:vAlign w:val="bottom"/>
          </w:tcPr>
          <w:p>
            <w:pPr>
              <w:spacing w:after="0"/>
              <w:rPr>
                <w:sz w:val="1"/>
                <w:szCs w:val="1"/>
                <w:color w:val="auto"/>
              </w:rPr>
            </w:pPr>
          </w:p>
        </w:tc>
      </w:tr>
      <w:tr>
        <w:trPr>
          <w:trHeight w:val="117"/>
        </w:trPr>
        <w:tc>
          <w:tcPr>
            <w:tcW w:w="1440" w:type="dxa"/>
            <w:vAlign w:val="bottom"/>
            <w:tcBorders>
              <w:top w:val="single" w:sz="8" w:color="auto"/>
              <w:left w:val="single" w:sz="8" w:color="auto"/>
              <w:right w:val="single" w:sz="8" w:color="auto"/>
            </w:tcBorders>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Carole S. Ben-</w:t>
            </w:r>
          </w:p>
        </w:tc>
        <w:tc>
          <w:tcPr>
            <w:tcW w:w="840" w:type="dxa"/>
            <w:vAlign w:val="bottom"/>
            <w:tcBorders>
              <w:top w:val="single" w:sz="8" w:color="auto"/>
            </w:tcBorders>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4/10/2017</w:t>
            </w:r>
          </w:p>
        </w:tc>
        <w:tc>
          <w:tcPr>
            <w:tcW w:w="900" w:type="dxa"/>
            <w:vAlign w:val="bottom"/>
            <w:tcBorders>
              <w:top w:val="single" w:sz="8" w:color="auto"/>
            </w:tcBorders>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133,140</w:t>
            </w:r>
          </w:p>
        </w:tc>
        <w:tc>
          <w:tcPr>
            <w:tcW w:w="840" w:type="dxa"/>
            <w:vAlign w:val="bottom"/>
            <w:tcBorders>
              <w:top w:val="single" w:sz="8" w:color="auto"/>
            </w:tcBorders>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11.73</w:t>
            </w:r>
          </w:p>
        </w:tc>
        <w:tc>
          <w:tcPr>
            <w:tcW w:w="860" w:type="dxa"/>
            <w:vAlign w:val="bottom"/>
            <w:tcBorders>
              <w:top w:val="single" w:sz="8" w:color="auto"/>
              <w:right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4/10/2027</w:t>
            </w:r>
          </w:p>
        </w:tc>
        <w:tc>
          <w:tcPr>
            <w:tcW w:w="980" w:type="dxa"/>
            <w:vAlign w:val="bottom"/>
            <w:tcBorders>
              <w:top w:val="single" w:sz="8" w:color="auto"/>
            </w:tcBorders>
            <w:vMerge w:val="restart"/>
          </w:tcPr>
          <w:p>
            <w:pPr>
              <w:jc w:val="right"/>
              <w:ind w:right="146"/>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right w:val="single" w:sz="8" w:color="auto"/>
            </w:tcBorders>
            <w:vMerge w:val="restart"/>
          </w:tcPr>
          <w:p>
            <w:pPr>
              <w:jc w:val="right"/>
              <w:ind w:right="127"/>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vMerge w:val="restart"/>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right w:val="single" w:sz="8" w:color="auto"/>
            </w:tcBorders>
            <w:vMerge w:val="restart"/>
          </w:tcPr>
          <w:p>
            <w:pPr>
              <w:jc w:val="right"/>
              <w:ind w:right="15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14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Maimon, M.D.</w:t>
            </w:r>
          </w:p>
        </w:tc>
        <w:tc>
          <w:tcPr>
            <w:tcW w:w="840" w:type="dxa"/>
            <w:vAlign w:val="bottom"/>
            <w:tcBorders>
              <w:bottom w:val="single" w:sz="8" w:color="auto"/>
            </w:tcBorders>
            <w:gridSpan w:val="2"/>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440" w:type="dxa"/>
            <w:vAlign w:val="bottom"/>
            <w:tcBorders>
              <w:left w:val="single" w:sz="8" w:color="auto"/>
              <w:bottom w:val="single" w:sz="8" w:color="auto"/>
              <w:right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5/28/2019</w:t>
            </w:r>
          </w:p>
        </w:tc>
        <w:tc>
          <w:tcPr>
            <w:tcW w:w="90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61,419</w:t>
            </w:r>
          </w:p>
        </w:tc>
        <w:tc>
          <w:tcPr>
            <w:tcW w:w="840" w:type="dxa"/>
            <w:vAlign w:val="bottom"/>
            <w:tcBorders>
              <w:bottom w:val="single" w:sz="8" w:color="auto"/>
            </w:tcBorders>
          </w:tcPr>
          <w:p>
            <w:pPr>
              <w:jc w:val="right"/>
              <w:ind w:right="149"/>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11.73</w:t>
            </w:r>
          </w:p>
        </w:tc>
        <w:tc>
          <w:tcPr>
            <w:tcW w:w="8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5/28/2029</w:t>
            </w:r>
          </w:p>
        </w:tc>
        <w:tc>
          <w:tcPr>
            <w:tcW w:w="980" w:type="dxa"/>
            <w:vAlign w:val="bottom"/>
            <w:tcBorders>
              <w:bottom w:val="single" w:sz="8" w:color="auto"/>
            </w:tcBorders>
          </w:tcPr>
          <w:p>
            <w:pPr>
              <w:jc w:val="right"/>
              <w:ind w:right="146"/>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right w:val="single" w:sz="8" w:color="auto"/>
            </w:tcBorders>
          </w:tcPr>
          <w:p>
            <w:pPr>
              <w:jc w:val="right"/>
              <w:ind w:right="127"/>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1440" w:type="dxa"/>
            <w:vAlign w:val="bottom"/>
            <w:tcBorders>
              <w:left w:val="single" w:sz="8" w:color="auto"/>
              <w:bottom w:val="single" w:sz="8" w:color="auto"/>
              <w:right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9/29/2020</w:t>
            </w:r>
          </w:p>
        </w:tc>
        <w:tc>
          <w:tcPr>
            <w:tcW w:w="90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411,400</w:t>
            </w:r>
          </w:p>
        </w:tc>
        <w:tc>
          <w:tcPr>
            <w:tcW w:w="840" w:type="dxa"/>
            <w:vAlign w:val="bottom"/>
            <w:tcBorders>
              <w:bottom w:val="single" w:sz="8" w:color="auto"/>
            </w:tcBorders>
          </w:tcPr>
          <w:p>
            <w:pPr>
              <w:jc w:val="right"/>
              <w:ind w:right="149"/>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11.90</w:t>
            </w:r>
          </w:p>
        </w:tc>
        <w:tc>
          <w:tcPr>
            <w:tcW w:w="8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7/16/2030</w:t>
            </w:r>
          </w:p>
        </w:tc>
        <w:tc>
          <w:tcPr>
            <w:tcW w:w="980" w:type="dxa"/>
            <w:vAlign w:val="bottom"/>
            <w:tcBorders>
              <w:bottom w:val="single" w:sz="8" w:color="auto"/>
            </w:tcBorders>
          </w:tcPr>
          <w:p>
            <w:pPr>
              <w:jc w:val="right"/>
              <w:ind w:right="146"/>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right w:val="single" w:sz="8" w:color="auto"/>
            </w:tcBorders>
          </w:tcPr>
          <w:p>
            <w:pPr>
              <w:jc w:val="right"/>
              <w:ind w:right="127"/>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1440" w:type="dxa"/>
            <w:vAlign w:val="bottom"/>
            <w:tcBorders>
              <w:left w:val="single" w:sz="8" w:color="auto"/>
              <w:bottom w:val="single" w:sz="8" w:color="auto"/>
              <w:right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1/19/2021</w:t>
            </w:r>
          </w:p>
        </w:tc>
        <w:tc>
          <w:tcPr>
            <w:tcW w:w="90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106,700</w:t>
            </w:r>
          </w:p>
        </w:tc>
        <w:tc>
          <w:tcPr>
            <w:tcW w:w="840" w:type="dxa"/>
            <w:vAlign w:val="bottom"/>
            <w:tcBorders>
              <w:bottom w:val="single" w:sz="8" w:color="auto"/>
            </w:tcBorders>
          </w:tcPr>
          <w:p>
            <w:pPr>
              <w:jc w:val="right"/>
              <w:ind w:right="149"/>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19.61</w:t>
            </w:r>
          </w:p>
        </w:tc>
        <w:tc>
          <w:tcPr>
            <w:tcW w:w="8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1/19/2031</w:t>
            </w:r>
          </w:p>
        </w:tc>
        <w:tc>
          <w:tcPr>
            <w:tcW w:w="980" w:type="dxa"/>
            <w:vAlign w:val="bottom"/>
            <w:tcBorders>
              <w:bottom w:val="single" w:sz="8" w:color="auto"/>
            </w:tcBorders>
          </w:tcPr>
          <w:p>
            <w:pPr>
              <w:jc w:val="right"/>
              <w:ind w:right="146"/>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right w:val="single" w:sz="8" w:color="auto"/>
            </w:tcBorders>
          </w:tcPr>
          <w:p>
            <w:pPr>
              <w:jc w:val="right"/>
              <w:ind w:right="127"/>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1440" w:type="dxa"/>
            <w:vAlign w:val="bottom"/>
            <w:tcBorders>
              <w:left w:val="single" w:sz="8" w:color="auto"/>
              <w:bottom w:val="single" w:sz="8" w:color="auto"/>
              <w:right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1/18/2022</w:t>
            </w:r>
          </w:p>
        </w:tc>
        <w:tc>
          <w:tcPr>
            <w:tcW w:w="90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178,208</w:t>
            </w:r>
          </w:p>
        </w:tc>
        <w:tc>
          <w:tcPr>
            <w:tcW w:w="840" w:type="dxa"/>
            <w:vAlign w:val="bottom"/>
            <w:tcBorders>
              <w:bottom w:val="single" w:sz="8" w:color="auto"/>
            </w:tcBorders>
          </w:tcPr>
          <w:p>
            <w:pPr>
              <w:jc w:val="right"/>
              <w:ind w:right="149"/>
              <w:spacing w:after="0" w:line="142" w:lineRule="exact"/>
              <w:rPr>
                <w:sz w:val="20"/>
                <w:szCs w:val="20"/>
                <w:color w:val="auto"/>
              </w:rPr>
            </w:pPr>
            <w:r>
              <w:rPr>
                <w:rFonts w:ascii="Times New Roman" w:cs="Times New Roman" w:eastAsia="Times New Roman" w:hAnsi="Times New Roman"/>
                <w:sz w:val="14"/>
                <w:szCs w:val="14"/>
                <w:color w:val="auto"/>
              </w:rPr>
              <w:t>3,792</w:t>
            </w:r>
          </w:p>
        </w:tc>
        <w:tc>
          <w:tcPr>
            <w:tcW w:w="76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8.75</w:t>
            </w:r>
          </w:p>
        </w:tc>
        <w:tc>
          <w:tcPr>
            <w:tcW w:w="8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1/18/2032</w:t>
            </w:r>
          </w:p>
        </w:tc>
        <w:tc>
          <w:tcPr>
            <w:tcW w:w="980" w:type="dxa"/>
            <w:vAlign w:val="bottom"/>
            <w:tcBorders>
              <w:bottom w:val="single" w:sz="8" w:color="auto"/>
            </w:tcBorders>
          </w:tcPr>
          <w:p>
            <w:pPr>
              <w:jc w:val="right"/>
              <w:ind w:right="146"/>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right w:val="single" w:sz="8" w:color="auto"/>
            </w:tcBorders>
          </w:tcPr>
          <w:p>
            <w:pPr>
              <w:jc w:val="right"/>
              <w:ind w:right="127"/>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1440" w:type="dxa"/>
            <w:vAlign w:val="bottom"/>
            <w:tcBorders>
              <w:left w:val="single" w:sz="8" w:color="auto"/>
              <w:bottom w:val="single" w:sz="8" w:color="auto"/>
              <w:right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5/10/2022</w:t>
            </w:r>
          </w:p>
        </w:tc>
        <w:tc>
          <w:tcPr>
            <w:tcW w:w="90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35,833</w:t>
            </w:r>
          </w:p>
        </w:tc>
        <w:tc>
          <w:tcPr>
            <w:tcW w:w="840" w:type="dxa"/>
            <w:vAlign w:val="bottom"/>
            <w:tcBorders>
              <w:bottom w:val="single" w:sz="8" w:color="auto"/>
            </w:tcBorders>
          </w:tcPr>
          <w:p>
            <w:pPr>
              <w:jc w:val="right"/>
              <w:ind w:right="149"/>
              <w:spacing w:after="0" w:line="142" w:lineRule="exact"/>
              <w:rPr>
                <w:sz w:val="20"/>
                <w:szCs w:val="20"/>
                <w:color w:val="auto"/>
              </w:rPr>
            </w:pPr>
            <w:r>
              <w:rPr>
                <w:rFonts w:ascii="Times New Roman" w:cs="Times New Roman" w:eastAsia="Times New Roman" w:hAnsi="Times New Roman"/>
                <w:sz w:val="14"/>
                <w:szCs w:val="14"/>
                <w:color w:val="auto"/>
              </w:rPr>
              <w:t>4,167</w:t>
            </w:r>
          </w:p>
        </w:tc>
        <w:tc>
          <w:tcPr>
            <w:tcW w:w="76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2.92</w:t>
            </w:r>
          </w:p>
        </w:tc>
        <w:tc>
          <w:tcPr>
            <w:tcW w:w="8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5/10/2032</w:t>
            </w:r>
          </w:p>
        </w:tc>
        <w:tc>
          <w:tcPr>
            <w:tcW w:w="980" w:type="dxa"/>
            <w:vAlign w:val="bottom"/>
            <w:tcBorders>
              <w:bottom w:val="single" w:sz="8" w:color="auto"/>
            </w:tcBorders>
          </w:tcPr>
          <w:p>
            <w:pPr>
              <w:jc w:val="right"/>
              <w:ind w:right="146"/>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right w:val="single" w:sz="8" w:color="auto"/>
            </w:tcBorders>
          </w:tcPr>
          <w:p>
            <w:pPr>
              <w:jc w:val="right"/>
              <w:ind w:right="127"/>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1440" w:type="dxa"/>
            <w:vAlign w:val="bottom"/>
            <w:tcBorders>
              <w:left w:val="single" w:sz="8" w:color="auto"/>
              <w:bottom w:val="single" w:sz="8" w:color="auto"/>
              <w:right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1/31/2023</w:t>
            </w:r>
          </w:p>
        </w:tc>
        <w:tc>
          <w:tcPr>
            <w:tcW w:w="90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236,979</w:t>
            </w:r>
          </w:p>
        </w:tc>
        <w:tc>
          <w:tcPr>
            <w:tcW w:w="840" w:type="dxa"/>
            <w:vAlign w:val="bottom"/>
            <w:tcBorders>
              <w:bottom w:val="single" w:sz="8" w:color="auto"/>
            </w:tcBorders>
          </w:tcPr>
          <w:p>
            <w:pPr>
              <w:jc w:val="right"/>
              <w:ind w:right="149"/>
              <w:spacing w:after="0" w:line="142" w:lineRule="exact"/>
              <w:rPr>
                <w:sz w:val="20"/>
                <w:szCs w:val="20"/>
                <w:color w:val="auto"/>
              </w:rPr>
            </w:pPr>
            <w:r>
              <w:rPr>
                <w:rFonts w:ascii="Times New Roman" w:cs="Times New Roman" w:eastAsia="Times New Roman" w:hAnsi="Times New Roman"/>
                <w:sz w:val="14"/>
                <w:szCs w:val="14"/>
                <w:color w:val="auto"/>
              </w:rPr>
              <w:t>88,021</w:t>
            </w:r>
          </w:p>
        </w:tc>
        <w:tc>
          <w:tcPr>
            <w:tcW w:w="76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4.94</w:t>
            </w:r>
          </w:p>
        </w:tc>
        <w:tc>
          <w:tcPr>
            <w:tcW w:w="8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1/31/2033</w:t>
            </w:r>
          </w:p>
        </w:tc>
        <w:tc>
          <w:tcPr>
            <w:tcW w:w="980" w:type="dxa"/>
            <w:vAlign w:val="bottom"/>
            <w:tcBorders>
              <w:bottom w:val="single" w:sz="8" w:color="auto"/>
            </w:tcBorders>
          </w:tcPr>
          <w:p>
            <w:pPr>
              <w:jc w:val="right"/>
              <w:ind w:right="146"/>
              <w:spacing w:after="0" w:line="142" w:lineRule="exact"/>
              <w:rPr>
                <w:sz w:val="20"/>
                <w:szCs w:val="20"/>
                <w:color w:val="auto"/>
              </w:rPr>
            </w:pPr>
            <w:r>
              <w:rPr>
                <w:rFonts w:ascii="Times New Roman" w:cs="Times New Roman" w:eastAsia="Times New Roman" w:hAnsi="Times New Roman"/>
                <w:sz w:val="14"/>
                <w:szCs w:val="14"/>
                <w:color w:val="auto"/>
              </w:rPr>
              <w:t>102,500</w:t>
            </w:r>
          </w:p>
        </w:tc>
        <w:tc>
          <w:tcPr>
            <w:tcW w:w="880" w:type="dxa"/>
            <w:vAlign w:val="bottom"/>
            <w:tcBorders>
              <w:bottom w:val="single" w:sz="8" w:color="auto"/>
              <w:right w:val="single" w:sz="8" w:color="auto"/>
            </w:tcBorders>
          </w:tcPr>
          <w:p>
            <w:pPr>
              <w:jc w:val="right"/>
              <w:ind w:right="127"/>
              <w:spacing w:after="0" w:line="142" w:lineRule="exact"/>
              <w:rPr>
                <w:sz w:val="20"/>
                <w:szCs w:val="20"/>
                <w:color w:val="auto"/>
              </w:rPr>
            </w:pPr>
            <w:r>
              <w:rPr>
                <w:rFonts w:ascii="Times New Roman" w:cs="Times New Roman" w:eastAsia="Times New Roman" w:hAnsi="Times New Roman"/>
                <w:sz w:val="14"/>
                <w:szCs w:val="14"/>
                <w:color w:val="auto"/>
              </w:rPr>
              <w:t>390,525</w:t>
            </w:r>
          </w:p>
        </w:tc>
        <w:tc>
          <w:tcPr>
            <w:tcW w:w="98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1440" w:type="dxa"/>
            <w:vAlign w:val="bottom"/>
            <w:tcBorders>
              <w:left w:val="single" w:sz="8" w:color="auto"/>
              <w:bottom w:val="single" w:sz="8" w:color="auto"/>
              <w:right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1/17/2024</w:t>
            </w:r>
          </w:p>
        </w:tc>
        <w:tc>
          <w:tcPr>
            <w:tcW w:w="90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190,109</w:t>
            </w:r>
          </w:p>
        </w:tc>
        <w:tc>
          <w:tcPr>
            <w:tcW w:w="840" w:type="dxa"/>
            <w:vAlign w:val="bottom"/>
            <w:tcBorders>
              <w:bottom w:val="single" w:sz="8" w:color="auto"/>
            </w:tcBorders>
          </w:tcPr>
          <w:p>
            <w:pPr>
              <w:jc w:val="right"/>
              <w:ind w:right="149"/>
              <w:spacing w:after="0" w:line="142" w:lineRule="exact"/>
              <w:rPr>
                <w:sz w:val="20"/>
                <w:szCs w:val="20"/>
                <w:color w:val="auto"/>
              </w:rPr>
            </w:pPr>
            <w:r>
              <w:rPr>
                <w:rFonts w:ascii="Times New Roman" w:cs="Times New Roman" w:eastAsia="Times New Roman" w:hAnsi="Times New Roman"/>
                <w:sz w:val="14"/>
                <w:szCs w:val="14"/>
                <w:color w:val="auto"/>
              </w:rPr>
              <w:t>206,641</w:t>
            </w:r>
          </w:p>
        </w:tc>
        <w:tc>
          <w:tcPr>
            <w:tcW w:w="76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4.21</w:t>
            </w:r>
          </w:p>
        </w:tc>
        <w:tc>
          <w:tcPr>
            <w:tcW w:w="8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1/17/2034</w:t>
            </w:r>
          </w:p>
        </w:tc>
        <w:tc>
          <w:tcPr>
            <w:tcW w:w="980" w:type="dxa"/>
            <w:vAlign w:val="bottom"/>
            <w:tcBorders>
              <w:bottom w:val="single" w:sz="8" w:color="auto"/>
            </w:tcBorders>
          </w:tcPr>
          <w:p>
            <w:pPr>
              <w:jc w:val="right"/>
              <w:ind w:right="146"/>
              <w:spacing w:after="0" w:line="142" w:lineRule="exact"/>
              <w:rPr>
                <w:sz w:val="20"/>
                <w:szCs w:val="20"/>
                <w:color w:val="auto"/>
              </w:rPr>
            </w:pPr>
            <w:r>
              <w:rPr>
                <w:rFonts w:ascii="Times New Roman" w:cs="Times New Roman" w:eastAsia="Times New Roman" w:hAnsi="Times New Roman"/>
                <w:sz w:val="14"/>
                <w:szCs w:val="14"/>
                <w:color w:val="auto"/>
              </w:rPr>
              <w:t>16,532</w:t>
            </w:r>
          </w:p>
        </w:tc>
        <w:tc>
          <w:tcPr>
            <w:tcW w:w="880" w:type="dxa"/>
            <w:vAlign w:val="bottom"/>
            <w:tcBorders>
              <w:bottom w:val="single" w:sz="8" w:color="auto"/>
              <w:right w:val="single" w:sz="8" w:color="auto"/>
            </w:tcBorders>
          </w:tcPr>
          <w:p>
            <w:pPr>
              <w:jc w:val="right"/>
              <w:ind w:right="127"/>
              <w:spacing w:after="0" w:line="142" w:lineRule="exact"/>
              <w:rPr>
                <w:sz w:val="20"/>
                <w:szCs w:val="20"/>
                <w:color w:val="auto"/>
              </w:rPr>
            </w:pPr>
            <w:r>
              <w:rPr>
                <w:rFonts w:ascii="Times New Roman" w:cs="Times New Roman" w:eastAsia="Times New Roman" w:hAnsi="Times New Roman"/>
                <w:sz w:val="14"/>
                <w:szCs w:val="14"/>
                <w:color w:val="auto"/>
              </w:rPr>
              <w:t>62,987</w:t>
            </w:r>
          </w:p>
        </w:tc>
        <w:tc>
          <w:tcPr>
            <w:tcW w:w="98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1440" w:type="dxa"/>
            <w:vAlign w:val="bottom"/>
            <w:tcBorders>
              <w:left w:val="single" w:sz="8" w:color="auto"/>
              <w:bottom w:val="single" w:sz="8" w:color="auto"/>
              <w:right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1/22/2025</w:t>
            </w:r>
          </w:p>
        </w:tc>
        <w:tc>
          <w:tcPr>
            <w:tcW w:w="90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149"/>
              <w:spacing w:after="0" w:line="142" w:lineRule="exact"/>
              <w:rPr>
                <w:sz w:val="20"/>
                <w:szCs w:val="20"/>
                <w:color w:val="auto"/>
              </w:rPr>
            </w:pPr>
            <w:r>
              <w:rPr>
                <w:rFonts w:ascii="Times New Roman" w:cs="Times New Roman" w:eastAsia="Times New Roman" w:hAnsi="Times New Roman"/>
                <w:sz w:val="14"/>
                <w:szCs w:val="14"/>
                <w:color w:val="auto"/>
              </w:rPr>
              <w:t>546,000</w:t>
            </w:r>
          </w:p>
        </w:tc>
        <w:tc>
          <w:tcPr>
            <w:tcW w:w="76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3.46</w:t>
            </w:r>
          </w:p>
        </w:tc>
        <w:tc>
          <w:tcPr>
            <w:tcW w:w="8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1/22/2035</w:t>
            </w:r>
          </w:p>
        </w:tc>
        <w:tc>
          <w:tcPr>
            <w:tcW w:w="980" w:type="dxa"/>
            <w:vAlign w:val="bottom"/>
            <w:tcBorders>
              <w:bottom w:val="single" w:sz="8" w:color="auto"/>
            </w:tcBorders>
          </w:tcPr>
          <w:p>
            <w:pPr>
              <w:jc w:val="right"/>
              <w:ind w:right="146"/>
              <w:spacing w:after="0" w:line="142" w:lineRule="exact"/>
              <w:rPr>
                <w:sz w:val="20"/>
                <w:szCs w:val="20"/>
                <w:color w:val="auto"/>
              </w:rPr>
            </w:pPr>
            <w:r>
              <w:rPr>
                <w:rFonts w:ascii="Times New Roman" w:cs="Times New Roman" w:eastAsia="Times New Roman" w:hAnsi="Times New Roman"/>
                <w:sz w:val="14"/>
                <w:szCs w:val="14"/>
                <w:color w:val="auto"/>
              </w:rPr>
              <w:t>91,000</w:t>
            </w:r>
          </w:p>
        </w:tc>
        <w:tc>
          <w:tcPr>
            <w:tcW w:w="880" w:type="dxa"/>
            <w:vAlign w:val="bottom"/>
            <w:tcBorders>
              <w:bottom w:val="single" w:sz="8" w:color="auto"/>
              <w:right w:val="single" w:sz="8" w:color="auto"/>
            </w:tcBorders>
          </w:tcPr>
          <w:p>
            <w:pPr>
              <w:jc w:val="right"/>
              <w:ind w:right="127"/>
              <w:spacing w:after="0" w:line="142" w:lineRule="exact"/>
              <w:rPr>
                <w:sz w:val="20"/>
                <w:szCs w:val="20"/>
                <w:color w:val="auto"/>
              </w:rPr>
            </w:pPr>
            <w:r>
              <w:rPr>
                <w:rFonts w:ascii="Times New Roman" w:cs="Times New Roman" w:eastAsia="Times New Roman" w:hAnsi="Times New Roman"/>
                <w:sz w:val="14"/>
                <w:szCs w:val="14"/>
                <w:color w:val="auto"/>
              </w:rPr>
              <w:t>346,710</w:t>
            </w:r>
          </w:p>
        </w:tc>
        <w:tc>
          <w:tcPr>
            <w:tcW w:w="98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color w:val="auto"/>
              </w:rPr>
              <w:t>100,000</w:t>
            </w:r>
          </w:p>
        </w:tc>
        <w:tc>
          <w:tcPr>
            <w:tcW w:w="9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color w:val="auto"/>
              </w:rPr>
              <w:t>381,000</w:t>
            </w:r>
          </w:p>
        </w:tc>
        <w:tc>
          <w:tcPr>
            <w:tcW w:w="0" w:type="dxa"/>
            <w:vAlign w:val="bottom"/>
          </w:tcPr>
          <w:p>
            <w:pPr>
              <w:spacing w:after="0"/>
              <w:rPr>
                <w:sz w:val="1"/>
                <w:szCs w:val="1"/>
                <w:color w:val="auto"/>
              </w:rPr>
            </w:pPr>
          </w:p>
        </w:tc>
      </w:tr>
      <w:tr>
        <w:trPr>
          <w:trHeight w:val="142"/>
        </w:trPr>
        <w:tc>
          <w:tcPr>
            <w:tcW w:w="144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Michael Celano</w:t>
            </w:r>
          </w:p>
        </w:tc>
        <w:tc>
          <w:tcPr>
            <w:tcW w:w="840" w:type="dxa"/>
            <w:vAlign w:val="bottom"/>
            <w:tcBorders>
              <w:bottom w:val="single" w:sz="8" w:color="auto"/>
            </w:tcBorders>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5/28/2020</w:t>
            </w:r>
          </w:p>
        </w:tc>
        <w:tc>
          <w:tcPr>
            <w:tcW w:w="90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60,479</w:t>
            </w:r>
          </w:p>
        </w:tc>
        <w:tc>
          <w:tcPr>
            <w:tcW w:w="840" w:type="dxa"/>
            <w:vAlign w:val="bottom"/>
            <w:tcBorders>
              <w:bottom w:val="single" w:sz="8" w:color="auto"/>
            </w:tcBorders>
          </w:tcPr>
          <w:p>
            <w:pPr>
              <w:jc w:val="right"/>
              <w:ind w:right="149"/>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11.88</w:t>
            </w:r>
          </w:p>
        </w:tc>
        <w:tc>
          <w:tcPr>
            <w:tcW w:w="8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5/28/2030</w:t>
            </w:r>
          </w:p>
        </w:tc>
        <w:tc>
          <w:tcPr>
            <w:tcW w:w="980" w:type="dxa"/>
            <w:vAlign w:val="bottom"/>
            <w:tcBorders>
              <w:bottom w:val="single" w:sz="8" w:color="auto"/>
            </w:tcBorders>
          </w:tcPr>
          <w:p>
            <w:pPr>
              <w:jc w:val="right"/>
              <w:ind w:right="146"/>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right w:val="single" w:sz="8" w:color="auto"/>
            </w:tcBorders>
          </w:tcPr>
          <w:p>
            <w:pPr>
              <w:jc w:val="right"/>
              <w:ind w:right="127"/>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1440" w:type="dxa"/>
            <w:vAlign w:val="bottom"/>
            <w:tcBorders>
              <w:left w:val="single" w:sz="8" w:color="auto"/>
              <w:bottom w:val="single" w:sz="8" w:color="auto"/>
              <w:right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9/29/2020</w:t>
            </w:r>
          </w:p>
        </w:tc>
        <w:tc>
          <w:tcPr>
            <w:tcW w:w="90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84,100</w:t>
            </w:r>
          </w:p>
        </w:tc>
        <w:tc>
          <w:tcPr>
            <w:tcW w:w="840" w:type="dxa"/>
            <w:vAlign w:val="bottom"/>
            <w:tcBorders>
              <w:bottom w:val="single" w:sz="8" w:color="auto"/>
            </w:tcBorders>
          </w:tcPr>
          <w:p>
            <w:pPr>
              <w:jc w:val="right"/>
              <w:ind w:right="149"/>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11.90</w:t>
            </w:r>
          </w:p>
        </w:tc>
        <w:tc>
          <w:tcPr>
            <w:tcW w:w="8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7/16/2030</w:t>
            </w:r>
          </w:p>
        </w:tc>
        <w:tc>
          <w:tcPr>
            <w:tcW w:w="980" w:type="dxa"/>
            <w:vAlign w:val="bottom"/>
            <w:tcBorders>
              <w:bottom w:val="single" w:sz="8" w:color="auto"/>
            </w:tcBorders>
          </w:tcPr>
          <w:p>
            <w:pPr>
              <w:jc w:val="right"/>
              <w:ind w:right="146"/>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right w:val="single" w:sz="8" w:color="auto"/>
            </w:tcBorders>
          </w:tcPr>
          <w:p>
            <w:pPr>
              <w:jc w:val="right"/>
              <w:ind w:right="127"/>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1440" w:type="dxa"/>
            <w:vAlign w:val="bottom"/>
            <w:tcBorders>
              <w:left w:val="single" w:sz="8" w:color="auto"/>
              <w:bottom w:val="single" w:sz="8" w:color="auto"/>
              <w:right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1/19/2021</w:t>
            </w:r>
          </w:p>
        </w:tc>
        <w:tc>
          <w:tcPr>
            <w:tcW w:w="90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42,000</w:t>
            </w:r>
          </w:p>
        </w:tc>
        <w:tc>
          <w:tcPr>
            <w:tcW w:w="840" w:type="dxa"/>
            <w:vAlign w:val="bottom"/>
            <w:tcBorders>
              <w:bottom w:val="single" w:sz="8" w:color="auto"/>
            </w:tcBorders>
          </w:tcPr>
          <w:p>
            <w:pPr>
              <w:jc w:val="right"/>
              <w:ind w:right="149"/>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19.61</w:t>
            </w:r>
          </w:p>
        </w:tc>
        <w:tc>
          <w:tcPr>
            <w:tcW w:w="8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1/19/2031</w:t>
            </w:r>
          </w:p>
        </w:tc>
        <w:tc>
          <w:tcPr>
            <w:tcW w:w="980" w:type="dxa"/>
            <w:vAlign w:val="bottom"/>
            <w:tcBorders>
              <w:bottom w:val="single" w:sz="8" w:color="auto"/>
            </w:tcBorders>
          </w:tcPr>
          <w:p>
            <w:pPr>
              <w:jc w:val="right"/>
              <w:ind w:right="146"/>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right w:val="single" w:sz="8" w:color="auto"/>
            </w:tcBorders>
          </w:tcPr>
          <w:p>
            <w:pPr>
              <w:jc w:val="right"/>
              <w:ind w:right="127"/>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1440" w:type="dxa"/>
            <w:vAlign w:val="bottom"/>
            <w:tcBorders>
              <w:left w:val="single" w:sz="8" w:color="auto"/>
              <w:bottom w:val="single" w:sz="8" w:color="auto"/>
              <w:right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1/18/2022</w:t>
            </w:r>
          </w:p>
        </w:tc>
        <w:tc>
          <w:tcPr>
            <w:tcW w:w="90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78,333</w:t>
            </w:r>
          </w:p>
        </w:tc>
        <w:tc>
          <w:tcPr>
            <w:tcW w:w="840" w:type="dxa"/>
            <w:vAlign w:val="bottom"/>
            <w:tcBorders>
              <w:bottom w:val="single" w:sz="8" w:color="auto"/>
            </w:tcBorders>
          </w:tcPr>
          <w:p>
            <w:pPr>
              <w:jc w:val="right"/>
              <w:ind w:right="149"/>
              <w:spacing w:after="0" w:line="142" w:lineRule="exact"/>
              <w:rPr>
                <w:sz w:val="20"/>
                <w:szCs w:val="20"/>
                <w:color w:val="auto"/>
              </w:rPr>
            </w:pPr>
            <w:r>
              <w:rPr>
                <w:rFonts w:ascii="Times New Roman" w:cs="Times New Roman" w:eastAsia="Times New Roman" w:hAnsi="Times New Roman"/>
                <w:sz w:val="14"/>
                <w:szCs w:val="14"/>
                <w:color w:val="auto"/>
              </w:rPr>
              <w:t>1,667</w:t>
            </w:r>
          </w:p>
        </w:tc>
        <w:tc>
          <w:tcPr>
            <w:tcW w:w="76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8.75</w:t>
            </w:r>
          </w:p>
        </w:tc>
        <w:tc>
          <w:tcPr>
            <w:tcW w:w="8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1/18/2032</w:t>
            </w:r>
          </w:p>
        </w:tc>
        <w:tc>
          <w:tcPr>
            <w:tcW w:w="980" w:type="dxa"/>
            <w:vAlign w:val="bottom"/>
            <w:tcBorders>
              <w:bottom w:val="single" w:sz="8" w:color="auto"/>
            </w:tcBorders>
          </w:tcPr>
          <w:p>
            <w:pPr>
              <w:jc w:val="right"/>
              <w:ind w:right="146"/>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right w:val="single" w:sz="8" w:color="auto"/>
            </w:tcBorders>
          </w:tcPr>
          <w:p>
            <w:pPr>
              <w:jc w:val="right"/>
              <w:ind w:right="127"/>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1440" w:type="dxa"/>
            <w:vAlign w:val="bottom"/>
            <w:tcBorders>
              <w:left w:val="single" w:sz="8" w:color="auto"/>
              <w:bottom w:val="single" w:sz="8" w:color="auto"/>
              <w:right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5/10/2022</w:t>
            </w:r>
          </w:p>
        </w:tc>
        <w:tc>
          <w:tcPr>
            <w:tcW w:w="90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17,916</w:t>
            </w:r>
          </w:p>
        </w:tc>
        <w:tc>
          <w:tcPr>
            <w:tcW w:w="840" w:type="dxa"/>
            <w:vAlign w:val="bottom"/>
            <w:tcBorders>
              <w:bottom w:val="single" w:sz="8" w:color="auto"/>
            </w:tcBorders>
          </w:tcPr>
          <w:p>
            <w:pPr>
              <w:jc w:val="right"/>
              <w:ind w:right="149"/>
              <w:spacing w:after="0" w:line="142" w:lineRule="exact"/>
              <w:rPr>
                <w:sz w:val="20"/>
                <w:szCs w:val="20"/>
                <w:color w:val="auto"/>
              </w:rPr>
            </w:pPr>
            <w:r>
              <w:rPr>
                <w:rFonts w:ascii="Times New Roman" w:cs="Times New Roman" w:eastAsia="Times New Roman" w:hAnsi="Times New Roman"/>
                <w:sz w:val="14"/>
                <w:szCs w:val="14"/>
                <w:color w:val="auto"/>
              </w:rPr>
              <w:t>2,084</w:t>
            </w:r>
          </w:p>
        </w:tc>
        <w:tc>
          <w:tcPr>
            <w:tcW w:w="76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2.92</w:t>
            </w:r>
          </w:p>
        </w:tc>
        <w:tc>
          <w:tcPr>
            <w:tcW w:w="8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5/10/2032</w:t>
            </w:r>
          </w:p>
        </w:tc>
        <w:tc>
          <w:tcPr>
            <w:tcW w:w="980" w:type="dxa"/>
            <w:vAlign w:val="bottom"/>
            <w:tcBorders>
              <w:bottom w:val="single" w:sz="8" w:color="auto"/>
            </w:tcBorders>
          </w:tcPr>
          <w:p>
            <w:pPr>
              <w:jc w:val="right"/>
              <w:ind w:right="146"/>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right w:val="single" w:sz="8" w:color="auto"/>
            </w:tcBorders>
          </w:tcPr>
          <w:p>
            <w:pPr>
              <w:jc w:val="right"/>
              <w:ind w:right="127"/>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1440" w:type="dxa"/>
            <w:vAlign w:val="bottom"/>
            <w:tcBorders>
              <w:left w:val="single" w:sz="8" w:color="auto"/>
              <w:bottom w:val="single" w:sz="8" w:color="auto"/>
              <w:right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1/31/2023</w:t>
            </w:r>
          </w:p>
        </w:tc>
        <w:tc>
          <w:tcPr>
            <w:tcW w:w="90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87,500</w:t>
            </w:r>
          </w:p>
        </w:tc>
        <w:tc>
          <w:tcPr>
            <w:tcW w:w="840" w:type="dxa"/>
            <w:vAlign w:val="bottom"/>
            <w:tcBorders>
              <w:bottom w:val="single" w:sz="8" w:color="auto"/>
            </w:tcBorders>
          </w:tcPr>
          <w:p>
            <w:pPr>
              <w:jc w:val="right"/>
              <w:ind w:right="149"/>
              <w:spacing w:after="0" w:line="142" w:lineRule="exact"/>
              <w:rPr>
                <w:sz w:val="20"/>
                <w:szCs w:val="20"/>
                <w:color w:val="auto"/>
              </w:rPr>
            </w:pPr>
            <w:r>
              <w:rPr>
                <w:rFonts w:ascii="Times New Roman" w:cs="Times New Roman" w:eastAsia="Times New Roman" w:hAnsi="Times New Roman"/>
                <w:sz w:val="14"/>
                <w:szCs w:val="14"/>
                <w:color w:val="auto"/>
              </w:rPr>
              <w:t>32,500</w:t>
            </w:r>
          </w:p>
        </w:tc>
        <w:tc>
          <w:tcPr>
            <w:tcW w:w="76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4.94</w:t>
            </w:r>
          </w:p>
        </w:tc>
        <w:tc>
          <w:tcPr>
            <w:tcW w:w="8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1/31/2033</w:t>
            </w:r>
          </w:p>
        </w:tc>
        <w:tc>
          <w:tcPr>
            <w:tcW w:w="980" w:type="dxa"/>
            <w:vAlign w:val="bottom"/>
            <w:tcBorders>
              <w:bottom w:val="single" w:sz="8" w:color="auto"/>
            </w:tcBorders>
          </w:tcPr>
          <w:p>
            <w:pPr>
              <w:jc w:val="right"/>
              <w:ind w:right="146"/>
              <w:spacing w:after="0" w:line="142" w:lineRule="exact"/>
              <w:rPr>
                <w:sz w:val="20"/>
                <w:szCs w:val="20"/>
                <w:color w:val="auto"/>
              </w:rPr>
            </w:pPr>
            <w:r>
              <w:rPr>
                <w:rFonts w:ascii="Times New Roman" w:cs="Times New Roman" w:eastAsia="Times New Roman" w:hAnsi="Times New Roman"/>
                <w:sz w:val="14"/>
                <w:szCs w:val="14"/>
                <w:color w:val="auto"/>
              </w:rPr>
              <w:t>38,000</w:t>
            </w:r>
          </w:p>
        </w:tc>
        <w:tc>
          <w:tcPr>
            <w:tcW w:w="880" w:type="dxa"/>
            <w:vAlign w:val="bottom"/>
            <w:tcBorders>
              <w:bottom w:val="single" w:sz="8" w:color="auto"/>
              <w:right w:val="single" w:sz="8" w:color="auto"/>
            </w:tcBorders>
          </w:tcPr>
          <w:p>
            <w:pPr>
              <w:jc w:val="right"/>
              <w:ind w:right="127"/>
              <w:spacing w:after="0" w:line="142" w:lineRule="exact"/>
              <w:rPr>
                <w:sz w:val="20"/>
                <w:szCs w:val="20"/>
                <w:color w:val="auto"/>
              </w:rPr>
            </w:pPr>
            <w:r>
              <w:rPr>
                <w:rFonts w:ascii="Times New Roman" w:cs="Times New Roman" w:eastAsia="Times New Roman" w:hAnsi="Times New Roman"/>
                <w:sz w:val="14"/>
                <w:szCs w:val="14"/>
                <w:color w:val="auto"/>
              </w:rPr>
              <w:t>144,780</w:t>
            </w:r>
          </w:p>
        </w:tc>
        <w:tc>
          <w:tcPr>
            <w:tcW w:w="98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1440" w:type="dxa"/>
            <w:vAlign w:val="bottom"/>
            <w:tcBorders>
              <w:left w:val="single" w:sz="8" w:color="auto"/>
              <w:bottom w:val="single" w:sz="8" w:color="auto"/>
              <w:right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1/17/2024</w:t>
            </w:r>
          </w:p>
        </w:tc>
        <w:tc>
          <w:tcPr>
            <w:tcW w:w="90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89,843</w:t>
            </w:r>
          </w:p>
        </w:tc>
        <w:tc>
          <w:tcPr>
            <w:tcW w:w="840" w:type="dxa"/>
            <w:vAlign w:val="bottom"/>
            <w:tcBorders>
              <w:bottom w:val="single" w:sz="8" w:color="auto"/>
            </w:tcBorders>
          </w:tcPr>
          <w:p>
            <w:pPr>
              <w:jc w:val="right"/>
              <w:ind w:right="149"/>
              <w:spacing w:after="0" w:line="142" w:lineRule="exact"/>
              <w:rPr>
                <w:sz w:val="20"/>
                <w:szCs w:val="20"/>
                <w:color w:val="auto"/>
              </w:rPr>
            </w:pPr>
            <w:r>
              <w:rPr>
                <w:rFonts w:ascii="Times New Roman" w:cs="Times New Roman" w:eastAsia="Times New Roman" w:hAnsi="Times New Roman"/>
                <w:sz w:val="14"/>
                <w:szCs w:val="14"/>
                <w:color w:val="auto"/>
              </w:rPr>
              <w:t>97,657</w:t>
            </w:r>
          </w:p>
        </w:tc>
        <w:tc>
          <w:tcPr>
            <w:tcW w:w="76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4.21</w:t>
            </w:r>
          </w:p>
        </w:tc>
        <w:tc>
          <w:tcPr>
            <w:tcW w:w="8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1/17/2034</w:t>
            </w:r>
          </w:p>
        </w:tc>
        <w:tc>
          <w:tcPr>
            <w:tcW w:w="980" w:type="dxa"/>
            <w:vAlign w:val="bottom"/>
            <w:tcBorders>
              <w:bottom w:val="single" w:sz="8" w:color="auto"/>
            </w:tcBorders>
          </w:tcPr>
          <w:p>
            <w:pPr>
              <w:jc w:val="right"/>
              <w:ind w:right="146"/>
              <w:spacing w:after="0" w:line="142" w:lineRule="exact"/>
              <w:rPr>
                <w:sz w:val="20"/>
                <w:szCs w:val="20"/>
                <w:color w:val="auto"/>
              </w:rPr>
            </w:pPr>
            <w:r>
              <w:rPr>
                <w:rFonts w:ascii="Times New Roman" w:cs="Times New Roman" w:eastAsia="Times New Roman" w:hAnsi="Times New Roman"/>
                <w:sz w:val="14"/>
                <w:szCs w:val="14"/>
                <w:color w:val="auto"/>
              </w:rPr>
              <w:t>23,437</w:t>
            </w:r>
          </w:p>
        </w:tc>
        <w:tc>
          <w:tcPr>
            <w:tcW w:w="880" w:type="dxa"/>
            <w:vAlign w:val="bottom"/>
            <w:tcBorders>
              <w:bottom w:val="single" w:sz="8" w:color="auto"/>
              <w:right w:val="single" w:sz="8" w:color="auto"/>
            </w:tcBorders>
          </w:tcPr>
          <w:p>
            <w:pPr>
              <w:jc w:val="right"/>
              <w:ind w:right="127"/>
              <w:spacing w:after="0" w:line="142" w:lineRule="exact"/>
              <w:rPr>
                <w:sz w:val="20"/>
                <w:szCs w:val="20"/>
                <w:color w:val="auto"/>
              </w:rPr>
            </w:pPr>
            <w:r>
              <w:rPr>
                <w:rFonts w:ascii="Times New Roman" w:cs="Times New Roman" w:eastAsia="Times New Roman" w:hAnsi="Times New Roman"/>
                <w:sz w:val="14"/>
                <w:szCs w:val="14"/>
                <w:color w:val="auto"/>
              </w:rPr>
              <w:t>89,295</w:t>
            </w:r>
          </w:p>
        </w:tc>
        <w:tc>
          <w:tcPr>
            <w:tcW w:w="98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1440" w:type="dxa"/>
            <w:vAlign w:val="bottom"/>
            <w:tcBorders>
              <w:left w:val="single" w:sz="8" w:color="auto"/>
              <w:bottom w:val="single" w:sz="8" w:color="auto"/>
              <w:right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1/22/2025</w:t>
            </w:r>
          </w:p>
        </w:tc>
        <w:tc>
          <w:tcPr>
            <w:tcW w:w="90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149"/>
              <w:spacing w:after="0" w:line="142" w:lineRule="exact"/>
              <w:rPr>
                <w:sz w:val="20"/>
                <w:szCs w:val="20"/>
                <w:color w:val="auto"/>
              </w:rPr>
            </w:pPr>
            <w:r>
              <w:rPr>
                <w:rFonts w:ascii="Times New Roman" w:cs="Times New Roman" w:eastAsia="Times New Roman" w:hAnsi="Times New Roman"/>
                <w:sz w:val="14"/>
                <w:szCs w:val="14"/>
                <w:color w:val="auto"/>
              </w:rPr>
              <w:t>205,111</w:t>
            </w:r>
          </w:p>
        </w:tc>
        <w:tc>
          <w:tcPr>
            <w:tcW w:w="76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3.46</w:t>
            </w:r>
          </w:p>
        </w:tc>
        <w:tc>
          <w:tcPr>
            <w:tcW w:w="8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1/22/2035</w:t>
            </w:r>
          </w:p>
        </w:tc>
        <w:tc>
          <w:tcPr>
            <w:tcW w:w="980" w:type="dxa"/>
            <w:vAlign w:val="bottom"/>
            <w:tcBorders>
              <w:bottom w:val="single" w:sz="8" w:color="auto"/>
            </w:tcBorders>
          </w:tcPr>
          <w:p>
            <w:pPr>
              <w:jc w:val="right"/>
              <w:ind w:right="146"/>
              <w:spacing w:after="0" w:line="142" w:lineRule="exact"/>
              <w:rPr>
                <w:sz w:val="20"/>
                <w:szCs w:val="20"/>
                <w:color w:val="auto"/>
              </w:rPr>
            </w:pPr>
            <w:r>
              <w:rPr>
                <w:rFonts w:ascii="Times New Roman" w:cs="Times New Roman" w:eastAsia="Times New Roman" w:hAnsi="Times New Roman"/>
                <w:sz w:val="14"/>
                <w:szCs w:val="14"/>
                <w:color w:val="auto"/>
              </w:rPr>
              <w:t>34,185</w:t>
            </w:r>
          </w:p>
        </w:tc>
        <w:tc>
          <w:tcPr>
            <w:tcW w:w="880" w:type="dxa"/>
            <w:vAlign w:val="bottom"/>
            <w:tcBorders>
              <w:bottom w:val="single" w:sz="8" w:color="auto"/>
              <w:right w:val="single" w:sz="8" w:color="auto"/>
            </w:tcBorders>
          </w:tcPr>
          <w:p>
            <w:pPr>
              <w:jc w:val="right"/>
              <w:ind w:right="127"/>
              <w:spacing w:after="0" w:line="142" w:lineRule="exact"/>
              <w:rPr>
                <w:sz w:val="20"/>
                <w:szCs w:val="20"/>
                <w:color w:val="auto"/>
              </w:rPr>
            </w:pPr>
            <w:r>
              <w:rPr>
                <w:rFonts w:ascii="Times New Roman" w:cs="Times New Roman" w:eastAsia="Times New Roman" w:hAnsi="Times New Roman"/>
                <w:sz w:val="14"/>
                <w:szCs w:val="14"/>
                <w:color w:val="auto"/>
              </w:rPr>
              <w:t>130,245</w:t>
            </w:r>
          </w:p>
        </w:tc>
        <w:tc>
          <w:tcPr>
            <w:tcW w:w="98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color w:val="auto"/>
              </w:rPr>
              <w:t>50,000</w:t>
            </w:r>
          </w:p>
        </w:tc>
        <w:tc>
          <w:tcPr>
            <w:tcW w:w="9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color w:val="auto"/>
              </w:rPr>
              <w:t>190,500</w:t>
            </w:r>
          </w:p>
        </w:tc>
        <w:tc>
          <w:tcPr>
            <w:tcW w:w="0" w:type="dxa"/>
            <w:vAlign w:val="bottom"/>
          </w:tcPr>
          <w:p>
            <w:pPr>
              <w:spacing w:after="0"/>
              <w:rPr>
                <w:sz w:val="1"/>
                <w:szCs w:val="1"/>
                <w:color w:val="auto"/>
              </w:rPr>
            </w:pPr>
          </w:p>
        </w:tc>
      </w:tr>
      <w:tr>
        <w:trPr>
          <w:trHeight w:val="117"/>
        </w:trPr>
        <w:tc>
          <w:tcPr>
            <w:tcW w:w="1440" w:type="dxa"/>
            <w:vAlign w:val="bottom"/>
            <w:tcBorders>
              <w:left w:val="single" w:sz="8" w:color="auto"/>
              <w:right w:val="single" w:sz="8" w:color="auto"/>
            </w:tcBorders>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Gopi Shankar,</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98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4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Ph.D., MBA,</w:t>
            </w:r>
          </w:p>
        </w:tc>
        <w:tc>
          <w:tcPr>
            <w:tcW w:w="84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2/7/2023</w:t>
            </w:r>
          </w:p>
        </w:tc>
        <w:tc>
          <w:tcPr>
            <w:tcW w:w="9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127,500</w:t>
            </w:r>
          </w:p>
        </w:tc>
        <w:tc>
          <w:tcPr>
            <w:tcW w:w="84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rPr>
              <w:t>52,500</w:t>
            </w:r>
          </w:p>
        </w:tc>
        <w:tc>
          <w:tcPr>
            <w:tcW w:w="7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5.88</w:t>
            </w:r>
          </w:p>
        </w:tc>
        <w:tc>
          <w:tcPr>
            <w:tcW w:w="860" w:type="dxa"/>
            <w:vAlign w:val="bottom"/>
            <w:tcBorders>
              <w:right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2/7/2033</w:t>
            </w:r>
          </w:p>
        </w:tc>
        <w:tc>
          <w:tcPr>
            <w:tcW w:w="980" w:type="dxa"/>
            <w:vAlign w:val="bottom"/>
            <w:vMerge w:val="restart"/>
          </w:tcPr>
          <w:p>
            <w:pPr>
              <w:jc w:val="right"/>
              <w:ind w:right="146"/>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auto"/>
            </w:tcBorders>
            <w:vMerge w:val="restart"/>
          </w:tcPr>
          <w:p>
            <w:pPr>
              <w:jc w:val="right"/>
              <w:ind w:right="127"/>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right w:val="single" w:sz="8" w:color="auto"/>
            </w:tcBorders>
            <w:vMerge w:val="restart"/>
          </w:tcPr>
          <w:p>
            <w:pPr>
              <w:jc w:val="right"/>
              <w:ind w:right="15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14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FAAPS</w:t>
            </w:r>
          </w:p>
        </w:tc>
        <w:tc>
          <w:tcPr>
            <w:tcW w:w="840" w:type="dxa"/>
            <w:vAlign w:val="bottom"/>
            <w:tcBorders>
              <w:bottom w:val="single" w:sz="8" w:color="auto"/>
            </w:tcBorders>
            <w:gridSpan w:val="2"/>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440" w:type="dxa"/>
            <w:vAlign w:val="bottom"/>
            <w:tcBorders>
              <w:left w:val="single" w:sz="8" w:color="auto"/>
              <w:bottom w:val="single" w:sz="8" w:color="auto"/>
              <w:right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1/17/2024</w:t>
            </w:r>
          </w:p>
        </w:tc>
        <w:tc>
          <w:tcPr>
            <w:tcW w:w="90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64,687</w:t>
            </w:r>
          </w:p>
        </w:tc>
        <w:tc>
          <w:tcPr>
            <w:tcW w:w="840" w:type="dxa"/>
            <w:vAlign w:val="bottom"/>
            <w:tcBorders>
              <w:bottom w:val="single" w:sz="8" w:color="auto"/>
            </w:tcBorders>
          </w:tcPr>
          <w:p>
            <w:pPr>
              <w:jc w:val="right"/>
              <w:ind w:right="149"/>
              <w:spacing w:after="0" w:line="142" w:lineRule="exact"/>
              <w:rPr>
                <w:sz w:val="20"/>
                <w:szCs w:val="20"/>
                <w:color w:val="auto"/>
              </w:rPr>
            </w:pPr>
            <w:r>
              <w:rPr>
                <w:rFonts w:ascii="Times New Roman" w:cs="Times New Roman" w:eastAsia="Times New Roman" w:hAnsi="Times New Roman"/>
                <w:sz w:val="14"/>
                <w:szCs w:val="14"/>
                <w:color w:val="auto"/>
              </w:rPr>
              <w:t>36,871</w:t>
            </w:r>
          </w:p>
        </w:tc>
        <w:tc>
          <w:tcPr>
            <w:tcW w:w="76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4.21</w:t>
            </w:r>
          </w:p>
        </w:tc>
        <w:tc>
          <w:tcPr>
            <w:tcW w:w="8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1/17/2034</w:t>
            </w:r>
          </w:p>
        </w:tc>
        <w:tc>
          <w:tcPr>
            <w:tcW w:w="980" w:type="dxa"/>
            <w:vAlign w:val="bottom"/>
            <w:tcBorders>
              <w:bottom w:val="single" w:sz="8" w:color="auto"/>
            </w:tcBorders>
          </w:tcPr>
          <w:p>
            <w:pPr>
              <w:jc w:val="right"/>
              <w:ind w:right="146"/>
              <w:spacing w:after="0" w:line="142" w:lineRule="exact"/>
              <w:rPr>
                <w:sz w:val="20"/>
                <w:szCs w:val="20"/>
                <w:color w:val="auto"/>
              </w:rPr>
            </w:pPr>
            <w:r>
              <w:rPr>
                <w:rFonts w:ascii="Times New Roman" w:cs="Times New Roman" w:eastAsia="Times New Roman" w:hAnsi="Times New Roman"/>
                <w:sz w:val="14"/>
                <w:szCs w:val="14"/>
                <w:color w:val="auto"/>
              </w:rPr>
              <w:t>16,875</w:t>
            </w:r>
          </w:p>
        </w:tc>
        <w:tc>
          <w:tcPr>
            <w:tcW w:w="880" w:type="dxa"/>
            <w:vAlign w:val="bottom"/>
            <w:tcBorders>
              <w:bottom w:val="single" w:sz="8" w:color="auto"/>
              <w:right w:val="single" w:sz="8" w:color="auto"/>
            </w:tcBorders>
          </w:tcPr>
          <w:p>
            <w:pPr>
              <w:jc w:val="right"/>
              <w:ind w:right="127"/>
              <w:spacing w:after="0" w:line="142" w:lineRule="exact"/>
              <w:rPr>
                <w:sz w:val="20"/>
                <w:szCs w:val="20"/>
                <w:color w:val="auto"/>
              </w:rPr>
            </w:pPr>
            <w:r>
              <w:rPr>
                <w:rFonts w:ascii="Times New Roman" w:cs="Times New Roman" w:eastAsia="Times New Roman" w:hAnsi="Times New Roman"/>
                <w:sz w:val="14"/>
                <w:szCs w:val="14"/>
                <w:color w:val="auto"/>
              </w:rPr>
              <w:t>64,294</w:t>
            </w:r>
          </w:p>
        </w:tc>
        <w:tc>
          <w:tcPr>
            <w:tcW w:w="98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1440" w:type="dxa"/>
            <w:vAlign w:val="bottom"/>
            <w:tcBorders>
              <w:left w:val="single" w:sz="8" w:color="auto"/>
              <w:bottom w:val="single" w:sz="8" w:color="auto"/>
              <w:right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1/22/2025</w:t>
            </w:r>
          </w:p>
        </w:tc>
        <w:tc>
          <w:tcPr>
            <w:tcW w:w="90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149"/>
              <w:spacing w:after="0" w:line="142" w:lineRule="exact"/>
              <w:rPr>
                <w:sz w:val="20"/>
                <w:szCs w:val="20"/>
                <w:color w:val="auto"/>
              </w:rPr>
            </w:pPr>
            <w:r>
              <w:rPr>
                <w:rFonts w:ascii="Times New Roman" w:cs="Times New Roman" w:eastAsia="Times New Roman" w:hAnsi="Times New Roman"/>
                <w:sz w:val="14"/>
                <w:szCs w:val="14"/>
                <w:color w:val="auto"/>
              </w:rPr>
              <w:t>139,838</w:t>
            </w:r>
          </w:p>
        </w:tc>
        <w:tc>
          <w:tcPr>
            <w:tcW w:w="76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3.46</w:t>
            </w:r>
          </w:p>
        </w:tc>
        <w:tc>
          <w:tcPr>
            <w:tcW w:w="8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1/22/2035</w:t>
            </w:r>
          </w:p>
        </w:tc>
        <w:tc>
          <w:tcPr>
            <w:tcW w:w="980" w:type="dxa"/>
            <w:vAlign w:val="bottom"/>
            <w:tcBorders>
              <w:bottom w:val="single" w:sz="8" w:color="auto"/>
            </w:tcBorders>
          </w:tcPr>
          <w:p>
            <w:pPr>
              <w:jc w:val="right"/>
              <w:ind w:right="146"/>
              <w:spacing w:after="0" w:line="142" w:lineRule="exact"/>
              <w:rPr>
                <w:sz w:val="20"/>
                <w:szCs w:val="20"/>
                <w:color w:val="auto"/>
              </w:rPr>
            </w:pPr>
            <w:r>
              <w:rPr>
                <w:rFonts w:ascii="Times New Roman" w:cs="Times New Roman" w:eastAsia="Times New Roman" w:hAnsi="Times New Roman"/>
                <w:sz w:val="14"/>
                <w:szCs w:val="14"/>
                <w:color w:val="auto"/>
              </w:rPr>
              <w:t>23,306</w:t>
            </w:r>
          </w:p>
        </w:tc>
        <w:tc>
          <w:tcPr>
            <w:tcW w:w="880" w:type="dxa"/>
            <w:vAlign w:val="bottom"/>
            <w:tcBorders>
              <w:bottom w:val="single" w:sz="8" w:color="auto"/>
              <w:right w:val="single" w:sz="8" w:color="auto"/>
            </w:tcBorders>
          </w:tcPr>
          <w:p>
            <w:pPr>
              <w:jc w:val="right"/>
              <w:ind w:right="127"/>
              <w:spacing w:after="0" w:line="142" w:lineRule="exact"/>
              <w:rPr>
                <w:sz w:val="20"/>
                <w:szCs w:val="20"/>
                <w:color w:val="auto"/>
              </w:rPr>
            </w:pPr>
            <w:r>
              <w:rPr>
                <w:rFonts w:ascii="Times New Roman" w:cs="Times New Roman" w:eastAsia="Times New Roman" w:hAnsi="Times New Roman"/>
                <w:sz w:val="14"/>
                <w:szCs w:val="14"/>
                <w:color w:val="auto"/>
              </w:rPr>
              <w:t>88,796</w:t>
            </w:r>
          </w:p>
        </w:tc>
        <w:tc>
          <w:tcPr>
            <w:tcW w:w="98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color w:val="auto"/>
              </w:rPr>
              <w:t>25,000</w:t>
            </w:r>
          </w:p>
        </w:tc>
        <w:tc>
          <w:tcPr>
            <w:tcW w:w="9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color w:val="auto"/>
              </w:rPr>
              <w:t>95,250</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left="660" w:hanging="656"/>
        <w:spacing w:after="0" w:line="255" w:lineRule="auto"/>
        <w:tabs>
          <w:tab w:leader="none" w:pos="6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options each generally vest as follows: 25% on the first anniversary of the grant date, with the remaining 75% vesting in equal monthly installments over the following 36 calendar months, subject to the grantee’s continued service through the relevant vesting date (and in the case of Mr. Celano’s May 28, 2020 award, subject to accelerated vesting upon certain termination events).</w:t>
      </w:r>
    </w:p>
    <w:p>
      <w:pPr>
        <w:spacing w:after="0" w:line="2" w:lineRule="exact"/>
        <w:rPr>
          <w:rFonts w:ascii="Times New Roman" w:cs="Times New Roman" w:eastAsia="Times New Roman" w:hAnsi="Times New Roman"/>
          <w:sz w:val="17"/>
          <w:szCs w:val="17"/>
          <w:color w:val="auto"/>
        </w:rPr>
      </w:pPr>
    </w:p>
    <w:p>
      <w:pPr>
        <w:ind w:left="660" w:hanging="656"/>
        <w:spacing w:after="0" w:line="248" w:lineRule="auto"/>
        <w:tabs>
          <w:tab w:leader="none" w:pos="6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restricted stock unit awards vest in four equal annual installments beginning on the first anniversary of the grant date, subject to the grantee’s continued service through the relevant vesting date.</w:t>
      </w:r>
    </w:p>
    <w:p>
      <w:pPr>
        <w:spacing w:after="0" w:line="1" w:lineRule="exact"/>
        <w:rPr>
          <w:rFonts w:ascii="Times New Roman" w:cs="Times New Roman" w:eastAsia="Times New Roman" w:hAnsi="Times New Roman"/>
          <w:sz w:val="17"/>
          <w:szCs w:val="17"/>
          <w:color w:val="auto"/>
        </w:rPr>
      </w:pPr>
    </w:p>
    <w:p>
      <w:pPr>
        <w:jc w:val="both"/>
        <w:ind w:left="660" w:hanging="656"/>
        <w:spacing w:after="0" w:line="248" w:lineRule="auto"/>
        <w:tabs>
          <w:tab w:leader="none" w:pos="6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PSUs vest pursuant to the successful achievement of each a Performance Milestone: (i) the FDA accepts by December 31, 2026, the filing of a BLA for accelerated approval of nomlabofusp and (ii) the FDA approves our nomlabofusp (CTI-1601) therapy within 12 months of BLA acceptance. Upon the achievement of the first Performance Milestone, 20% of the PSU award will become subject to the vesting terms described below. Upon achievement of the second Performance Milestone, the remaining 80% of the PSU award will become subject to the vesting terms described below. With respect to each Performance Milestone set forth above, upon the Compensation Committee’s determination that the applicable Performance Milestone has been achieved, 50% of the percentage of the Performance-Based Restricted Stock Unit Award subject to such Performance Milestone will vest on such Achievement Determination Date. The remaining 50% of the percentage of the PSU award will vest on the first anniversary of the Achievement Determination Date subject to the grantee’s continued service to the Company. If the first Performance Milestone set forth above is not achieved by December 31, 2026, then the full PSU award will be forfeited.</w:t>
      </w:r>
    </w:p>
    <w:p>
      <w:pPr>
        <w:spacing w:after="0" w:line="5" w:lineRule="exact"/>
        <w:rPr>
          <w:rFonts w:ascii="Times New Roman" w:cs="Times New Roman" w:eastAsia="Times New Roman" w:hAnsi="Times New Roman"/>
          <w:sz w:val="17"/>
          <w:szCs w:val="17"/>
          <w:color w:val="auto"/>
        </w:rPr>
      </w:pPr>
    </w:p>
    <w:p>
      <w:pPr>
        <w:ind w:left="660" w:hanging="656"/>
        <w:spacing w:after="0"/>
        <w:tabs>
          <w:tab w:leader="none" w:pos="6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the closing price of $3.81 for our common stock on December 31, 2025, the last trading date of 2025.</w:t>
      </w:r>
    </w:p>
    <w:p>
      <w:pPr>
        <w:spacing w:after="0" w:line="3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39" w:name="page40"/>
    <w:bookmarkEnd w:id="39"/>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EXECUTIVE COMPENSATION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entered into employment agreements with each of our NEOs:</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Employment Agreement with Carole S. Ben-Maimon, M.D. </w:t>
      </w:r>
      <w:r>
        <w:rPr>
          <w:rFonts w:ascii="Times New Roman" w:cs="Times New Roman" w:eastAsia="Times New Roman" w:hAnsi="Times New Roman"/>
          <w:sz w:val="18"/>
          <w:szCs w:val="18"/>
          <w:color w:val="auto"/>
        </w:rPr>
        <w:t>We entered into an employment agreement with Dr. Ben-Maimon,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President and Chief Executive Officer, on July 31, 2020 to supersede her employment agreement with Chondrial, dated December 1, 2016, and to otherwise establish the terms and conditions of Dr. Ben-Maimon’s employment by the Company. Pursuant to the terms of this agreement, Dr. Ben-Maimon’s initial annual base salary was $470,000 and her target annual bonus opportunity was not less than 50% of her base salary. The Board increased this bonus opportunity percentage to 55% of base salary, effective January 1, 2025.</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Employment Agreement with Michael Celano. </w:t>
      </w:r>
      <w:r>
        <w:rPr>
          <w:rFonts w:ascii="Times New Roman" w:cs="Times New Roman" w:eastAsia="Times New Roman" w:hAnsi="Times New Roman"/>
          <w:sz w:val="18"/>
          <w:szCs w:val="18"/>
          <w:color w:val="auto"/>
        </w:rPr>
        <w:t>We entered into an employment agreement with Mr. Celano, as our Chief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on June 1, 2020. Mr. Celano’s period of employment with the Company commenced on May 28, 2020. Pursuant to the terms of this agreement, Mr. Celano’s initial annual base salary was $350,000 and his target annual bonus opportunity was not less than 35% of his base salary. The Compensation Committee increased this bonus opportunity percentage to 40% of base salary, effective January 1, 2022, and such target annual bonus opportunity remains at 40%. In connection with his hiring, on May 28, 2020, Mr. Celano received a stock option grant in respect of 60,479 shares of our common stock (the “Initial Award”), as further described in the table above entitled “Outstanding Equity Awards at Fiscal 2025 Year-End.”</w:t>
      </w:r>
    </w:p>
    <w:p>
      <w:pPr>
        <w:spacing w:after="0" w:line="1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Employment Agreement with Gopi Shankar, Ph.D., MBA, FAAPS. </w:t>
      </w:r>
      <w:r>
        <w:rPr>
          <w:rFonts w:ascii="Times New Roman" w:cs="Times New Roman" w:eastAsia="Times New Roman" w:hAnsi="Times New Roman"/>
          <w:sz w:val="18"/>
          <w:szCs w:val="18"/>
          <w:color w:val="auto"/>
        </w:rPr>
        <w:t>We entered into an employment agreement with Dr. Shankar,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our Chief Development Officer, on February 7, 2023. Pursuant to the terms of this agreement, Dr. Shankar’s initial annual base salary was $425,000 and his target annual bonus opportunity was, and remains at, not less than 40% of his base salary. In connection with his hiring, on February 7, 2023, Dr. Shankar received a stock option grant in respect of 180,000 shares of our common stock, as further described in the table above entitled “Outstanding Equity Awards at Fiscal 2025 Year-End.”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Confidential Information and Invention Agreement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of Dr. Ben-Maimon, Mr. Celano and Dr. Shankar have also entered into a standard form agreement with respect to confidentiality of the Company’s proprietary information and assignment of inventions. Among other things, this agreement obligates each of them to refrain from disclosing any of the Company’s proprietary information and to assign to the Company inventions conceived or developed during the course of employment. Such agreement also provides that during the period of such officer’s employment and for one year thereafter, they will not compete with the Company and will not solicit the Company’s employees, contractors, lenders, partners or suppliers.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Severance Rights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Dr. Ben-Maimon, Mr. Celano and Dr. Shankar’s employment agreement provides that, in the event the executive’s employment with the Company ceases for any reason, he or she will be entitled to receive any accrued, unpaid base salary and reimbursement for expenses incurred by the executive, but not yet reimbursed, prior to the date of termination, in accordance with our expense reimbursement policies (the “Accrued Rights”).</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executive’s employment is terminated without cause or they resign with good reason, then in addition to the Accrued Rights, such executive will be entitled to receive:</w:t>
      </w:r>
    </w:p>
    <w:p>
      <w:pPr>
        <w:spacing w:after="0" w:line="121" w:lineRule="exact"/>
        <w:rPr>
          <w:sz w:val="20"/>
          <w:szCs w:val="20"/>
          <w:color w:val="auto"/>
        </w:rPr>
      </w:pPr>
    </w:p>
    <w:p>
      <w:pPr>
        <w:ind w:left="1440" w:hanging="658"/>
        <w:spacing w:after="0"/>
        <w:tabs>
          <w:tab w:leader="none" w:pos="1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any earned, unpaid bonus for the immediately preceding calendar year (the “Prior Year Bonus”);</w:t>
      </w:r>
    </w:p>
    <w:p>
      <w:pPr>
        <w:spacing w:after="0" w:line="27" w:lineRule="exact"/>
        <w:rPr>
          <w:rFonts w:ascii="Times New Roman" w:cs="Times New Roman" w:eastAsia="Times New Roman" w:hAnsi="Times New Roman"/>
          <w:sz w:val="18"/>
          <w:szCs w:val="18"/>
          <w:color w:val="auto"/>
        </w:rPr>
      </w:pPr>
    </w:p>
    <w:p>
      <w:pPr>
        <w:jc w:val="both"/>
        <w:ind w:left="1440" w:hanging="658"/>
        <w:spacing w:after="0" w:line="250" w:lineRule="auto"/>
        <w:tabs>
          <w:tab w:leader="none" w:pos="1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severance payments for a period of twelve months, in the case of Dr. Ben-Maimon, and nine months, in the case of Mr. Celano and Dr. Shankar, with each payment equal to one-twelfth of their then in effect base salary;</w:t>
      </w:r>
    </w:p>
    <w:p>
      <w:pPr>
        <w:jc w:val="both"/>
        <w:ind w:left="1440" w:hanging="658"/>
        <w:spacing w:after="0" w:line="250" w:lineRule="auto"/>
        <w:tabs>
          <w:tab w:leader="none" w:pos="1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waiver or reimbursement of the premiums for continuation of group health coverage under the Consolidated Omnibus Budget Reconciliation Act (“COBRA”) for twelve months, in the case of Dr. Ben-Maimon, and nine months, in the case of Mr. Celano and Dr. Shankar; and</w:t>
      </w:r>
    </w:p>
    <w:p>
      <w:pPr>
        <w:spacing w:after="0" w:line="1" w:lineRule="exact"/>
        <w:rPr>
          <w:rFonts w:ascii="Times New Roman" w:cs="Times New Roman" w:eastAsia="Times New Roman" w:hAnsi="Times New Roman"/>
          <w:sz w:val="18"/>
          <w:szCs w:val="18"/>
          <w:color w:val="auto"/>
        </w:rPr>
      </w:pPr>
    </w:p>
    <w:p>
      <w:pPr>
        <w:ind w:left="1440" w:hanging="658"/>
        <w:spacing w:after="0" w:line="260" w:lineRule="auto"/>
        <w:tabs>
          <w:tab w:leader="none" w:pos="1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Mr. Celano, accelerated vesting of any portion of his Initial Award that then remains outstanding and otherwise unvested.</w:t>
      </w: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40" w:name="page41"/>
    <w:bookmarkEnd w:id="40"/>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EXECUTIVE COMPENSATION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20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However, if the executive’s employment is terminated without cause or the executive resigns with good reason within one year following a change in control, then in lieu of the severance payments and benefits described above, he or she would instead receive:</w:t>
      </w:r>
    </w:p>
    <w:p>
      <w:pPr>
        <w:spacing w:after="0" w:line="121" w:lineRule="exact"/>
        <w:rPr>
          <w:sz w:val="20"/>
          <w:szCs w:val="20"/>
          <w:color w:val="auto"/>
        </w:rPr>
      </w:pPr>
    </w:p>
    <w:p>
      <w:pPr>
        <w:ind w:left="780" w:hanging="659"/>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 Year Bonus;</w:t>
      </w:r>
    </w:p>
    <w:p>
      <w:pPr>
        <w:spacing w:after="0" w:line="27" w:lineRule="exact"/>
        <w:rPr>
          <w:rFonts w:ascii="Times New Roman" w:cs="Times New Roman" w:eastAsia="Times New Roman" w:hAnsi="Times New Roman"/>
          <w:sz w:val="18"/>
          <w:szCs w:val="18"/>
          <w:color w:val="auto"/>
        </w:rPr>
      </w:pPr>
    </w:p>
    <w:p>
      <w:pPr>
        <w:jc w:val="both"/>
        <w:ind w:left="780" w:hanging="659"/>
        <w:spacing w:after="0" w:line="250" w:lineRule="auto"/>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severance payments for eighteen months, in the case of Dr. Ben-Maimon, and twelve months, in the case of Mr. Celano and Dr. Shankar, with each payment equal to one-twelfth the sum of the executive’s then in effect base salary and then in effect target annual bonus;</w:t>
      </w:r>
    </w:p>
    <w:p>
      <w:pPr>
        <w:spacing w:after="0" w:line="1" w:lineRule="exact"/>
        <w:rPr>
          <w:rFonts w:ascii="Times New Roman" w:cs="Times New Roman" w:eastAsia="Times New Roman" w:hAnsi="Times New Roman"/>
          <w:sz w:val="18"/>
          <w:szCs w:val="18"/>
          <w:color w:val="auto"/>
        </w:rPr>
      </w:pPr>
    </w:p>
    <w:p>
      <w:pPr>
        <w:jc w:val="both"/>
        <w:ind w:left="1440" w:hanging="658"/>
        <w:spacing w:after="0" w:line="250" w:lineRule="auto"/>
        <w:tabs>
          <w:tab w:leader="none" w:pos="14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waiver or reimbursement of the premiums for continuation of their group health coverage under COBRA for eighteen months, in the case of Dr. Ben-Maimon, and twelve months, in the case of Mr. Celano and Dr. Shankar; and</w:t>
      </w:r>
    </w:p>
    <w:p>
      <w:pPr>
        <w:spacing w:after="0" w:line="1" w:lineRule="exact"/>
        <w:rPr>
          <w:rFonts w:ascii="Times New Roman" w:cs="Times New Roman" w:eastAsia="Times New Roman" w:hAnsi="Times New Roman"/>
          <w:sz w:val="18"/>
          <w:szCs w:val="18"/>
          <w:color w:val="auto"/>
        </w:rPr>
      </w:pPr>
    </w:p>
    <w:p>
      <w:pPr>
        <w:ind w:left="1440" w:hanging="658"/>
        <w:spacing w:after="0" w:line="260" w:lineRule="auto"/>
        <w:tabs>
          <w:tab w:leader="none" w:pos="14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Mr. Celano, accelerated vesting of any portion of his Initial Award that then remains outstanding and otherwise unvested.</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each case, the severance payments are conditioned on the executive’s execution and delivery of a general release of claims against the Company and its affiliates in a form prescribed by the Company and on such release becoming irrevocable within 30 days following the executive’s cessation of employment.</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required by Item 402(v) of Regulation S-K, we are providing the following information about the relationship between executive compensation actually paid to our PEO and other NEOs (as calculated in accordance with Item 402(v) of Regulation S-K) and certain financial performance measures for each of the last three completed fiscal years.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41" w:name="page42"/>
    <w:bookmarkEnd w:id="41"/>
    <w:p>
      <w:pPr>
        <w:ind w:left="100"/>
        <w:spacing w:after="0"/>
        <w:rPr>
          <w:sz w:val="20"/>
          <w:szCs w:val="20"/>
          <w:color w:val="auto"/>
        </w:rPr>
      </w:pPr>
      <w:r>
        <w:rPr>
          <w:rFonts w:ascii="Times New Roman" w:cs="Times New Roman" w:eastAsia="Times New Roman" w:hAnsi="Times New Roman"/>
          <w:sz w:val="22"/>
          <w:szCs w:val="22"/>
          <w:b w:val="1"/>
          <w:bCs w:val="1"/>
          <w:color w:val="auto"/>
        </w:rPr>
        <w:t>EXECUTIVE COMPENSATION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we are providing the following information about the relationship between executive “compensation actually paid” and certain financial performance of our Company.</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820" w:type="dxa"/>
            <w:vAlign w:val="bottom"/>
            <w:tcBorders>
              <w:top w:val="single" w:sz="8" w:color="auto"/>
              <w:left w:val="single" w:sz="8" w:color="auto"/>
              <w:right w:val="single" w:sz="8" w:color="auto"/>
            </w:tcBorders>
            <w:shd w:val="clear" w:color="auto" w:fill="4DC1E4"/>
          </w:tcPr>
          <w:p>
            <w:pPr>
              <w:spacing w:after="0"/>
              <w:rPr>
                <w:sz w:val="18"/>
                <w:szCs w:val="18"/>
                <w:color w:val="auto"/>
              </w:rPr>
            </w:pPr>
          </w:p>
        </w:tc>
        <w:tc>
          <w:tcPr>
            <w:tcW w:w="1540" w:type="dxa"/>
            <w:vAlign w:val="bottom"/>
            <w:tcBorders>
              <w:top w:val="single" w:sz="8" w:color="auto"/>
              <w:right w:val="single" w:sz="8" w:color="auto"/>
            </w:tcBorders>
            <w:shd w:val="clear" w:color="auto" w:fill="4DC1E4"/>
          </w:tcPr>
          <w:p>
            <w:pPr>
              <w:spacing w:after="0"/>
              <w:rPr>
                <w:sz w:val="18"/>
                <w:szCs w:val="18"/>
                <w:color w:val="auto"/>
              </w:rPr>
            </w:pPr>
          </w:p>
        </w:tc>
        <w:tc>
          <w:tcPr>
            <w:tcW w:w="1600" w:type="dxa"/>
            <w:vAlign w:val="bottom"/>
            <w:tcBorders>
              <w:top w:val="single" w:sz="8" w:color="auto"/>
              <w:right w:val="single" w:sz="8" w:color="auto"/>
            </w:tcBorders>
            <w:shd w:val="clear" w:color="auto" w:fill="4DC1E4"/>
          </w:tcPr>
          <w:p>
            <w:pPr>
              <w:spacing w:after="0"/>
              <w:rPr>
                <w:sz w:val="18"/>
                <w:szCs w:val="18"/>
                <w:color w:val="auto"/>
              </w:rPr>
            </w:pPr>
          </w:p>
        </w:tc>
        <w:tc>
          <w:tcPr>
            <w:tcW w:w="1500" w:type="dxa"/>
            <w:vAlign w:val="bottom"/>
            <w:tcBorders>
              <w:top w:val="single" w:sz="8" w:color="auto"/>
              <w:right w:val="single" w:sz="8" w:color="auto"/>
            </w:tcBorders>
            <w:shd w:val="clear" w:color="auto" w:fill="4DC1E4"/>
          </w:tcPr>
          <w:p>
            <w:pPr>
              <w:spacing w:after="0"/>
              <w:rPr>
                <w:sz w:val="18"/>
                <w:szCs w:val="18"/>
                <w:color w:val="auto"/>
              </w:rPr>
            </w:pPr>
          </w:p>
        </w:tc>
        <w:tc>
          <w:tcPr>
            <w:tcW w:w="1480" w:type="dxa"/>
            <w:vAlign w:val="bottom"/>
            <w:tcBorders>
              <w:top w:val="single" w:sz="8" w:color="auto"/>
              <w:right w:val="single" w:sz="8" w:color="auto"/>
            </w:tcBorders>
            <w:shd w:val="clear" w:color="auto" w:fill="4DC1E4"/>
          </w:tcPr>
          <w:p>
            <w:pPr>
              <w:spacing w:after="0"/>
              <w:rPr>
                <w:sz w:val="18"/>
                <w:szCs w:val="18"/>
                <w:color w:val="auto"/>
              </w:rPr>
            </w:pPr>
          </w:p>
        </w:tc>
        <w:tc>
          <w:tcPr>
            <w:tcW w:w="1300" w:type="dxa"/>
            <w:vAlign w:val="bottom"/>
            <w:tcBorders>
              <w:top w:val="single" w:sz="8" w:color="auto"/>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rPr>
              <w:t>Value of</w:t>
            </w:r>
          </w:p>
        </w:tc>
        <w:tc>
          <w:tcPr>
            <w:tcW w:w="1500" w:type="dxa"/>
            <w:vAlign w:val="bottom"/>
            <w:tcBorders>
              <w:top w:val="single" w:sz="8" w:color="auto"/>
              <w:right w:val="single" w:sz="8" w:color="auto"/>
            </w:tcBorders>
            <w:shd w:val="clear" w:color="auto" w:fill="4DC1E4"/>
          </w:tcPr>
          <w:p>
            <w:pPr>
              <w:spacing w:after="0"/>
              <w:rPr>
                <w:sz w:val="18"/>
                <w:szCs w:val="18"/>
                <w:color w:val="auto"/>
              </w:rPr>
            </w:pPr>
          </w:p>
        </w:tc>
      </w:tr>
      <w:tr>
        <w:trPr>
          <w:trHeight w:val="216"/>
        </w:trPr>
        <w:tc>
          <w:tcPr>
            <w:tcW w:w="820" w:type="dxa"/>
            <w:vAlign w:val="bottom"/>
            <w:tcBorders>
              <w:left w:val="single" w:sz="8" w:color="auto"/>
              <w:right w:val="single" w:sz="8" w:color="auto"/>
            </w:tcBorders>
            <w:shd w:val="clear" w:color="auto" w:fill="4DC1E4"/>
          </w:tcPr>
          <w:p>
            <w:pPr>
              <w:spacing w:after="0"/>
              <w:rPr>
                <w:sz w:val="18"/>
                <w:szCs w:val="18"/>
                <w:color w:val="auto"/>
              </w:rPr>
            </w:pPr>
          </w:p>
        </w:tc>
        <w:tc>
          <w:tcPr>
            <w:tcW w:w="1540" w:type="dxa"/>
            <w:vAlign w:val="bottom"/>
            <w:tcBorders>
              <w:right w:val="single" w:sz="8" w:color="auto"/>
            </w:tcBorders>
            <w:shd w:val="clear" w:color="auto" w:fill="4DC1E4"/>
          </w:tcPr>
          <w:p>
            <w:pPr>
              <w:spacing w:after="0"/>
              <w:rPr>
                <w:sz w:val="18"/>
                <w:szCs w:val="18"/>
                <w:color w:val="auto"/>
              </w:rPr>
            </w:pPr>
          </w:p>
        </w:tc>
        <w:tc>
          <w:tcPr>
            <w:tcW w:w="1600" w:type="dxa"/>
            <w:vAlign w:val="bottom"/>
            <w:tcBorders>
              <w:right w:val="single" w:sz="8" w:color="auto"/>
            </w:tcBorders>
            <w:shd w:val="clear" w:color="auto" w:fill="4DC1E4"/>
          </w:tcPr>
          <w:p>
            <w:pPr>
              <w:spacing w:after="0"/>
              <w:rPr>
                <w:sz w:val="18"/>
                <w:szCs w:val="18"/>
                <w:color w:val="auto"/>
              </w:rPr>
            </w:pPr>
          </w:p>
        </w:tc>
        <w:tc>
          <w:tcPr>
            <w:tcW w:w="1500" w:type="dxa"/>
            <w:vAlign w:val="bottom"/>
            <w:tcBorders>
              <w:right w:val="single" w:sz="8" w:color="auto"/>
            </w:tcBorders>
            <w:shd w:val="clear" w:color="auto" w:fill="4DC1E4"/>
          </w:tcPr>
          <w:p>
            <w:pPr>
              <w:spacing w:after="0"/>
              <w:rPr>
                <w:sz w:val="18"/>
                <w:szCs w:val="18"/>
                <w:color w:val="auto"/>
              </w:rPr>
            </w:pPr>
          </w:p>
        </w:tc>
        <w:tc>
          <w:tcPr>
            <w:tcW w:w="1480" w:type="dxa"/>
            <w:vAlign w:val="bottom"/>
            <w:tcBorders>
              <w:right w:val="single" w:sz="8" w:color="auto"/>
            </w:tcBorders>
            <w:shd w:val="clear" w:color="auto" w:fill="4DC1E4"/>
          </w:tcPr>
          <w:p>
            <w:pPr>
              <w:spacing w:after="0"/>
              <w:rPr>
                <w:sz w:val="18"/>
                <w:szCs w:val="18"/>
                <w:color w:val="auto"/>
              </w:rPr>
            </w:pPr>
          </w:p>
        </w:tc>
        <w:tc>
          <w:tcPr>
            <w:tcW w:w="13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Initial Fixed</w:t>
            </w:r>
          </w:p>
        </w:tc>
        <w:tc>
          <w:tcPr>
            <w:tcW w:w="1500" w:type="dxa"/>
            <w:vAlign w:val="bottom"/>
            <w:tcBorders>
              <w:right w:val="single" w:sz="8" w:color="auto"/>
            </w:tcBorders>
            <w:shd w:val="clear" w:color="auto" w:fill="4DC1E4"/>
          </w:tcPr>
          <w:p>
            <w:pPr>
              <w:spacing w:after="0"/>
              <w:rPr>
                <w:sz w:val="18"/>
                <w:szCs w:val="18"/>
                <w:color w:val="auto"/>
              </w:rPr>
            </w:pPr>
          </w:p>
        </w:tc>
      </w:tr>
      <w:tr>
        <w:trPr>
          <w:trHeight w:val="216"/>
        </w:trPr>
        <w:tc>
          <w:tcPr>
            <w:tcW w:w="820" w:type="dxa"/>
            <w:vAlign w:val="bottom"/>
            <w:tcBorders>
              <w:left w:val="single" w:sz="8" w:color="auto"/>
              <w:right w:val="single" w:sz="8" w:color="auto"/>
            </w:tcBorders>
            <w:shd w:val="clear" w:color="auto" w:fill="4DC1E4"/>
          </w:tcPr>
          <w:p>
            <w:pPr>
              <w:spacing w:after="0"/>
              <w:rPr>
                <w:sz w:val="18"/>
                <w:szCs w:val="18"/>
                <w:color w:val="auto"/>
              </w:rPr>
            </w:pPr>
          </w:p>
        </w:tc>
        <w:tc>
          <w:tcPr>
            <w:tcW w:w="1540" w:type="dxa"/>
            <w:vAlign w:val="bottom"/>
            <w:tcBorders>
              <w:right w:val="single" w:sz="8" w:color="auto"/>
            </w:tcBorders>
            <w:shd w:val="clear" w:color="auto" w:fill="4DC1E4"/>
          </w:tcPr>
          <w:p>
            <w:pPr>
              <w:spacing w:after="0"/>
              <w:rPr>
                <w:sz w:val="18"/>
                <w:szCs w:val="18"/>
                <w:color w:val="auto"/>
              </w:rPr>
            </w:pPr>
          </w:p>
        </w:tc>
        <w:tc>
          <w:tcPr>
            <w:tcW w:w="1600" w:type="dxa"/>
            <w:vAlign w:val="bottom"/>
            <w:tcBorders>
              <w:right w:val="single" w:sz="8" w:color="auto"/>
            </w:tcBorders>
            <w:shd w:val="clear" w:color="auto" w:fill="4DC1E4"/>
          </w:tcPr>
          <w:p>
            <w:pPr>
              <w:spacing w:after="0"/>
              <w:rPr>
                <w:sz w:val="18"/>
                <w:szCs w:val="18"/>
                <w:color w:val="auto"/>
              </w:rPr>
            </w:pPr>
          </w:p>
        </w:tc>
        <w:tc>
          <w:tcPr>
            <w:tcW w:w="1500" w:type="dxa"/>
            <w:vAlign w:val="bottom"/>
            <w:tcBorders>
              <w:right w:val="single" w:sz="8" w:color="auto"/>
            </w:tcBorders>
            <w:shd w:val="clear" w:color="auto" w:fill="4DC1E4"/>
          </w:tcPr>
          <w:p>
            <w:pPr>
              <w:ind w:left="460"/>
              <w:spacing w:after="0"/>
              <w:rPr>
                <w:sz w:val="20"/>
                <w:szCs w:val="20"/>
                <w:color w:val="auto"/>
              </w:rPr>
            </w:pPr>
            <w:r>
              <w:rPr>
                <w:rFonts w:ascii="Times New Roman" w:cs="Times New Roman" w:eastAsia="Times New Roman" w:hAnsi="Times New Roman"/>
                <w:sz w:val="18"/>
                <w:szCs w:val="18"/>
                <w:b w:val="1"/>
                <w:bCs w:val="1"/>
                <w:color w:val="FFFFFF"/>
              </w:rPr>
              <w:t>Average</w:t>
            </w:r>
          </w:p>
        </w:tc>
        <w:tc>
          <w:tcPr>
            <w:tcW w:w="1480" w:type="dxa"/>
            <w:vAlign w:val="bottom"/>
            <w:tcBorders>
              <w:right w:val="single" w:sz="8" w:color="auto"/>
            </w:tcBorders>
            <w:shd w:val="clear" w:color="auto" w:fill="4DC1E4"/>
          </w:tcPr>
          <w:p>
            <w:pPr>
              <w:spacing w:after="0"/>
              <w:rPr>
                <w:sz w:val="18"/>
                <w:szCs w:val="18"/>
                <w:color w:val="auto"/>
              </w:rPr>
            </w:pPr>
          </w:p>
        </w:tc>
        <w:tc>
          <w:tcPr>
            <w:tcW w:w="1300" w:type="dxa"/>
            <w:vAlign w:val="bottom"/>
            <w:tcBorders>
              <w:right w:val="single" w:sz="8" w:color="auto"/>
            </w:tcBorders>
            <w:shd w:val="clear" w:color="auto" w:fill="4DC1E4"/>
          </w:tcPr>
          <w:p>
            <w:pPr>
              <w:jc w:val="center"/>
              <w:ind w:left="10"/>
              <w:spacing w:after="0"/>
              <w:rPr>
                <w:sz w:val="20"/>
                <w:szCs w:val="20"/>
                <w:color w:val="auto"/>
              </w:rPr>
            </w:pPr>
            <w:r>
              <w:rPr>
                <w:rFonts w:ascii="Times New Roman" w:cs="Times New Roman" w:eastAsia="Times New Roman" w:hAnsi="Times New Roman"/>
                <w:sz w:val="18"/>
                <w:szCs w:val="18"/>
                <w:b w:val="1"/>
                <w:bCs w:val="1"/>
                <w:color w:val="FFFFFF"/>
                <w:w w:val="99"/>
              </w:rPr>
              <w:t>$100</w:t>
            </w:r>
          </w:p>
        </w:tc>
        <w:tc>
          <w:tcPr>
            <w:tcW w:w="1500" w:type="dxa"/>
            <w:vAlign w:val="bottom"/>
            <w:tcBorders>
              <w:right w:val="single" w:sz="8" w:color="auto"/>
            </w:tcBorders>
            <w:shd w:val="clear" w:color="auto" w:fill="4DC1E4"/>
          </w:tcPr>
          <w:p>
            <w:pPr>
              <w:spacing w:after="0"/>
              <w:rPr>
                <w:sz w:val="18"/>
                <w:szCs w:val="18"/>
                <w:color w:val="auto"/>
              </w:rPr>
            </w:pPr>
          </w:p>
        </w:tc>
      </w:tr>
      <w:tr>
        <w:trPr>
          <w:trHeight w:val="216"/>
        </w:trPr>
        <w:tc>
          <w:tcPr>
            <w:tcW w:w="820" w:type="dxa"/>
            <w:vAlign w:val="bottom"/>
            <w:tcBorders>
              <w:left w:val="single" w:sz="8" w:color="auto"/>
              <w:right w:val="single" w:sz="8" w:color="auto"/>
            </w:tcBorders>
            <w:shd w:val="clear" w:color="auto" w:fill="4DC1E4"/>
          </w:tcPr>
          <w:p>
            <w:pPr>
              <w:spacing w:after="0"/>
              <w:rPr>
                <w:sz w:val="18"/>
                <w:szCs w:val="18"/>
                <w:color w:val="auto"/>
              </w:rPr>
            </w:pPr>
          </w:p>
        </w:tc>
        <w:tc>
          <w:tcPr>
            <w:tcW w:w="1540" w:type="dxa"/>
            <w:vAlign w:val="bottom"/>
            <w:tcBorders>
              <w:right w:val="single" w:sz="8" w:color="auto"/>
            </w:tcBorders>
            <w:shd w:val="clear" w:color="auto" w:fill="4DC1E4"/>
          </w:tcPr>
          <w:p>
            <w:pPr>
              <w:spacing w:after="0"/>
              <w:rPr>
                <w:sz w:val="18"/>
                <w:szCs w:val="18"/>
                <w:color w:val="auto"/>
              </w:rPr>
            </w:pPr>
          </w:p>
        </w:tc>
        <w:tc>
          <w:tcPr>
            <w:tcW w:w="1600" w:type="dxa"/>
            <w:vAlign w:val="bottom"/>
            <w:tcBorders>
              <w:right w:val="single" w:sz="8" w:color="auto"/>
            </w:tcBorders>
            <w:shd w:val="clear" w:color="auto" w:fill="4DC1E4"/>
          </w:tcPr>
          <w:p>
            <w:pPr>
              <w:spacing w:after="0"/>
              <w:rPr>
                <w:sz w:val="18"/>
                <w:szCs w:val="18"/>
                <w:color w:val="auto"/>
              </w:rPr>
            </w:pPr>
          </w:p>
        </w:tc>
        <w:tc>
          <w:tcPr>
            <w:tcW w:w="15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Summary</w:t>
            </w:r>
          </w:p>
        </w:tc>
        <w:tc>
          <w:tcPr>
            <w:tcW w:w="1480" w:type="dxa"/>
            <w:vAlign w:val="bottom"/>
            <w:tcBorders>
              <w:right w:val="single" w:sz="8" w:color="auto"/>
            </w:tcBorders>
            <w:shd w:val="clear" w:color="auto" w:fill="4DC1E4"/>
          </w:tcPr>
          <w:p>
            <w:pPr>
              <w:ind w:left="460"/>
              <w:spacing w:after="0"/>
              <w:rPr>
                <w:sz w:val="20"/>
                <w:szCs w:val="20"/>
                <w:color w:val="auto"/>
              </w:rPr>
            </w:pPr>
            <w:r>
              <w:rPr>
                <w:rFonts w:ascii="Times New Roman" w:cs="Times New Roman" w:eastAsia="Times New Roman" w:hAnsi="Times New Roman"/>
                <w:sz w:val="18"/>
                <w:szCs w:val="18"/>
                <w:b w:val="1"/>
                <w:bCs w:val="1"/>
                <w:color w:val="FFFFFF"/>
              </w:rPr>
              <w:t>Average</w:t>
            </w:r>
          </w:p>
        </w:tc>
        <w:tc>
          <w:tcPr>
            <w:tcW w:w="13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Investment</w:t>
            </w:r>
          </w:p>
        </w:tc>
        <w:tc>
          <w:tcPr>
            <w:tcW w:w="1500" w:type="dxa"/>
            <w:vAlign w:val="bottom"/>
            <w:tcBorders>
              <w:right w:val="single" w:sz="8" w:color="auto"/>
            </w:tcBorders>
            <w:shd w:val="clear" w:color="auto" w:fill="4DC1E4"/>
          </w:tcPr>
          <w:p>
            <w:pPr>
              <w:spacing w:after="0"/>
              <w:rPr>
                <w:sz w:val="18"/>
                <w:szCs w:val="18"/>
                <w:color w:val="auto"/>
              </w:rPr>
            </w:pPr>
          </w:p>
        </w:tc>
      </w:tr>
      <w:tr>
        <w:trPr>
          <w:trHeight w:val="216"/>
        </w:trPr>
        <w:tc>
          <w:tcPr>
            <w:tcW w:w="820" w:type="dxa"/>
            <w:vAlign w:val="bottom"/>
            <w:tcBorders>
              <w:left w:val="single" w:sz="8" w:color="auto"/>
              <w:right w:val="single" w:sz="8" w:color="auto"/>
            </w:tcBorders>
            <w:shd w:val="clear" w:color="auto" w:fill="4DC1E4"/>
          </w:tcPr>
          <w:p>
            <w:pPr>
              <w:spacing w:after="0"/>
              <w:rPr>
                <w:sz w:val="18"/>
                <w:szCs w:val="18"/>
                <w:color w:val="auto"/>
              </w:rPr>
            </w:pPr>
          </w:p>
        </w:tc>
        <w:tc>
          <w:tcPr>
            <w:tcW w:w="1540" w:type="dxa"/>
            <w:vAlign w:val="bottom"/>
            <w:tcBorders>
              <w:right w:val="single" w:sz="8" w:color="auto"/>
            </w:tcBorders>
            <w:shd w:val="clear" w:color="auto" w:fill="4DC1E4"/>
          </w:tcPr>
          <w:p>
            <w:pPr>
              <w:jc w:val="center"/>
              <w:ind w:left="10"/>
              <w:spacing w:after="0"/>
              <w:rPr>
                <w:sz w:val="20"/>
                <w:szCs w:val="20"/>
                <w:color w:val="auto"/>
              </w:rPr>
            </w:pPr>
            <w:r>
              <w:rPr>
                <w:rFonts w:ascii="Times New Roman" w:cs="Times New Roman" w:eastAsia="Times New Roman" w:hAnsi="Times New Roman"/>
                <w:sz w:val="18"/>
                <w:szCs w:val="18"/>
                <w:b w:val="1"/>
                <w:bCs w:val="1"/>
                <w:color w:val="FFFFFF"/>
                <w:w w:val="99"/>
              </w:rPr>
              <w:t>Summary</w:t>
            </w:r>
          </w:p>
        </w:tc>
        <w:tc>
          <w:tcPr>
            <w:tcW w:w="1600" w:type="dxa"/>
            <w:vAlign w:val="bottom"/>
            <w:tcBorders>
              <w:right w:val="single" w:sz="8" w:color="auto"/>
            </w:tcBorders>
            <w:shd w:val="clear" w:color="auto" w:fill="4DC1E4"/>
          </w:tcPr>
          <w:p>
            <w:pPr>
              <w:spacing w:after="0"/>
              <w:rPr>
                <w:sz w:val="18"/>
                <w:szCs w:val="18"/>
                <w:color w:val="auto"/>
              </w:rPr>
            </w:pPr>
          </w:p>
        </w:tc>
        <w:tc>
          <w:tcPr>
            <w:tcW w:w="15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Compensation</w:t>
            </w:r>
          </w:p>
        </w:tc>
        <w:tc>
          <w:tcPr>
            <w:tcW w:w="14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Compensation</w:t>
            </w:r>
          </w:p>
        </w:tc>
        <w:tc>
          <w:tcPr>
            <w:tcW w:w="13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Based on Total</w:t>
            </w:r>
          </w:p>
        </w:tc>
        <w:tc>
          <w:tcPr>
            <w:tcW w:w="1500" w:type="dxa"/>
            <w:vAlign w:val="bottom"/>
            <w:tcBorders>
              <w:right w:val="single" w:sz="8" w:color="auto"/>
            </w:tcBorders>
            <w:shd w:val="clear" w:color="auto" w:fill="4DC1E4"/>
          </w:tcPr>
          <w:p>
            <w:pPr>
              <w:spacing w:after="0"/>
              <w:rPr>
                <w:sz w:val="18"/>
                <w:szCs w:val="18"/>
                <w:color w:val="auto"/>
              </w:rPr>
            </w:pPr>
          </w:p>
        </w:tc>
      </w:tr>
      <w:tr>
        <w:trPr>
          <w:trHeight w:val="216"/>
        </w:trPr>
        <w:tc>
          <w:tcPr>
            <w:tcW w:w="820" w:type="dxa"/>
            <w:vAlign w:val="bottom"/>
            <w:tcBorders>
              <w:left w:val="single" w:sz="8" w:color="auto"/>
              <w:right w:val="single" w:sz="8" w:color="auto"/>
            </w:tcBorders>
            <w:shd w:val="clear" w:color="auto" w:fill="4DC1E4"/>
          </w:tcPr>
          <w:p>
            <w:pPr>
              <w:spacing w:after="0"/>
              <w:rPr>
                <w:sz w:val="18"/>
                <w:szCs w:val="18"/>
                <w:color w:val="auto"/>
              </w:rPr>
            </w:pPr>
          </w:p>
        </w:tc>
        <w:tc>
          <w:tcPr>
            <w:tcW w:w="1540" w:type="dxa"/>
            <w:vAlign w:val="bottom"/>
            <w:tcBorders>
              <w:right w:val="single" w:sz="8" w:color="auto"/>
            </w:tcBorders>
            <w:shd w:val="clear" w:color="auto" w:fill="4DC1E4"/>
          </w:tcPr>
          <w:p>
            <w:pPr>
              <w:jc w:val="center"/>
              <w:ind w:left="10"/>
              <w:spacing w:after="0"/>
              <w:rPr>
                <w:sz w:val="20"/>
                <w:szCs w:val="20"/>
                <w:color w:val="auto"/>
              </w:rPr>
            </w:pPr>
            <w:r>
              <w:rPr>
                <w:rFonts w:ascii="Times New Roman" w:cs="Times New Roman" w:eastAsia="Times New Roman" w:hAnsi="Times New Roman"/>
                <w:sz w:val="18"/>
                <w:szCs w:val="18"/>
                <w:b w:val="1"/>
                <w:bCs w:val="1"/>
                <w:color w:val="FFFFFF"/>
              </w:rPr>
              <w:t>Compensation</w:t>
            </w:r>
          </w:p>
        </w:tc>
        <w:tc>
          <w:tcPr>
            <w:tcW w:w="1600" w:type="dxa"/>
            <w:vAlign w:val="bottom"/>
            <w:tcBorders>
              <w:right w:val="single" w:sz="8" w:color="auto"/>
            </w:tcBorders>
            <w:shd w:val="clear" w:color="auto" w:fill="4DC1E4"/>
          </w:tcPr>
          <w:p>
            <w:pPr>
              <w:jc w:val="center"/>
              <w:ind w:left="10"/>
              <w:spacing w:after="0"/>
              <w:rPr>
                <w:sz w:val="20"/>
                <w:szCs w:val="20"/>
                <w:color w:val="auto"/>
              </w:rPr>
            </w:pPr>
            <w:r>
              <w:rPr>
                <w:rFonts w:ascii="Times New Roman" w:cs="Times New Roman" w:eastAsia="Times New Roman" w:hAnsi="Times New Roman"/>
                <w:sz w:val="18"/>
                <w:szCs w:val="18"/>
                <w:b w:val="1"/>
                <w:bCs w:val="1"/>
                <w:color w:val="FFFFFF"/>
                <w:w w:val="99"/>
              </w:rPr>
              <w:t>Compensation</w:t>
            </w:r>
          </w:p>
        </w:tc>
        <w:tc>
          <w:tcPr>
            <w:tcW w:w="15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rPr>
              <w:t>Table Total for</w:t>
            </w:r>
          </w:p>
        </w:tc>
        <w:tc>
          <w:tcPr>
            <w:tcW w:w="14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Actually Paid</w:t>
            </w:r>
          </w:p>
        </w:tc>
        <w:tc>
          <w:tcPr>
            <w:tcW w:w="13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rPr>
              <w:t>Stockholder</w:t>
            </w:r>
          </w:p>
        </w:tc>
        <w:tc>
          <w:tcPr>
            <w:tcW w:w="15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rPr>
              <w:t>Net Income</w:t>
            </w:r>
          </w:p>
        </w:tc>
      </w:tr>
      <w:tr>
        <w:trPr>
          <w:trHeight w:val="184"/>
        </w:trPr>
        <w:tc>
          <w:tcPr>
            <w:tcW w:w="820" w:type="dxa"/>
            <w:vAlign w:val="bottom"/>
            <w:tcBorders>
              <w:left w:val="single" w:sz="8" w:color="auto"/>
              <w:right w:val="single" w:sz="8" w:color="auto"/>
            </w:tcBorders>
            <w:shd w:val="clear" w:color="auto" w:fill="4DC1E4"/>
          </w:tcPr>
          <w:p>
            <w:pPr>
              <w:spacing w:after="0"/>
              <w:rPr>
                <w:sz w:val="16"/>
                <w:szCs w:val="16"/>
                <w:color w:val="auto"/>
              </w:rPr>
            </w:pPr>
          </w:p>
        </w:tc>
        <w:tc>
          <w:tcPr>
            <w:tcW w:w="1540" w:type="dxa"/>
            <w:vAlign w:val="bottom"/>
            <w:tcBorders>
              <w:right w:val="single" w:sz="8" w:color="auto"/>
            </w:tcBorders>
            <w:shd w:val="clear" w:color="auto" w:fill="4DC1E4"/>
          </w:tcPr>
          <w:p>
            <w:pPr>
              <w:jc w:val="center"/>
              <w:ind w:left="10"/>
              <w:spacing w:after="0" w:line="184" w:lineRule="exact"/>
              <w:rPr>
                <w:sz w:val="20"/>
                <w:szCs w:val="20"/>
                <w:color w:val="auto"/>
              </w:rPr>
            </w:pPr>
            <w:r>
              <w:rPr>
                <w:rFonts w:ascii="Times New Roman" w:cs="Times New Roman" w:eastAsia="Times New Roman" w:hAnsi="Times New Roman"/>
                <w:sz w:val="18"/>
                <w:szCs w:val="18"/>
                <w:b w:val="1"/>
                <w:bCs w:val="1"/>
                <w:color w:val="FFFFFF"/>
                <w:w w:val="98"/>
              </w:rPr>
              <w:t>Table Total</w:t>
            </w:r>
          </w:p>
        </w:tc>
        <w:tc>
          <w:tcPr>
            <w:tcW w:w="1600" w:type="dxa"/>
            <w:vAlign w:val="bottom"/>
            <w:tcBorders>
              <w:right w:val="single" w:sz="8" w:color="auto"/>
            </w:tcBorders>
            <w:shd w:val="clear" w:color="auto" w:fill="4DC1E4"/>
          </w:tcPr>
          <w:p>
            <w:pPr>
              <w:jc w:val="right"/>
              <w:ind w:right="130"/>
              <w:spacing w:after="0" w:line="184" w:lineRule="exact"/>
              <w:rPr>
                <w:sz w:val="20"/>
                <w:szCs w:val="20"/>
                <w:color w:val="auto"/>
              </w:rPr>
            </w:pPr>
            <w:r>
              <w:rPr>
                <w:rFonts w:ascii="Times New Roman" w:cs="Times New Roman" w:eastAsia="Times New Roman" w:hAnsi="Times New Roman"/>
                <w:sz w:val="18"/>
                <w:szCs w:val="18"/>
                <w:b w:val="1"/>
                <w:bCs w:val="1"/>
                <w:color w:val="FFFFFF"/>
              </w:rPr>
              <w:t>Actually Paid</w:t>
            </w:r>
          </w:p>
        </w:tc>
        <w:tc>
          <w:tcPr>
            <w:tcW w:w="1500" w:type="dxa"/>
            <w:vAlign w:val="bottom"/>
            <w:tcBorders>
              <w:right w:val="single" w:sz="8" w:color="auto"/>
            </w:tcBorders>
            <w:shd w:val="clear" w:color="auto" w:fill="4DC1E4"/>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FFFFFF"/>
                <w:w w:val="98"/>
              </w:rPr>
              <w:t>Non-PEO</w:t>
            </w:r>
          </w:p>
        </w:tc>
        <w:tc>
          <w:tcPr>
            <w:tcW w:w="1480" w:type="dxa"/>
            <w:vAlign w:val="bottom"/>
            <w:tcBorders>
              <w:right w:val="single" w:sz="8" w:color="auto"/>
            </w:tcBorders>
            <w:shd w:val="clear" w:color="auto" w:fill="4DC1E4"/>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FFFFFF"/>
                <w:w w:val="99"/>
              </w:rPr>
              <w:t>to Non-PEO</w:t>
            </w:r>
          </w:p>
        </w:tc>
        <w:tc>
          <w:tcPr>
            <w:tcW w:w="1300" w:type="dxa"/>
            <w:vAlign w:val="bottom"/>
            <w:tcBorders>
              <w:right w:val="single" w:sz="8" w:color="auto"/>
            </w:tcBorders>
            <w:shd w:val="clear" w:color="auto" w:fill="4DC1E4"/>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FFFFFF"/>
                <w:w w:val="98"/>
              </w:rPr>
              <w:t>Return</w:t>
            </w:r>
          </w:p>
        </w:tc>
        <w:tc>
          <w:tcPr>
            <w:tcW w:w="1500" w:type="dxa"/>
            <w:vAlign w:val="bottom"/>
            <w:tcBorders>
              <w:right w:val="single" w:sz="8" w:color="auto"/>
            </w:tcBorders>
            <w:shd w:val="clear" w:color="auto" w:fill="4DC1E4"/>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FFFFFF"/>
                <w:w w:val="97"/>
              </w:rPr>
              <w:t>(Loss)</w:t>
            </w:r>
          </w:p>
        </w:tc>
      </w:tr>
      <w:tr>
        <w:trPr>
          <w:trHeight w:val="315"/>
        </w:trPr>
        <w:tc>
          <w:tcPr>
            <w:tcW w:w="820" w:type="dxa"/>
            <w:vAlign w:val="bottom"/>
            <w:tcBorders>
              <w:left w:val="single" w:sz="8" w:color="auto"/>
              <w:bottom w:val="single" w:sz="8" w:color="4DC1E4"/>
              <w:right w:val="single" w:sz="8" w:color="auto"/>
            </w:tcBorders>
            <w:shd w:val="clear" w:color="auto" w:fill="4DC1E4"/>
          </w:tcPr>
          <w:p>
            <w:pPr>
              <w:jc w:val="right"/>
              <w:ind w:right="130"/>
              <w:spacing w:after="0"/>
              <w:rPr>
                <w:sz w:val="20"/>
                <w:szCs w:val="20"/>
                <w:color w:val="auto"/>
              </w:rPr>
            </w:pPr>
            <w:r>
              <w:rPr>
                <w:rFonts w:ascii="Times New Roman" w:cs="Times New Roman" w:eastAsia="Times New Roman" w:hAnsi="Times New Roman"/>
                <w:sz w:val="18"/>
                <w:szCs w:val="18"/>
                <w:b w:val="1"/>
                <w:bCs w:val="1"/>
                <w:color w:val="FFFFFF"/>
              </w:rPr>
              <w:t>Year</w:t>
            </w:r>
          </w:p>
        </w:tc>
        <w:tc>
          <w:tcPr>
            <w:tcW w:w="1540" w:type="dxa"/>
            <w:vAlign w:val="bottom"/>
            <w:tcBorders>
              <w:bottom w:val="single" w:sz="8" w:color="4DC1E4"/>
              <w:right w:val="single" w:sz="8" w:color="auto"/>
            </w:tcBorders>
            <w:shd w:val="clear" w:color="auto" w:fill="4DC1E4"/>
          </w:tcPr>
          <w:p>
            <w:pPr>
              <w:jc w:val="center"/>
              <w:ind w:left="10"/>
              <w:spacing w:after="0" w:line="270" w:lineRule="exact"/>
              <w:rPr>
                <w:sz w:val="20"/>
                <w:szCs w:val="20"/>
                <w:color w:val="auto"/>
              </w:rPr>
            </w:pPr>
            <w:r>
              <w:rPr>
                <w:rFonts w:ascii="Times New Roman" w:cs="Times New Roman" w:eastAsia="Times New Roman" w:hAnsi="Times New Roman"/>
                <w:sz w:val="18"/>
                <w:szCs w:val="18"/>
                <w:b w:val="1"/>
                <w:bCs w:val="1"/>
                <w:color w:val="FFFFFF"/>
                <w:w w:val="95"/>
              </w:rPr>
              <w:t xml:space="preserve">for PEO </w:t>
            </w:r>
            <w:r>
              <w:rPr>
                <w:rFonts w:ascii="Times New Roman" w:cs="Times New Roman" w:eastAsia="Times New Roman" w:hAnsi="Times New Roman"/>
                <w:sz w:val="24"/>
                <w:szCs w:val="24"/>
                <w:b w:val="1"/>
                <w:bCs w:val="1"/>
                <w:color w:val="FFFFFF"/>
                <w:w w:val="95"/>
                <w:vertAlign w:val="superscript"/>
              </w:rPr>
              <w:t>(1)</w:t>
            </w:r>
          </w:p>
        </w:tc>
        <w:tc>
          <w:tcPr>
            <w:tcW w:w="1600" w:type="dxa"/>
            <w:vAlign w:val="bottom"/>
            <w:tcBorders>
              <w:bottom w:val="single" w:sz="8" w:color="4DC1E4"/>
              <w:right w:val="single" w:sz="8" w:color="auto"/>
            </w:tcBorders>
            <w:shd w:val="clear" w:color="auto" w:fill="4DC1E4"/>
          </w:tcPr>
          <w:p>
            <w:pPr>
              <w:jc w:val="center"/>
              <w:ind w:left="10"/>
              <w:spacing w:after="0" w:line="270" w:lineRule="exact"/>
              <w:rPr>
                <w:sz w:val="20"/>
                <w:szCs w:val="20"/>
                <w:color w:val="auto"/>
              </w:rPr>
            </w:pPr>
            <w:r>
              <w:rPr>
                <w:rFonts w:ascii="Times New Roman" w:cs="Times New Roman" w:eastAsia="Times New Roman" w:hAnsi="Times New Roman"/>
                <w:sz w:val="18"/>
                <w:szCs w:val="18"/>
                <w:b w:val="1"/>
                <w:bCs w:val="1"/>
                <w:color w:val="FFFFFF"/>
                <w:w w:val="92"/>
              </w:rPr>
              <w:t xml:space="preserve">to PEO </w:t>
            </w:r>
            <w:r>
              <w:rPr>
                <w:rFonts w:ascii="Times New Roman" w:cs="Times New Roman" w:eastAsia="Times New Roman" w:hAnsi="Times New Roman"/>
                <w:sz w:val="24"/>
                <w:szCs w:val="24"/>
                <w:b w:val="1"/>
                <w:bCs w:val="1"/>
                <w:color w:val="FFFFFF"/>
                <w:w w:val="92"/>
                <w:vertAlign w:val="superscript"/>
              </w:rPr>
              <w:t>(2)</w:t>
            </w:r>
          </w:p>
        </w:tc>
        <w:tc>
          <w:tcPr>
            <w:tcW w:w="1500" w:type="dxa"/>
            <w:vAlign w:val="bottom"/>
            <w:tcBorders>
              <w:bottom w:val="single" w:sz="8" w:color="4DC1E4"/>
              <w:right w:val="single" w:sz="8" w:color="auto"/>
            </w:tcBorders>
            <w:shd w:val="clear" w:color="auto" w:fill="4DC1E4"/>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FFFFFF"/>
                <w:w w:val="95"/>
              </w:rPr>
              <w:t xml:space="preserve">NEOs </w:t>
            </w:r>
            <w:r>
              <w:rPr>
                <w:rFonts w:ascii="Times New Roman" w:cs="Times New Roman" w:eastAsia="Times New Roman" w:hAnsi="Times New Roman"/>
                <w:sz w:val="24"/>
                <w:szCs w:val="24"/>
                <w:b w:val="1"/>
                <w:bCs w:val="1"/>
                <w:color w:val="FFFFFF"/>
                <w:w w:val="95"/>
                <w:vertAlign w:val="superscript"/>
              </w:rPr>
              <w:t>(3)</w:t>
            </w:r>
          </w:p>
        </w:tc>
        <w:tc>
          <w:tcPr>
            <w:tcW w:w="1480" w:type="dxa"/>
            <w:vAlign w:val="bottom"/>
            <w:tcBorders>
              <w:bottom w:val="single" w:sz="8" w:color="4DC1E4"/>
              <w:right w:val="single" w:sz="8" w:color="auto"/>
            </w:tcBorders>
            <w:shd w:val="clear" w:color="auto" w:fill="4DC1E4"/>
          </w:tcPr>
          <w:p>
            <w:pPr>
              <w:ind w:left="460"/>
              <w:spacing w:after="0" w:line="270" w:lineRule="exact"/>
              <w:rPr>
                <w:sz w:val="20"/>
                <w:szCs w:val="20"/>
                <w:color w:val="auto"/>
              </w:rPr>
            </w:pPr>
            <w:r>
              <w:rPr>
                <w:rFonts w:ascii="Times New Roman" w:cs="Times New Roman" w:eastAsia="Times New Roman" w:hAnsi="Times New Roman"/>
                <w:sz w:val="18"/>
                <w:szCs w:val="18"/>
                <w:b w:val="1"/>
                <w:bCs w:val="1"/>
                <w:color w:val="FFFFFF"/>
              </w:rPr>
              <w:t xml:space="preserve">NEOs </w:t>
            </w:r>
            <w:r>
              <w:rPr>
                <w:rFonts w:ascii="Times New Roman" w:cs="Times New Roman" w:eastAsia="Times New Roman" w:hAnsi="Times New Roman"/>
                <w:sz w:val="24"/>
                <w:szCs w:val="24"/>
                <w:b w:val="1"/>
                <w:bCs w:val="1"/>
                <w:color w:val="FFFFFF"/>
                <w:vertAlign w:val="superscript"/>
              </w:rPr>
              <w:t>(4)</w:t>
            </w:r>
          </w:p>
        </w:tc>
        <w:tc>
          <w:tcPr>
            <w:tcW w:w="1300" w:type="dxa"/>
            <w:vAlign w:val="bottom"/>
            <w:tcBorders>
              <w:bottom w:val="single" w:sz="8" w:color="4DC1E4"/>
              <w:right w:val="single" w:sz="8" w:color="auto"/>
            </w:tcBorders>
            <w:shd w:val="clear" w:color="auto" w:fill="4DC1E4"/>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FFFFFF"/>
                <w:w w:val="92"/>
              </w:rPr>
              <w:t xml:space="preserve">(“TSR”) </w:t>
            </w:r>
            <w:r>
              <w:rPr>
                <w:rFonts w:ascii="Times New Roman" w:cs="Times New Roman" w:eastAsia="Times New Roman" w:hAnsi="Times New Roman"/>
                <w:sz w:val="24"/>
                <w:szCs w:val="24"/>
                <w:b w:val="1"/>
                <w:bCs w:val="1"/>
                <w:color w:val="FFFFFF"/>
                <w:w w:val="92"/>
                <w:vertAlign w:val="superscript"/>
              </w:rPr>
              <w:t>(5)</w:t>
            </w:r>
          </w:p>
        </w:tc>
        <w:tc>
          <w:tcPr>
            <w:tcW w:w="1500" w:type="dxa"/>
            <w:vAlign w:val="bottom"/>
            <w:tcBorders>
              <w:bottom w:val="single" w:sz="8" w:color="4DC1E4"/>
              <w:right w:val="single" w:sz="8" w:color="auto"/>
            </w:tcBorders>
            <w:shd w:val="clear" w:color="auto" w:fill="4DC1E4"/>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FFFFFF"/>
                <w:w w:val="97"/>
              </w:rPr>
              <w:t xml:space="preserve">(thousands) </w:t>
            </w:r>
            <w:r>
              <w:rPr>
                <w:rFonts w:ascii="Times New Roman" w:cs="Times New Roman" w:eastAsia="Times New Roman" w:hAnsi="Times New Roman"/>
                <w:sz w:val="24"/>
                <w:szCs w:val="24"/>
                <w:b w:val="1"/>
                <w:bCs w:val="1"/>
                <w:color w:val="FFFFFF"/>
                <w:w w:val="97"/>
                <w:vertAlign w:val="superscript"/>
              </w:rPr>
              <w:t>(6)</w:t>
            </w:r>
          </w:p>
        </w:tc>
      </w:tr>
      <w:tr>
        <w:trPr>
          <w:trHeight w:val="210"/>
        </w:trPr>
        <w:tc>
          <w:tcPr>
            <w:tcW w:w="820" w:type="dxa"/>
            <w:vAlign w:val="bottom"/>
            <w:tcBorders>
              <w:top w:val="single" w:sz="8" w:color="auto"/>
              <w:left w:val="single" w:sz="8" w:color="auto"/>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w:t>
            </w:r>
          </w:p>
        </w:tc>
        <w:tc>
          <w:tcPr>
            <w:tcW w:w="1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600" w:type="dxa"/>
            <w:vAlign w:val="bottom"/>
            <w:tcBorders>
              <w:top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1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13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w:t>
            </w:r>
          </w:p>
        </w:tc>
        <w:tc>
          <w:tcPr>
            <w:tcW w:w="1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(g)</w:t>
            </w:r>
          </w:p>
        </w:tc>
      </w:tr>
      <w:tr>
        <w:trPr>
          <w:trHeight w:val="209"/>
        </w:trPr>
        <w:tc>
          <w:tcPr>
            <w:tcW w:w="820" w:type="dxa"/>
            <w:vAlign w:val="bottom"/>
            <w:tcBorders>
              <w:left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154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$3,526,423</w:t>
            </w:r>
          </w:p>
        </w:tc>
        <w:tc>
          <w:tcPr>
            <w:tcW w:w="160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$2,137,100</w:t>
            </w:r>
          </w:p>
        </w:tc>
        <w:tc>
          <w:tcPr>
            <w:tcW w:w="150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$1,495,645</w:t>
            </w:r>
          </w:p>
        </w:tc>
        <w:tc>
          <w:tcPr>
            <w:tcW w:w="148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$1,046,564</w:t>
            </w:r>
          </w:p>
        </w:tc>
        <w:tc>
          <w:tcPr>
            <w:tcW w:w="1300" w:type="dxa"/>
            <w:vAlign w:val="bottom"/>
            <w:tcBorders>
              <w:bottom w:val="single" w:sz="8" w:color="auto"/>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$36.24</w:t>
            </w:r>
          </w:p>
        </w:tc>
        <w:tc>
          <w:tcPr>
            <w:tcW w:w="150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$(165,673)</w:t>
            </w:r>
          </w:p>
        </w:tc>
      </w:tr>
      <w:tr>
        <w:trPr>
          <w:trHeight w:val="210"/>
        </w:trPr>
        <w:tc>
          <w:tcPr>
            <w:tcW w:w="820" w:type="dxa"/>
            <w:vAlign w:val="bottom"/>
            <w:tcBorders>
              <w:left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154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$2,511,649</w:t>
            </w:r>
          </w:p>
        </w:tc>
        <w:tc>
          <w:tcPr>
            <w:tcW w:w="160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$2,439,527</w:t>
            </w:r>
          </w:p>
        </w:tc>
        <w:tc>
          <w:tcPr>
            <w:tcW w:w="150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$1,274,915</w:t>
            </w:r>
          </w:p>
        </w:tc>
        <w:tc>
          <w:tcPr>
            <w:tcW w:w="148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$1,239,951</w:t>
            </w:r>
          </w:p>
        </w:tc>
        <w:tc>
          <w:tcPr>
            <w:tcW w:w="1300" w:type="dxa"/>
            <w:vAlign w:val="bottom"/>
            <w:tcBorders>
              <w:bottom w:val="single" w:sz="8" w:color="auto"/>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$35.87</w:t>
            </w:r>
          </w:p>
        </w:tc>
        <w:tc>
          <w:tcPr>
            <w:tcW w:w="150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$(80,604)</w:t>
            </w:r>
          </w:p>
        </w:tc>
      </w:tr>
      <w:tr>
        <w:trPr>
          <w:trHeight w:val="209"/>
        </w:trPr>
        <w:tc>
          <w:tcPr>
            <w:tcW w:w="820" w:type="dxa"/>
            <w:vAlign w:val="bottom"/>
            <w:tcBorders>
              <w:left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154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$3,137,431</w:t>
            </w:r>
          </w:p>
        </w:tc>
        <w:tc>
          <w:tcPr>
            <w:tcW w:w="160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$3,261,658</w:t>
            </w:r>
          </w:p>
        </w:tc>
        <w:tc>
          <w:tcPr>
            <w:tcW w:w="150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$1,399,936</w:t>
            </w:r>
          </w:p>
        </w:tc>
        <w:tc>
          <w:tcPr>
            <w:tcW w:w="148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$1,238,406</w:t>
            </w:r>
          </w:p>
        </w:tc>
        <w:tc>
          <w:tcPr>
            <w:tcW w:w="1300" w:type="dxa"/>
            <w:vAlign w:val="bottom"/>
            <w:tcBorders>
              <w:bottom w:val="single" w:sz="8" w:color="auto"/>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$42.17</w:t>
            </w:r>
          </w:p>
        </w:tc>
        <w:tc>
          <w:tcPr>
            <w:tcW w:w="150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$(36,949)</w:t>
            </w:r>
          </w:p>
        </w:tc>
      </w:tr>
    </w:tbl>
    <w:p>
      <w:pPr>
        <w:spacing w:after="0" w:line="198" w:lineRule="exact"/>
        <w:rPr>
          <w:sz w:val="20"/>
          <w:szCs w:val="20"/>
          <w:color w:val="auto"/>
        </w:rPr>
      </w:pPr>
    </w:p>
    <w:p>
      <w:pPr>
        <w:ind w:left="660" w:hanging="656"/>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(b) are the amounts of total compensation reported for Dr. Ben-Maimon (our President and Chief Executive Officer) for each of 2023, 2024 and 2025.</w:t>
      </w:r>
    </w:p>
    <w:p>
      <w:pPr>
        <w:jc w:val="both"/>
        <w:ind w:left="660" w:hanging="656"/>
        <w:spacing w:after="0" w:line="25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(c) represent the amount of “compensation actually paid” to Dr. Ben-Maimon, as computed in accordance with Item 402(v) of Regulation S-K. The dollar amounts do not reflect the actual amount of compensation earned by or paid to Dr. Ben-Maimon during the applicable year. Compensation “actually paid” is based on the Summary Compensation Table total compensation figure adjusted to reflect the change in actual value of stock awards (e.g., stock options and restricted equity units) during the covered year. In accordance with the requirements of Item 402(v) of Regulation S-K, the following adjustments were made to Dr. Ben-Maimon’s total compensation for each year to determine the compensation actually paid:</w:t>
      </w:r>
    </w:p>
    <w:p>
      <w:pPr>
        <w:spacing w:after="0" w:line="30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42" w:name="page43"/>
    <w:bookmarkEnd w:id="42"/>
    <w:p>
      <w:pPr>
        <w:ind w:left="100"/>
        <w:spacing w:after="0"/>
        <w:rPr>
          <w:sz w:val="20"/>
          <w:szCs w:val="20"/>
          <w:color w:val="auto"/>
        </w:rPr>
      </w:pPr>
      <w:r>
        <w:rPr>
          <w:rFonts w:ascii="Times New Roman" w:cs="Times New Roman" w:eastAsia="Times New Roman" w:hAnsi="Times New Roman"/>
          <w:sz w:val="22"/>
          <w:szCs w:val="22"/>
          <w:b w:val="1"/>
          <w:bCs w:val="1"/>
          <w:color w:val="auto"/>
        </w:rPr>
        <w:t>EXECUTIVE COMPENSATION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520" w:type="dxa"/>
            <w:vAlign w:val="bottom"/>
            <w:tcBorders>
              <w:top w:val="single" w:sz="8" w:color="auto"/>
              <w:left w:val="single" w:sz="8" w:color="auto"/>
              <w:right w:val="single" w:sz="8" w:color="auto"/>
            </w:tcBorders>
            <w:shd w:val="clear" w:color="auto" w:fill="4DC1E4"/>
          </w:tcPr>
          <w:p>
            <w:pPr>
              <w:spacing w:after="0"/>
              <w:rPr>
                <w:sz w:val="18"/>
                <w:szCs w:val="18"/>
                <w:color w:val="auto"/>
              </w:rPr>
            </w:pPr>
          </w:p>
        </w:tc>
        <w:tc>
          <w:tcPr>
            <w:tcW w:w="2020" w:type="dxa"/>
            <w:vAlign w:val="bottom"/>
            <w:tcBorders>
              <w:top w:val="single" w:sz="8" w:color="auto"/>
              <w:right w:val="single" w:sz="8" w:color="auto"/>
            </w:tcBorders>
            <w:shd w:val="clear" w:color="auto" w:fill="4DC1E4"/>
          </w:tcPr>
          <w:p>
            <w:pPr>
              <w:jc w:val="center"/>
              <w:ind w:left="30"/>
              <w:spacing w:after="0"/>
              <w:rPr>
                <w:sz w:val="20"/>
                <w:szCs w:val="20"/>
                <w:color w:val="auto"/>
              </w:rPr>
            </w:pPr>
            <w:r>
              <w:rPr>
                <w:rFonts w:ascii="Times New Roman" w:cs="Times New Roman" w:eastAsia="Times New Roman" w:hAnsi="Times New Roman"/>
                <w:sz w:val="18"/>
                <w:szCs w:val="18"/>
                <w:b w:val="1"/>
                <w:bCs w:val="1"/>
                <w:color w:val="FFFFFF"/>
              </w:rPr>
              <w:t>Reported Summary</w:t>
            </w:r>
          </w:p>
        </w:tc>
        <w:tc>
          <w:tcPr>
            <w:tcW w:w="2040" w:type="dxa"/>
            <w:vAlign w:val="bottom"/>
            <w:tcBorders>
              <w:top w:val="single" w:sz="8" w:color="auto"/>
              <w:right w:val="single" w:sz="8" w:color="auto"/>
            </w:tcBorders>
            <w:shd w:val="clear" w:color="auto" w:fill="4DC1E4"/>
          </w:tcPr>
          <w:p>
            <w:pPr>
              <w:spacing w:after="0"/>
              <w:rPr>
                <w:sz w:val="18"/>
                <w:szCs w:val="18"/>
                <w:color w:val="auto"/>
              </w:rPr>
            </w:pPr>
          </w:p>
        </w:tc>
        <w:tc>
          <w:tcPr>
            <w:tcW w:w="2080" w:type="dxa"/>
            <w:vAlign w:val="bottom"/>
            <w:tcBorders>
              <w:top w:val="single" w:sz="8" w:color="auto"/>
              <w:right w:val="single" w:sz="8" w:color="auto"/>
            </w:tcBorders>
            <w:shd w:val="clear" w:color="auto" w:fill="4DC1E4"/>
          </w:tcPr>
          <w:p>
            <w:pPr>
              <w:spacing w:after="0"/>
              <w:rPr>
                <w:sz w:val="18"/>
                <w:szCs w:val="18"/>
                <w:color w:val="auto"/>
              </w:rPr>
            </w:pPr>
          </w:p>
        </w:tc>
        <w:tc>
          <w:tcPr>
            <w:tcW w:w="2080" w:type="dxa"/>
            <w:vAlign w:val="bottom"/>
            <w:tcBorders>
              <w:top w:val="single" w:sz="8" w:color="auto"/>
              <w:right w:val="single" w:sz="8" w:color="auto"/>
            </w:tcBorders>
            <w:shd w:val="clear" w:color="auto" w:fill="4DC1E4"/>
          </w:tcPr>
          <w:p>
            <w:pPr>
              <w:spacing w:after="0"/>
              <w:rPr>
                <w:sz w:val="18"/>
                <w:szCs w:val="18"/>
                <w:color w:val="auto"/>
              </w:rPr>
            </w:pPr>
          </w:p>
        </w:tc>
      </w:tr>
      <w:tr>
        <w:trPr>
          <w:trHeight w:val="196"/>
        </w:trPr>
        <w:tc>
          <w:tcPr>
            <w:tcW w:w="1520" w:type="dxa"/>
            <w:vAlign w:val="bottom"/>
            <w:tcBorders>
              <w:left w:val="single" w:sz="8" w:color="auto"/>
              <w:right w:val="single" w:sz="8" w:color="auto"/>
            </w:tcBorders>
            <w:shd w:val="clear" w:color="auto" w:fill="4DC1E4"/>
          </w:tcPr>
          <w:p>
            <w:pPr>
              <w:spacing w:after="0"/>
              <w:rPr>
                <w:sz w:val="17"/>
                <w:szCs w:val="17"/>
                <w:color w:val="auto"/>
              </w:rPr>
            </w:pPr>
          </w:p>
        </w:tc>
        <w:tc>
          <w:tcPr>
            <w:tcW w:w="2020" w:type="dxa"/>
            <w:vAlign w:val="bottom"/>
            <w:tcBorders>
              <w:right w:val="single" w:sz="8" w:color="auto"/>
            </w:tcBorders>
            <w:shd w:val="clear" w:color="auto" w:fill="4DC1E4"/>
          </w:tcPr>
          <w:p>
            <w:pPr>
              <w:jc w:val="center"/>
              <w:ind w:left="30"/>
              <w:spacing w:after="0" w:line="196" w:lineRule="exact"/>
              <w:rPr>
                <w:sz w:val="20"/>
                <w:szCs w:val="20"/>
                <w:color w:val="auto"/>
              </w:rPr>
            </w:pPr>
            <w:r>
              <w:rPr>
                <w:rFonts w:ascii="Times New Roman" w:cs="Times New Roman" w:eastAsia="Times New Roman" w:hAnsi="Times New Roman"/>
                <w:sz w:val="18"/>
                <w:szCs w:val="18"/>
                <w:b w:val="1"/>
                <w:bCs w:val="1"/>
                <w:color w:val="FFFFFF"/>
                <w:w w:val="99"/>
              </w:rPr>
              <w:t>Compensation Table</w:t>
            </w:r>
          </w:p>
        </w:tc>
        <w:tc>
          <w:tcPr>
            <w:tcW w:w="2040" w:type="dxa"/>
            <w:vAlign w:val="bottom"/>
            <w:tcBorders>
              <w:right w:val="single" w:sz="8" w:color="auto"/>
            </w:tcBorders>
            <w:shd w:val="clear" w:color="auto" w:fill="4DC1E4"/>
          </w:tcPr>
          <w:p>
            <w:pPr>
              <w:jc w:val="center"/>
              <w:ind w:left="30"/>
              <w:spacing w:after="0" w:line="196" w:lineRule="exact"/>
              <w:rPr>
                <w:sz w:val="20"/>
                <w:szCs w:val="20"/>
                <w:color w:val="auto"/>
              </w:rPr>
            </w:pPr>
            <w:r>
              <w:rPr>
                <w:rFonts w:ascii="Times New Roman" w:cs="Times New Roman" w:eastAsia="Times New Roman" w:hAnsi="Times New Roman"/>
                <w:sz w:val="18"/>
                <w:szCs w:val="18"/>
                <w:b w:val="1"/>
                <w:bCs w:val="1"/>
                <w:color w:val="FFFFFF"/>
                <w:w w:val="99"/>
              </w:rPr>
              <w:t>Less: Reported Value of</w:t>
            </w:r>
          </w:p>
        </w:tc>
        <w:tc>
          <w:tcPr>
            <w:tcW w:w="2080" w:type="dxa"/>
            <w:vAlign w:val="bottom"/>
            <w:tcBorders>
              <w:right w:val="single" w:sz="8" w:color="auto"/>
            </w:tcBorders>
            <w:shd w:val="clear" w:color="auto" w:fill="4DC1E4"/>
          </w:tcPr>
          <w:p>
            <w:pPr>
              <w:jc w:val="center"/>
              <w:ind w:left="10"/>
              <w:spacing w:after="0" w:line="196" w:lineRule="exact"/>
              <w:rPr>
                <w:sz w:val="20"/>
                <w:szCs w:val="20"/>
                <w:color w:val="auto"/>
              </w:rPr>
            </w:pPr>
            <w:r>
              <w:rPr>
                <w:rFonts w:ascii="Times New Roman" w:cs="Times New Roman" w:eastAsia="Times New Roman" w:hAnsi="Times New Roman"/>
                <w:sz w:val="18"/>
                <w:szCs w:val="18"/>
                <w:b w:val="1"/>
                <w:bCs w:val="1"/>
                <w:color w:val="FFFFFF"/>
              </w:rPr>
              <w:t>Plus: Equity Award</w:t>
            </w:r>
          </w:p>
        </w:tc>
        <w:tc>
          <w:tcPr>
            <w:tcW w:w="2080" w:type="dxa"/>
            <w:vAlign w:val="bottom"/>
            <w:tcBorders>
              <w:right w:val="single" w:sz="8" w:color="auto"/>
            </w:tcBorders>
            <w:shd w:val="clear" w:color="auto" w:fill="4DC1E4"/>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FFFFFF"/>
                <w:w w:val="99"/>
              </w:rPr>
              <w:t>Equals Compensation</w:t>
            </w:r>
          </w:p>
        </w:tc>
      </w:tr>
      <w:tr>
        <w:trPr>
          <w:trHeight w:val="236"/>
        </w:trPr>
        <w:tc>
          <w:tcPr>
            <w:tcW w:w="1520" w:type="dxa"/>
            <w:vAlign w:val="bottom"/>
            <w:tcBorders>
              <w:left w:val="single" w:sz="8" w:color="auto"/>
              <w:right w:val="single" w:sz="8" w:color="auto"/>
            </w:tcBorders>
            <w:shd w:val="clear" w:color="auto" w:fill="4DC1E4"/>
          </w:tcPr>
          <w:p>
            <w:pPr>
              <w:spacing w:after="0"/>
              <w:rPr>
                <w:sz w:val="20"/>
                <w:szCs w:val="20"/>
                <w:color w:val="auto"/>
              </w:rPr>
            </w:pPr>
          </w:p>
        </w:tc>
        <w:tc>
          <w:tcPr>
            <w:tcW w:w="2020" w:type="dxa"/>
            <w:vAlign w:val="bottom"/>
            <w:tcBorders>
              <w:right w:val="single" w:sz="8" w:color="auto"/>
            </w:tcBorders>
            <w:shd w:val="clear" w:color="auto" w:fill="4DC1E4"/>
          </w:tcPr>
          <w:p>
            <w:pPr>
              <w:jc w:val="center"/>
              <w:ind w:left="30"/>
              <w:spacing w:after="0"/>
              <w:rPr>
                <w:sz w:val="20"/>
                <w:szCs w:val="20"/>
                <w:color w:val="auto"/>
              </w:rPr>
            </w:pPr>
            <w:r>
              <w:rPr>
                <w:rFonts w:ascii="Times New Roman" w:cs="Times New Roman" w:eastAsia="Times New Roman" w:hAnsi="Times New Roman"/>
                <w:sz w:val="18"/>
                <w:szCs w:val="18"/>
                <w:b w:val="1"/>
                <w:bCs w:val="1"/>
                <w:color w:val="FFFFFF"/>
                <w:w w:val="99"/>
              </w:rPr>
              <w:t>Total for PEO</w:t>
            </w:r>
          </w:p>
        </w:tc>
        <w:tc>
          <w:tcPr>
            <w:tcW w:w="2040" w:type="dxa"/>
            <w:vAlign w:val="bottom"/>
            <w:tcBorders>
              <w:right w:val="single" w:sz="8" w:color="auto"/>
            </w:tcBorders>
            <w:shd w:val="clear" w:color="auto" w:fill="4DC1E4"/>
          </w:tcPr>
          <w:p>
            <w:pPr>
              <w:jc w:val="center"/>
              <w:ind w:left="30"/>
              <w:spacing w:after="0" w:line="236" w:lineRule="exact"/>
              <w:rPr>
                <w:sz w:val="20"/>
                <w:szCs w:val="20"/>
                <w:color w:val="auto"/>
              </w:rPr>
            </w:pPr>
            <w:r>
              <w:rPr>
                <w:rFonts w:ascii="Times New Roman" w:cs="Times New Roman" w:eastAsia="Times New Roman" w:hAnsi="Times New Roman"/>
                <w:sz w:val="18"/>
                <w:szCs w:val="18"/>
                <w:b w:val="1"/>
                <w:bCs w:val="1"/>
                <w:color w:val="FFFFFF"/>
                <w:w w:val="97"/>
              </w:rPr>
              <w:t xml:space="preserve">Equity Awards </w:t>
            </w:r>
            <w:r>
              <w:rPr>
                <w:rFonts w:ascii="Times New Roman" w:cs="Times New Roman" w:eastAsia="Times New Roman" w:hAnsi="Times New Roman"/>
                <w:sz w:val="24"/>
                <w:szCs w:val="24"/>
                <w:b w:val="1"/>
                <w:bCs w:val="1"/>
                <w:color w:val="FFFFFF"/>
                <w:w w:val="97"/>
                <w:vertAlign w:val="superscript"/>
              </w:rPr>
              <w:t>(a)</w:t>
            </w:r>
          </w:p>
        </w:tc>
        <w:tc>
          <w:tcPr>
            <w:tcW w:w="2080" w:type="dxa"/>
            <w:vAlign w:val="bottom"/>
            <w:tcBorders>
              <w:right w:val="single" w:sz="8" w:color="auto"/>
            </w:tcBorders>
            <w:shd w:val="clear" w:color="auto" w:fill="4DC1E4"/>
          </w:tcPr>
          <w:p>
            <w:pPr>
              <w:jc w:val="center"/>
              <w:ind w:left="10"/>
              <w:spacing w:after="0" w:line="236" w:lineRule="exact"/>
              <w:rPr>
                <w:sz w:val="20"/>
                <w:szCs w:val="20"/>
                <w:color w:val="auto"/>
              </w:rPr>
            </w:pPr>
            <w:r>
              <w:rPr>
                <w:rFonts w:ascii="Times New Roman" w:cs="Times New Roman" w:eastAsia="Times New Roman" w:hAnsi="Times New Roman"/>
                <w:sz w:val="18"/>
                <w:szCs w:val="18"/>
                <w:b w:val="1"/>
                <w:bCs w:val="1"/>
                <w:color w:val="FFFFFF"/>
                <w:w w:val="96"/>
              </w:rPr>
              <w:t xml:space="preserve">Adjustments </w:t>
            </w:r>
            <w:r>
              <w:rPr>
                <w:rFonts w:ascii="Times New Roman" w:cs="Times New Roman" w:eastAsia="Times New Roman" w:hAnsi="Times New Roman"/>
                <w:sz w:val="24"/>
                <w:szCs w:val="24"/>
                <w:b w:val="1"/>
                <w:bCs w:val="1"/>
                <w:color w:val="FFFFFF"/>
                <w:w w:val="96"/>
                <w:vertAlign w:val="superscript"/>
              </w:rPr>
              <w:t>(b)</w:t>
            </w:r>
          </w:p>
        </w:tc>
        <w:tc>
          <w:tcPr>
            <w:tcW w:w="2080" w:type="dxa"/>
            <w:vAlign w:val="bottom"/>
            <w:tcBorders>
              <w:right w:val="single" w:sz="8" w:color="auto"/>
            </w:tcBorders>
            <w:shd w:val="clear" w:color="auto" w:fill="4DC1E4"/>
          </w:tcPr>
          <w:p>
            <w:pPr>
              <w:jc w:val="center"/>
              <w:ind w:left="10"/>
              <w:spacing w:after="0"/>
              <w:rPr>
                <w:sz w:val="20"/>
                <w:szCs w:val="20"/>
                <w:color w:val="auto"/>
              </w:rPr>
            </w:pPr>
            <w:r>
              <w:rPr>
                <w:rFonts w:ascii="Times New Roman" w:cs="Times New Roman" w:eastAsia="Times New Roman" w:hAnsi="Times New Roman"/>
                <w:sz w:val="18"/>
                <w:szCs w:val="18"/>
                <w:b w:val="1"/>
                <w:bCs w:val="1"/>
                <w:color w:val="FFFFFF"/>
              </w:rPr>
              <w:t>Actually Paid to PEO</w:t>
            </w:r>
          </w:p>
        </w:tc>
      </w:tr>
      <w:tr>
        <w:trPr>
          <w:trHeight w:val="284"/>
        </w:trPr>
        <w:tc>
          <w:tcPr>
            <w:tcW w:w="1520" w:type="dxa"/>
            <w:vAlign w:val="bottom"/>
            <w:tcBorders>
              <w:left w:val="single" w:sz="8" w:color="auto"/>
              <w:bottom w:val="single" w:sz="8" w:color="4DC1E4"/>
              <w:right w:val="single" w:sz="8" w:color="auto"/>
            </w:tcBorders>
            <w:shd w:val="clear" w:color="auto" w:fill="4DC1E4"/>
          </w:tcPr>
          <w:p>
            <w:pPr>
              <w:jc w:val="right"/>
              <w:ind w:right="490"/>
              <w:spacing w:after="0"/>
              <w:rPr>
                <w:sz w:val="20"/>
                <w:szCs w:val="20"/>
                <w:color w:val="auto"/>
              </w:rPr>
            </w:pPr>
            <w:r>
              <w:rPr>
                <w:rFonts w:ascii="Times New Roman" w:cs="Times New Roman" w:eastAsia="Times New Roman" w:hAnsi="Times New Roman"/>
                <w:sz w:val="18"/>
                <w:szCs w:val="18"/>
                <w:b w:val="1"/>
                <w:bCs w:val="1"/>
                <w:color w:val="FFFFFF"/>
              </w:rPr>
              <w:t>Year</w:t>
            </w:r>
          </w:p>
        </w:tc>
        <w:tc>
          <w:tcPr>
            <w:tcW w:w="2020" w:type="dxa"/>
            <w:vAlign w:val="bottom"/>
            <w:tcBorders>
              <w:bottom w:val="single" w:sz="8" w:color="4DC1E4"/>
              <w:right w:val="single" w:sz="8" w:color="auto"/>
            </w:tcBorders>
            <w:shd w:val="clear" w:color="auto" w:fill="4DC1E4"/>
          </w:tcPr>
          <w:p>
            <w:pPr>
              <w:jc w:val="center"/>
              <w:ind w:left="30"/>
              <w:spacing w:after="0"/>
              <w:rPr>
                <w:sz w:val="20"/>
                <w:szCs w:val="20"/>
                <w:color w:val="auto"/>
              </w:rPr>
            </w:pPr>
            <w:r>
              <w:rPr>
                <w:rFonts w:ascii="Times New Roman" w:cs="Times New Roman" w:eastAsia="Times New Roman" w:hAnsi="Times New Roman"/>
                <w:sz w:val="18"/>
                <w:szCs w:val="18"/>
                <w:b w:val="1"/>
                <w:bCs w:val="1"/>
                <w:color w:val="FFFFFF"/>
              </w:rPr>
              <w:t>($)</w:t>
            </w:r>
          </w:p>
        </w:tc>
        <w:tc>
          <w:tcPr>
            <w:tcW w:w="2040" w:type="dxa"/>
            <w:vAlign w:val="bottom"/>
            <w:tcBorders>
              <w:bottom w:val="single" w:sz="8" w:color="4DC1E4"/>
              <w:right w:val="single" w:sz="8" w:color="auto"/>
            </w:tcBorders>
            <w:shd w:val="clear" w:color="auto" w:fill="4DC1E4"/>
          </w:tcPr>
          <w:p>
            <w:pPr>
              <w:jc w:val="center"/>
              <w:ind w:left="30"/>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2080" w:type="dxa"/>
            <w:vAlign w:val="bottom"/>
            <w:tcBorders>
              <w:bottom w:val="single" w:sz="8" w:color="4DC1E4"/>
              <w:right w:val="single" w:sz="8" w:color="auto"/>
            </w:tcBorders>
            <w:shd w:val="clear" w:color="auto" w:fill="4DC1E4"/>
          </w:tcPr>
          <w:p>
            <w:pPr>
              <w:jc w:val="center"/>
              <w:ind w:left="10"/>
              <w:spacing w:after="0"/>
              <w:rPr>
                <w:sz w:val="20"/>
                <w:szCs w:val="20"/>
                <w:color w:val="auto"/>
              </w:rPr>
            </w:pPr>
            <w:r>
              <w:rPr>
                <w:rFonts w:ascii="Times New Roman" w:cs="Times New Roman" w:eastAsia="Times New Roman" w:hAnsi="Times New Roman"/>
                <w:sz w:val="18"/>
                <w:szCs w:val="18"/>
                <w:b w:val="1"/>
                <w:bCs w:val="1"/>
                <w:color w:val="FFFFFF"/>
              </w:rPr>
              <w:t>($)</w:t>
            </w:r>
          </w:p>
        </w:tc>
        <w:tc>
          <w:tcPr>
            <w:tcW w:w="2080" w:type="dxa"/>
            <w:vAlign w:val="bottom"/>
            <w:tcBorders>
              <w:bottom w:val="single" w:sz="8" w:color="4DC1E4"/>
              <w:right w:val="single" w:sz="8" w:color="auto"/>
            </w:tcBorders>
            <w:shd w:val="clear" w:color="auto" w:fill="4DC1E4"/>
          </w:tcPr>
          <w:p>
            <w:pPr>
              <w:jc w:val="center"/>
              <w:ind w:left="10"/>
              <w:spacing w:after="0"/>
              <w:rPr>
                <w:sz w:val="20"/>
                <w:szCs w:val="20"/>
                <w:color w:val="auto"/>
              </w:rPr>
            </w:pPr>
            <w:r>
              <w:rPr>
                <w:rFonts w:ascii="Times New Roman" w:cs="Times New Roman" w:eastAsia="Times New Roman" w:hAnsi="Times New Roman"/>
                <w:sz w:val="18"/>
                <w:szCs w:val="18"/>
                <w:b w:val="1"/>
                <w:bCs w:val="1"/>
                <w:color w:val="FFFFFF"/>
              </w:rPr>
              <w:t>($)</w:t>
            </w:r>
          </w:p>
        </w:tc>
      </w:tr>
      <w:tr>
        <w:trPr>
          <w:trHeight w:val="209"/>
        </w:trPr>
        <w:tc>
          <w:tcPr>
            <w:tcW w:w="1520" w:type="dxa"/>
            <w:vAlign w:val="bottom"/>
            <w:tcBorders>
              <w:top w:val="single" w:sz="8" w:color="auto"/>
              <w:left w:val="single" w:sz="8" w:color="auto"/>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(a)</w:t>
            </w:r>
          </w:p>
        </w:tc>
        <w:tc>
          <w:tcPr>
            <w:tcW w:w="2020" w:type="dxa"/>
            <w:vAlign w:val="bottom"/>
            <w:tcBorders>
              <w:top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040" w:type="dxa"/>
            <w:vAlign w:val="bottom"/>
            <w:tcBorders>
              <w:top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2080" w:type="dxa"/>
            <w:vAlign w:val="bottom"/>
            <w:tcBorders>
              <w:top w:val="single" w:sz="8" w:color="auto"/>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2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w:t>
            </w:r>
          </w:p>
        </w:tc>
      </w:tr>
      <w:tr>
        <w:trPr>
          <w:trHeight w:val="209"/>
        </w:trPr>
        <w:tc>
          <w:tcPr>
            <w:tcW w:w="1520" w:type="dxa"/>
            <w:vAlign w:val="bottom"/>
            <w:tcBorders>
              <w:left w:val="single" w:sz="8" w:color="auto"/>
              <w:bottom w:val="single" w:sz="8" w:color="auto"/>
              <w:right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2025</w:t>
            </w:r>
          </w:p>
        </w:tc>
        <w:tc>
          <w:tcPr>
            <w:tcW w:w="2020" w:type="dxa"/>
            <w:vAlign w:val="bottom"/>
            <w:tcBorders>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$3,526,423</w:t>
            </w:r>
          </w:p>
        </w:tc>
        <w:tc>
          <w:tcPr>
            <w:tcW w:w="2040" w:type="dxa"/>
            <w:vAlign w:val="bottom"/>
            <w:tcBorders>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$(2,550,020)</w:t>
            </w:r>
          </w:p>
        </w:tc>
        <w:tc>
          <w:tcPr>
            <w:tcW w:w="20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$1,160,697</w:t>
            </w:r>
          </w:p>
        </w:tc>
        <w:tc>
          <w:tcPr>
            <w:tcW w:w="20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$2,137,100</w:t>
            </w:r>
          </w:p>
        </w:tc>
      </w:tr>
      <w:tr>
        <w:trPr>
          <w:trHeight w:val="210"/>
        </w:trPr>
        <w:tc>
          <w:tcPr>
            <w:tcW w:w="1520" w:type="dxa"/>
            <w:vAlign w:val="bottom"/>
            <w:tcBorders>
              <w:left w:val="single" w:sz="8" w:color="auto"/>
              <w:bottom w:val="single" w:sz="8" w:color="auto"/>
              <w:right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2024</w:t>
            </w:r>
          </w:p>
        </w:tc>
        <w:tc>
          <w:tcPr>
            <w:tcW w:w="2020" w:type="dxa"/>
            <w:vAlign w:val="bottom"/>
            <w:tcBorders>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$2,511,649</w:t>
            </w:r>
          </w:p>
        </w:tc>
        <w:tc>
          <w:tcPr>
            <w:tcW w:w="2040" w:type="dxa"/>
            <w:vAlign w:val="bottom"/>
            <w:tcBorders>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$(1,605,991)</w:t>
            </w:r>
          </w:p>
        </w:tc>
        <w:tc>
          <w:tcPr>
            <w:tcW w:w="20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$1,533,869</w:t>
            </w:r>
          </w:p>
        </w:tc>
        <w:tc>
          <w:tcPr>
            <w:tcW w:w="20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$2,439,527</w:t>
            </w:r>
          </w:p>
        </w:tc>
      </w:tr>
      <w:tr>
        <w:trPr>
          <w:trHeight w:val="209"/>
        </w:trPr>
        <w:tc>
          <w:tcPr>
            <w:tcW w:w="1520" w:type="dxa"/>
            <w:vAlign w:val="bottom"/>
            <w:tcBorders>
              <w:left w:val="single" w:sz="8" w:color="auto"/>
              <w:bottom w:val="single" w:sz="8" w:color="auto"/>
              <w:right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2023</w:t>
            </w:r>
          </w:p>
        </w:tc>
        <w:tc>
          <w:tcPr>
            <w:tcW w:w="2020" w:type="dxa"/>
            <w:vAlign w:val="bottom"/>
            <w:tcBorders>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$3,137,431</w:t>
            </w:r>
          </w:p>
        </w:tc>
        <w:tc>
          <w:tcPr>
            <w:tcW w:w="2040" w:type="dxa"/>
            <w:vAlign w:val="bottom"/>
            <w:tcBorders>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$(2,272,433)</w:t>
            </w:r>
          </w:p>
        </w:tc>
        <w:tc>
          <w:tcPr>
            <w:tcW w:w="20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$2,396,659</w:t>
            </w:r>
          </w:p>
        </w:tc>
        <w:tc>
          <w:tcPr>
            <w:tcW w:w="20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$3,261,658</w:t>
            </w:r>
          </w:p>
        </w:tc>
      </w:tr>
    </w:tbl>
    <w:p>
      <w:pPr>
        <w:spacing w:after="0" w:line="198" w:lineRule="exact"/>
        <w:rPr>
          <w:sz w:val="20"/>
          <w:szCs w:val="20"/>
          <w:color w:val="auto"/>
        </w:rPr>
      </w:pPr>
    </w:p>
    <w:p>
      <w:pPr>
        <w:ind w:left="660" w:hanging="656"/>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fair value of equity awards represents the total of the amounts reported in the “Stock Awards” and “Option Awards” columns in the Summary Compensation Table for the applicable year.</w:t>
      </w:r>
    </w:p>
    <w:p>
      <w:pPr>
        <w:jc w:val="both"/>
        <w:ind w:left="660" w:hanging="656"/>
        <w:spacing w:after="0" w:line="25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same applicable year, the addition of the fair value as of the vesting date; (iv) for awards granted in prior years that vest in the applicable year, the amount equal to the change in fair value as of the vesting date (from the end of the prior fiscal year); (v) for awards granted in prior years that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 The amounts deducted or added in calculating the equity award adjustments are as follows:</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700" w:type="dxa"/>
            <w:vAlign w:val="bottom"/>
            <w:tcBorders>
              <w:top w:val="single" w:sz="8" w:color="auto"/>
              <w:left w:val="single" w:sz="8" w:color="auto"/>
              <w:right w:val="single" w:sz="8" w:color="auto"/>
            </w:tcBorders>
            <w:shd w:val="clear" w:color="auto" w:fill="4DC1E4"/>
          </w:tcPr>
          <w:p>
            <w:pPr>
              <w:spacing w:after="0"/>
              <w:rPr>
                <w:sz w:val="17"/>
                <w:szCs w:val="17"/>
                <w:color w:val="auto"/>
              </w:rPr>
            </w:pPr>
          </w:p>
        </w:tc>
        <w:tc>
          <w:tcPr>
            <w:tcW w:w="1220" w:type="dxa"/>
            <w:vAlign w:val="bottom"/>
            <w:tcBorders>
              <w:top w:val="single" w:sz="8" w:color="auto"/>
              <w:right w:val="single" w:sz="8" w:color="auto"/>
            </w:tcBorders>
            <w:shd w:val="clear" w:color="auto" w:fill="4DC1E4"/>
          </w:tcPr>
          <w:p>
            <w:pPr>
              <w:spacing w:after="0"/>
              <w:rPr>
                <w:sz w:val="17"/>
                <w:szCs w:val="17"/>
                <w:color w:val="auto"/>
              </w:rPr>
            </w:pPr>
          </w:p>
        </w:tc>
        <w:tc>
          <w:tcPr>
            <w:tcW w:w="1280" w:type="dxa"/>
            <w:vAlign w:val="bottom"/>
            <w:tcBorders>
              <w:top w:val="single" w:sz="8" w:color="auto"/>
              <w:right w:val="single" w:sz="8" w:color="auto"/>
            </w:tcBorders>
            <w:shd w:val="clear" w:color="auto" w:fill="4DC1E4"/>
          </w:tcPr>
          <w:p>
            <w:pPr>
              <w:spacing w:after="0"/>
              <w:rPr>
                <w:sz w:val="17"/>
                <w:szCs w:val="17"/>
                <w:color w:val="auto"/>
              </w:rPr>
            </w:pPr>
          </w:p>
        </w:tc>
        <w:tc>
          <w:tcPr>
            <w:tcW w:w="1280" w:type="dxa"/>
            <w:vAlign w:val="bottom"/>
            <w:tcBorders>
              <w:top w:val="single" w:sz="8" w:color="auto"/>
              <w:right w:val="single" w:sz="8" w:color="auto"/>
            </w:tcBorders>
            <w:shd w:val="clear" w:color="auto" w:fill="4DC1E4"/>
          </w:tcPr>
          <w:p>
            <w:pPr>
              <w:spacing w:after="0"/>
              <w:rPr>
                <w:sz w:val="17"/>
                <w:szCs w:val="17"/>
                <w:color w:val="auto"/>
              </w:rPr>
            </w:pPr>
          </w:p>
        </w:tc>
        <w:tc>
          <w:tcPr>
            <w:tcW w:w="1220" w:type="dxa"/>
            <w:vAlign w:val="bottom"/>
            <w:tcBorders>
              <w:top w:val="single" w:sz="8" w:color="auto"/>
              <w:right w:val="single" w:sz="8" w:color="auto"/>
            </w:tcBorders>
            <w:shd w:val="clear" w:color="auto" w:fill="4DC1E4"/>
          </w:tcPr>
          <w:p>
            <w:pPr>
              <w:spacing w:after="0"/>
              <w:rPr>
                <w:sz w:val="17"/>
                <w:szCs w:val="17"/>
                <w:color w:val="auto"/>
              </w:rPr>
            </w:pPr>
          </w:p>
        </w:tc>
        <w:tc>
          <w:tcPr>
            <w:tcW w:w="1340" w:type="dxa"/>
            <w:vAlign w:val="bottom"/>
            <w:tcBorders>
              <w:top w:val="single" w:sz="8" w:color="auto"/>
              <w:right w:val="single" w:sz="8" w:color="auto"/>
            </w:tcBorders>
            <w:shd w:val="clear" w:color="auto" w:fill="4DC1E4"/>
          </w:tcPr>
          <w:p>
            <w:pPr>
              <w:spacing w:after="0"/>
              <w:rPr>
                <w:sz w:val="17"/>
                <w:szCs w:val="17"/>
                <w:color w:val="auto"/>
              </w:rPr>
            </w:pPr>
          </w:p>
        </w:tc>
        <w:tc>
          <w:tcPr>
            <w:tcW w:w="1360" w:type="dxa"/>
            <w:vAlign w:val="bottom"/>
            <w:tcBorders>
              <w:top w:val="single" w:sz="8" w:color="auto"/>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Value of</w:t>
            </w:r>
          </w:p>
        </w:tc>
        <w:tc>
          <w:tcPr>
            <w:tcW w:w="1340" w:type="dxa"/>
            <w:vAlign w:val="bottom"/>
            <w:tcBorders>
              <w:top w:val="single" w:sz="8" w:color="auto"/>
              <w:right w:val="single" w:sz="8" w:color="auto"/>
            </w:tcBorders>
            <w:shd w:val="clear" w:color="auto" w:fill="4DC1E4"/>
          </w:tcPr>
          <w:p>
            <w:pPr>
              <w:spacing w:after="0"/>
              <w:rPr>
                <w:sz w:val="17"/>
                <w:szCs w:val="17"/>
                <w:color w:val="auto"/>
              </w:rPr>
            </w:pPr>
          </w:p>
        </w:tc>
      </w:tr>
      <w:tr>
        <w:trPr>
          <w:trHeight w:val="203"/>
        </w:trPr>
        <w:tc>
          <w:tcPr>
            <w:tcW w:w="700" w:type="dxa"/>
            <w:vAlign w:val="bottom"/>
            <w:tcBorders>
              <w:left w:val="single" w:sz="8" w:color="auto"/>
              <w:right w:val="single" w:sz="8" w:color="auto"/>
            </w:tcBorders>
            <w:shd w:val="clear" w:color="auto" w:fill="4DC1E4"/>
          </w:tcPr>
          <w:p>
            <w:pPr>
              <w:spacing w:after="0"/>
              <w:rPr>
                <w:sz w:val="17"/>
                <w:szCs w:val="17"/>
                <w:color w:val="auto"/>
              </w:rPr>
            </w:pPr>
          </w:p>
        </w:tc>
        <w:tc>
          <w:tcPr>
            <w:tcW w:w="1220" w:type="dxa"/>
            <w:vAlign w:val="bottom"/>
            <w:tcBorders>
              <w:right w:val="single" w:sz="8" w:color="auto"/>
            </w:tcBorders>
            <w:shd w:val="clear" w:color="auto" w:fill="4DC1E4"/>
          </w:tcPr>
          <w:p>
            <w:pPr>
              <w:spacing w:after="0"/>
              <w:rPr>
                <w:sz w:val="17"/>
                <w:szCs w:val="17"/>
                <w:color w:val="auto"/>
              </w:rPr>
            </w:pPr>
          </w:p>
        </w:tc>
        <w:tc>
          <w:tcPr>
            <w:tcW w:w="1280" w:type="dxa"/>
            <w:vAlign w:val="bottom"/>
            <w:tcBorders>
              <w:right w:val="single" w:sz="8" w:color="auto"/>
            </w:tcBorders>
            <w:shd w:val="clear" w:color="auto" w:fill="4DC1E4"/>
          </w:tcPr>
          <w:p>
            <w:pPr>
              <w:spacing w:after="0"/>
              <w:rPr>
                <w:sz w:val="17"/>
                <w:szCs w:val="17"/>
                <w:color w:val="auto"/>
              </w:rPr>
            </w:pPr>
          </w:p>
        </w:tc>
        <w:tc>
          <w:tcPr>
            <w:tcW w:w="1280" w:type="dxa"/>
            <w:vAlign w:val="bottom"/>
            <w:tcBorders>
              <w:right w:val="single" w:sz="8" w:color="auto"/>
            </w:tcBorders>
            <w:shd w:val="clear" w:color="auto" w:fill="4DC1E4"/>
          </w:tcPr>
          <w:p>
            <w:pPr>
              <w:spacing w:after="0"/>
              <w:rPr>
                <w:sz w:val="17"/>
                <w:szCs w:val="17"/>
                <w:color w:val="auto"/>
              </w:rPr>
            </w:pPr>
          </w:p>
        </w:tc>
        <w:tc>
          <w:tcPr>
            <w:tcW w:w="1220" w:type="dxa"/>
            <w:vAlign w:val="bottom"/>
            <w:tcBorders>
              <w:right w:val="single" w:sz="8" w:color="auto"/>
            </w:tcBorders>
            <w:shd w:val="clear" w:color="auto" w:fill="4DC1E4"/>
          </w:tcPr>
          <w:p>
            <w:pPr>
              <w:spacing w:after="0"/>
              <w:rPr>
                <w:sz w:val="17"/>
                <w:szCs w:val="17"/>
                <w:color w:val="auto"/>
              </w:rPr>
            </w:pPr>
          </w:p>
        </w:tc>
        <w:tc>
          <w:tcPr>
            <w:tcW w:w="1340" w:type="dxa"/>
            <w:vAlign w:val="bottom"/>
            <w:tcBorders>
              <w:right w:val="single" w:sz="8" w:color="auto"/>
            </w:tcBorders>
            <w:shd w:val="clear" w:color="auto" w:fill="4DC1E4"/>
          </w:tcPr>
          <w:p>
            <w:pPr>
              <w:spacing w:after="0"/>
              <w:rPr>
                <w:sz w:val="17"/>
                <w:szCs w:val="17"/>
                <w:color w:val="auto"/>
              </w:rPr>
            </w:pPr>
          </w:p>
        </w:tc>
        <w:tc>
          <w:tcPr>
            <w:tcW w:w="13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Dividends or</w:t>
            </w:r>
          </w:p>
        </w:tc>
        <w:tc>
          <w:tcPr>
            <w:tcW w:w="1340" w:type="dxa"/>
            <w:vAlign w:val="bottom"/>
            <w:tcBorders>
              <w:right w:val="single" w:sz="8" w:color="auto"/>
            </w:tcBorders>
            <w:shd w:val="clear" w:color="auto" w:fill="4DC1E4"/>
          </w:tcPr>
          <w:p>
            <w:pPr>
              <w:spacing w:after="0"/>
              <w:rPr>
                <w:sz w:val="17"/>
                <w:szCs w:val="17"/>
                <w:color w:val="auto"/>
              </w:rPr>
            </w:pPr>
          </w:p>
        </w:tc>
      </w:tr>
      <w:tr>
        <w:trPr>
          <w:trHeight w:val="203"/>
        </w:trPr>
        <w:tc>
          <w:tcPr>
            <w:tcW w:w="700" w:type="dxa"/>
            <w:vAlign w:val="bottom"/>
            <w:tcBorders>
              <w:left w:val="single" w:sz="8" w:color="auto"/>
              <w:right w:val="single" w:sz="8" w:color="auto"/>
            </w:tcBorders>
            <w:shd w:val="clear" w:color="auto" w:fill="4DC1E4"/>
          </w:tcPr>
          <w:p>
            <w:pPr>
              <w:spacing w:after="0"/>
              <w:rPr>
                <w:sz w:val="17"/>
                <w:szCs w:val="17"/>
                <w:color w:val="auto"/>
              </w:rPr>
            </w:pPr>
          </w:p>
        </w:tc>
        <w:tc>
          <w:tcPr>
            <w:tcW w:w="1220" w:type="dxa"/>
            <w:vAlign w:val="bottom"/>
            <w:tcBorders>
              <w:right w:val="single" w:sz="8" w:color="auto"/>
            </w:tcBorders>
            <w:shd w:val="clear" w:color="auto" w:fill="4DC1E4"/>
          </w:tcPr>
          <w:p>
            <w:pPr>
              <w:spacing w:after="0"/>
              <w:rPr>
                <w:sz w:val="17"/>
                <w:szCs w:val="17"/>
                <w:color w:val="auto"/>
              </w:rPr>
            </w:pPr>
          </w:p>
        </w:tc>
        <w:tc>
          <w:tcPr>
            <w:tcW w:w="12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Year over</w:t>
            </w:r>
          </w:p>
        </w:tc>
        <w:tc>
          <w:tcPr>
            <w:tcW w:w="1280" w:type="dxa"/>
            <w:vAlign w:val="bottom"/>
            <w:tcBorders>
              <w:right w:val="single" w:sz="8" w:color="auto"/>
            </w:tcBorders>
            <w:shd w:val="clear" w:color="auto" w:fill="4DC1E4"/>
          </w:tcPr>
          <w:p>
            <w:pPr>
              <w:spacing w:after="0"/>
              <w:rPr>
                <w:sz w:val="17"/>
                <w:szCs w:val="17"/>
                <w:color w:val="auto"/>
              </w:rPr>
            </w:pP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Year over</w:t>
            </w:r>
          </w:p>
        </w:tc>
        <w:tc>
          <w:tcPr>
            <w:tcW w:w="13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Fair Value at</w:t>
            </w:r>
          </w:p>
        </w:tc>
        <w:tc>
          <w:tcPr>
            <w:tcW w:w="13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other Earnings</w:t>
            </w:r>
          </w:p>
        </w:tc>
        <w:tc>
          <w:tcPr>
            <w:tcW w:w="1340" w:type="dxa"/>
            <w:vAlign w:val="bottom"/>
            <w:tcBorders>
              <w:right w:val="single" w:sz="8" w:color="auto"/>
            </w:tcBorders>
            <w:shd w:val="clear" w:color="auto" w:fill="4DC1E4"/>
          </w:tcPr>
          <w:p>
            <w:pPr>
              <w:spacing w:after="0"/>
              <w:rPr>
                <w:sz w:val="17"/>
                <w:szCs w:val="17"/>
                <w:color w:val="auto"/>
              </w:rPr>
            </w:pPr>
          </w:p>
        </w:tc>
      </w:tr>
      <w:tr>
        <w:trPr>
          <w:trHeight w:val="203"/>
        </w:trPr>
        <w:tc>
          <w:tcPr>
            <w:tcW w:w="700" w:type="dxa"/>
            <w:vAlign w:val="bottom"/>
            <w:tcBorders>
              <w:left w:val="single" w:sz="8" w:color="auto"/>
              <w:right w:val="single" w:sz="8" w:color="auto"/>
            </w:tcBorders>
            <w:shd w:val="clear" w:color="auto" w:fill="4DC1E4"/>
          </w:tcPr>
          <w:p>
            <w:pPr>
              <w:spacing w:after="0"/>
              <w:rPr>
                <w:sz w:val="17"/>
                <w:szCs w:val="17"/>
                <w:color w:val="auto"/>
              </w:rPr>
            </w:pPr>
          </w:p>
        </w:tc>
        <w:tc>
          <w:tcPr>
            <w:tcW w:w="1220" w:type="dxa"/>
            <w:vAlign w:val="bottom"/>
            <w:tcBorders>
              <w:right w:val="single" w:sz="8" w:color="auto"/>
            </w:tcBorders>
            <w:shd w:val="clear" w:color="auto" w:fill="4DC1E4"/>
          </w:tcPr>
          <w:p>
            <w:pPr>
              <w:spacing w:after="0"/>
              <w:rPr>
                <w:sz w:val="17"/>
                <w:szCs w:val="17"/>
                <w:color w:val="auto"/>
              </w:rPr>
            </w:pPr>
          </w:p>
        </w:tc>
        <w:tc>
          <w:tcPr>
            <w:tcW w:w="12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Year Change</w:t>
            </w:r>
          </w:p>
        </w:tc>
        <w:tc>
          <w:tcPr>
            <w:tcW w:w="1280" w:type="dxa"/>
            <w:vAlign w:val="bottom"/>
            <w:tcBorders>
              <w:right w:val="single" w:sz="8" w:color="auto"/>
            </w:tcBorders>
            <w:shd w:val="clear" w:color="auto" w:fill="4DC1E4"/>
          </w:tcPr>
          <w:p>
            <w:pPr>
              <w:spacing w:after="0"/>
              <w:rPr>
                <w:sz w:val="17"/>
                <w:szCs w:val="17"/>
                <w:color w:val="auto"/>
              </w:rPr>
            </w:pP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Year Change in</w:t>
            </w:r>
          </w:p>
        </w:tc>
        <w:tc>
          <w:tcPr>
            <w:tcW w:w="13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the End of the</w:t>
            </w:r>
          </w:p>
        </w:tc>
        <w:tc>
          <w:tcPr>
            <w:tcW w:w="13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Paid on Stock</w:t>
            </w:r>
          </w:p>
        </w:tc>
        <w:tc>
          <w:tcPr>
            <w:tcW w:w="1340" w:type="dxa"/>
            <w:vAlign w:val="bottom"/>
            <w:tcBorders>
              <w:right w:val="single" w:sz="8" w:color="auto"/>
            </w:tcBorders>
            <w:shd w:val="clear" w:color="auto" w:fill="4DC1E4"/>
          </w:tcPr>
          <w:p>
            <w:pPr>
              <w:spacing w:after="0"/>
              <w:rPr>
                <w:sz w:val="17"/>
                <w:szCs w:val="17"/>
                <w:color w:val="auto"/>
              </w:rPr>
            </w:pPr>
          </w:p>
        </w:tc>
      </w:tr>
      <w:tr>
        <w:trPr>
          <w:trHeight w:val="203"/>
        </w:trPr>
        <w:tc>
          <w:tcPr>
            <w:tcW w:w="700" w:type="dxa"/>
            <w:vAlign w:val="bottom"/>
            <w:tcBorders>
              <w:left w:val="single" w:sz="8" w:color="auto"/>
              <w:right w:val="single" w:sz="8" w:color="auto"/>
            </w:tcBorders>
            <w:shd w:val="clear" w:color="auto" w:fill="4DC1E4"/>
          </w:tcPr>
          <w:p>
            <w:pPr>
              <w:spacing w:after="0"/>
              <w:rPr>
                <w:sz w:val="17"/>
                <w:szCs w:val="17"/>
                <w:color w:val="auto"/>
              </w:rPr>
            </w:pPr>
          </w:p>
        </w:tc>
        <w:tc>
          <w:tcPr>
            <w:tcW w:w="1220" w:type="dxa"/>
            <w:vAlign w:val="bottom"/>
            <w:tcBorders>
              <w:right w:val="single" w:sz="8" w:color="auto"/>
            </w:tcBorders>
            <w:shd w:val="clear" w:color="auto" w:fill="4DC1E4"/>
          </w:tcPr>
          <w:p>
            <w:pPr>
              <w:ind w:left="300"/>
              <w:spacing w:after="0"/>
              <w:rPr>
                <w:sz w:val="20"/>
                <w:szCs w:val="20"/>
                <w:color w:val="auto"/>
              </w:rPr>
            </w:pPr>
            <w:r>
              <w:rPr>
                <w:rFonts w:ascii="Times New Roman" w:cs="Times New Roman" w:eastAsia="Times New Roman" w:hAnsi="Times New Roman"/>
                <w:sz w:val="16"/>
                <w:szCs w:val="16"/>
                <w:b w:val="1"/>
                <w:bCs w:val="1"/>
                <w:color w:val="FFFFFF"/>
              </w:rPr>
              <w:t>Year End</w:t>
            </w:r>
          </w:p>
        </w:tc>
        <w:tc>
          <w:tcPr>
            <w:tcW w:w="12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in Fair Value</w:t>
            </w:r>
          </w:p>
        </w:tc>
        <w:tc>
          <w:tcPr>
            <w:tcW w:w="12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Fair Value</w:t>
            </w: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Fair Value</w:t>
            </w:r>
          </w:p>
        </w:tc>
        <w:tc>
          <w:tcPr>
            <w:tcW w:w="13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Prior</w:t>
            </w:r>
          </w:p>
        </w:tc>
        <w:tc>
          <w:tcPr>
            <w:tcW w:w="13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or Option</w:t>
            </w:r>
          </w:p>
        </w:tc>
        <w:tc>
          <w:tcPr>
            <w:tcW w:w="1340" w:type="dxa"/>
            <w:vAlign w:val="bottom"/>
            <w:tcBorders>
              <w:right w:val="single" w:sz="8" w:color="auto"/>
            </w:tcBorders>
            <w:shd w:val="clear" w:color="auto" w:fill="4DC1E4"/>
          </w:tcPr>
          <w:p>
            <w:pPr>
              <w:spacing w:after="0"/>
              <w:rPr>
                <w:sz w:val="17"/>
                <w:szCs w:val="17"/>
                <w:color w:val="auto"/>
              </w:rPr>
            </w:pPr>
          </w:p>
        </w:tc>
      </w:tr>
      <w:tr>
        <w:trPr>
          <w:trHeight w:val="203"/>
        </w:trPr>
        <w:tc>
          <w:tcPr>
            <w:tcW w:w="700" w:type="dxa"/>
            <w:vAlign w:val="bottom"/>
            <w:tcBorders>
              <w:left w:val="single" w:sz="8" w:color="auto"/>
              <w:right w:val="single" w:sz="8" w:color="auto"/>
            </w:tcBorders>
            <w:shd w:val="clear" w:color="auto" w:fill="4DC1E4"/>
          </w:tcPr>
          <w:p>
            <w:pPr>
              <w:spacing w:after="0"/>
              <w:rPr>
                <w:sz w:val="17"/>
                <w:szCs w:val="17"/>
                <w:color w:val="auto"/>
              </w:rPr>
            </w:pP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Fair Value</w:t>
            </w:r>
          </w:p>
        </w:tc>
        <w:tc>
          <w:tcPr>
            <w:tcW w:w="12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of Outstanding</w:t>
            </w:r>
          </w:p>
        </w:tc>
        <w:tc>
          <w:tcPr>
            <w:tcW w:w="12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as of Vesting</w:t>
            </w: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of Equity</w:t>
            </w:r>
          </w:p>
        </w:tc>
        <w:tc>
          <w:tcPr>
            <w:tcW w:w="13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Year of Equity</w:t>
            </w:r>
          </w:p>
        </w:tc>
        <w:tc>
          <w:tcPr>
            <w:tcW w:w="13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Awards</w:t>
            </w:r>
          </w:p>
        </w:tc>
        <w:tc>
          <w:tcPr>
            <w:tcW w:w="1340" w:type="dxa"/>
            <w:vAlign w:val="bottom"/>
            <w:tcBorders>
              <w:right w:val="single" w:sz="8" w:color="auto"/>
            </w:tcBorders>
            <w:shd w:val="clear" w:color="auto" w:fill="4DC1E4"/>
          </w:tcPr>
          <w:p>
            <w:pPr>
              <w:spacing w:after="0"/>
              <w:rPr>
                <w:sz w:val="17"/>
                <w:szCs w:val="17"/>
                <w:color w:val="auto"/>
              </w:rPr>
            </w:pPr>
          </w:p>
        </w:tc>
      </w:tr>
      <w:tr>
        <w:trPr>
          <w:trHeight w:val="203"/>
        </w:trPr>
        <w:tc>
          <w:tcPr>
            <w:tcW w:w="700" w:type="dxa"/>
            <w:vAlign w:val="bottom"/>
            <w:tcBorders>
              <w:left w:val="single" w:sz="8" w:color="auto"/>
              <w:right w:val="single" w:sz="8" w:color="auto"/>
            </w:tcBorders>
            <w:shd w:val="clear" w:color="auto" w:fill="4DC1E4"/>
          </w:tcPr>
          <w:p>
            <w:pPr>
              <w:spacing w:after="0"/>
              <w:rPr>
                <w:sz w:val="17"/>
                <w:szCs w:val="17"/>
                <w:color w:val="auto"/>
              </w:rPr>
            </w:pP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of Outstanding</w:t>
            </w:r>
          </w:p>
        </w:tc>
        <w:tc>
          <w:tcPr>
            <w:tcW w:w="12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and Unvested</w:t>
            </w:r>
          </w:p>
        </w:tc>
        <w:tc>
          <w:tcPr>
            <w:tcW w:w="12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Date of Equity</w:t>
            </w: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Awards</w:t>
            </w:r>
          </w:p>
        </w:tc>
        <w:tc>
          <w:tcPr>
            <w:tcW w:w="13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Awards that</w:t>
            </w:r>
          </w:p>
        </w:tc>
        <w:tc>
          <w:tcPr>
            <w:tcW w:w="13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not Otherwise</w:t>
            </w:r>
          </w:p>
        </w:tc>
        <w:tc>
          <w:tcPr>
            <w:tcW w:w="1340" w:type="dxa"/>
            <w:vAlign w:val="bottom"/>
            <w:tcBorders>
              <w:right w:val="single" w:sz="8" w:color="auto"/>
            </w:tcBorders>
            <w:shd w:val="clear" w:color="auto" w:fill="4DC1E4"/>
          </w:tcPr>
          <w:p>
            <w:pPr>
              <w:spacing w:after="0"/>
              <w:rPr>
                <w:sz w:val="17"/>
                <w:szCs w:val="17"/>
                <w:color w:val="auto"/>
              </w:rPr>
            </w:pPr>
          </w:p>
        </w:tc>
      </w:tr>
      <w:tr>
        <w:trPr>
          <w:trHeight w:val="203"/>
        </w:trPr>
        <w:tc>
          <w:tcPr>
            <w:tcW w:w="700" w:type="dxa"/>
            <w:vAlign w:val="bottom"/>
            <w:tcBorders>
              <w:left w:val="single" w:sz="8" w:color="auto"/>
              <w:right w:val="single" w:sz="8" w:color="auto"/>
            </w:tcBorders>
            <w:shd w:val="clear" w:color="auto" w:fill="4DC1E4"/>
          </w:tcPr>
          <w:p>
            <w:pPr>
              <w:spacing w:after="0"/>
              <w:rPr>
                <w:sz w:val="17"/>
                <w:szCs w:val="17"/>
                <w:color w:val="auto"/>
              </w:rPr>
            </w:pP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and Unvested</w:t>
            </w:r>
          </w:p>
        </w:tc>
        <w:tc>
          <w:tcPr>
            <w:tcW w:w="12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Equity Awards</w:t>
            </w:r>
          </w:p>
        </w:tc>
        <w:tc>
          <w:tcPr>
            <w:tcW w:w="12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Awards</w:t>
            </w: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Granted</w:t>
            </w:r>
          </w:p>
        </w:tc>
        <w:tc>
          <w:tcPr>
            <w:tcW w:w="13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Failed to</w:t>
            </w:r>
          </w:p>
        </w:tc>
        <w:tc>
          <w:tcPr>
            <w:tcW w:w="13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Reflected in</w:t>
            </w:r>
          </w:p>
        </w:tc>
        <w:tc>
          <w:tcPr>
            <w:tcW w:w="1340" w:type="dxa"/>
            <w:vAlign w:val="bottom"/>
            <w:tcBorders>
              <w:right w:val="single" w:sz="8" w:color="auto"/>
            </w:tcBorders>
            <w:shd w:val="clear" w:color="auto" w:fill="4DC1E4"/>
          </w:tcPr>
          <w:p>
            <w:pPr>
              <w:spacing w:after="0"/>
              <w:rPr>
                <w:sz w:val="17"/>
                <w:szCs w:val="17"/>
                <w:color w:val="auto"/>
              </w:rPr>
            </w:pPr>
          </w:p>
        </w:tc>
      </w:tr>
      <w:tr>
        <w:trPr>
          <w:trHeight w:val="203"/>
        </w:trPr>
        <w:tc>
          <w:tcPr>
            <w:tcW w:w="700" w:type="dxa"/>
            <w:vAlign w:val="bottom"/>
            <w:tcBorders>
              <w:left w:val="single" w:sz="8" w:color="auto"/>
              <w:right w:val="single" w:sz="8" w:color="auto"/>
            </w:tcBorders>
            <w:shd w:val="clear" w:color="auto" w:fill="4DC1E4"/>
          </w:tcPr>
          <w:p>
            <w:pPr>
              <w:spacing w:after="0"/>
              <w:rPr>
                <w:sz w:val="17"/>
                <w:szCs w:val="17"/>
                <w:color w:val="auto"/>
              </w:rPr>
            </w:pP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Equity Awards</w:t>
            </w:r>
          </w:p>
        </w:tc>
        <w:tc>
          <w:tcPr>
            <w:tcW w:w="12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Granted In</w:t>
            </w:r>
          </w:p>
        </w:tc>
        <w:tc>
          <w:tcPr>
            <w:tcW w:w="12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Granted</w:t>
            </w: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in Prior Years</w:t>
            </w:r>
          </w:p>
        </w:tc>
        <w:tc>
          <w:tcPr>
            <w:tcW w:w="13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Meet Vesting</w:t>
            </w:r>
          </w:p>
        </w:tc>
        <w:tc>
          <w:tcPr>
            <w:tcW w:w="13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Fair Value or</w:t>
            </w:r>
          </w:p>
        </w:tc>
        <w:tc>
          <w:tcPr>
            <w:tcW w:w="13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Total Equity</w:t>
            </w:r>
          </w:p>
        </w:tc>
      </w:tr>
      <w:tr>
        <w:trPr>
          <w:trHeight w:val="203"/>
        </w:trPr>
        <w:tc>
          <w:tcPr>
            <w:tcW w:w="700" w:type="dxa"/>
            <w:vAlign w:val="bottom"/>
            <w:tcBorders>
              <w:left w:val="single" w:sz="8" w:color="auto"/>
              <w:right w:val="single" w:sz="8" w:color="auto"/>
            </w:tcBorders>
            <w:shd w:val="clear" w:color="auto" w:fill="4DC1E4"/>
          </w:tcPr>
          <w:p>
            <w:pPr>
              <w:spacing w:after="0"/>
              <w:rPr>
                <w:sz w:val="17"/>
                <w:szCs w:val="17"/>
                <w:color w:val="auto"/>
              </w:rPr>
            </w:pP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Granted</w:t>
            </w:r>
          </w:p>
        </w:tc>
        <w:tc>
          <w:tcPr>
            <w:tcW w:w="12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Prior</w:t>
            </w:r>
          </w:p>
        </w:tc>
        <w:tc>
          <w:tcPr>
            <w:tcW w:w="12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and Vested in</w:t>
            </w: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that Vested</w:t>
            </w:r>
          </w:p>
        </w:tc>
        <w:tc>
          <w:tcPr>
            <w:tcW w:w="13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Conditions</w:t>
            </w:r>
          </w:p>
        </w:tc>
        <w:tc>
          <w:tcPr>
            <w:tcW w:w="13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Total</w:t>
            </w:r>
          </w:p>
        </w:tc>
        <w:tc>
          <w:tcPr>
            <w:tcW w:w="13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Award</w:t>
            </w:r>
          </w:p>
        </w:tc>
      </w:tr>
      <w:tr>
        <w:trPr>
          <w:trHeight w:val="203"/>
        </w:trPr>
        <w:tc>
          <w:tcPr>
            <w:tcW w:w="700" w:type="dxa"/>
            <w:vAlign w:val="bottom"/>
            <w:tcBorders>
              <w:left w:val="single" w:sz="8" w:color="auto"/>
              <w:right w:val="single" w:sz="8" w:color="auto"/>
            </w:tcBorders>
            <w:shd w:val="clear" w:color="auto" w:fill="4DC1E4"/>
          </w:tcPr>
          <w:p>
            <w:pPr>
              <w:spacing w:after="0"/>
              <w:rPr>
                <w:sz w:val="17"/>
                <w:szCs w:val="17"/>
                <w:color w:val="auto"/>
              </w:rPr>
            </w:pP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in the Year</w:t>
            </w:r>
          </w:p>
        </w:tc>
        <w:tc>
          <w:tcPr>
            <w:tcW w:w="12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Years</w:t>
            </w:r>
          </w:p>
        </w:tc>
        <w:tc>
          <w:tcPr>
            <w:tcW w:w="12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the Year</w:t>
            </w: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in the Year</w:t>
            </w:r>
          </w:p>
        </w:tc>
        <w:tc>
          <w:tcPr>
            <w:tcW w:w="13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in the Year</w:t>
            </w:r>
          </w:p>
        </w:tc>
        <w:tc>
          <w:tcPr>
            <w:tcW w:w="13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Compensation</w:t>
            </w:r>
          </w:p>
        </w:tc>
        <w:tc>
          <w:tcPr>
            <w:tcW w:w="13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Adjustments</w:t>
            </w:r>
          </w:p>
        </w:tc>
      </w:tr>
      <w:tr>
        <w:trPr>
          <w:trHeight w:val="264"/>
        </w:trPr>
        <w:tc>
          <w:tcPr>
            <w:tcW w:w="700" w:type="dxa"/>
            <w:vAlign w:val="bottom"/>
            <w:tcBorders>
              <w:left w:val="single" w:sz="8" w:color="auto"/>
              <w:bottom w:val="single" w:sz="8" w:color="4DC1E4"/>
              <w:right w:val="single" w:sz="8" w:color="auto"/>
            </w:tcBorders>
            <w:shd w:val="clear" w:color="auto" w:fill="4DC1E4"/>
          </w:tcPr>
          <w:p>
            <w:pPr>
              <w:jc w:val="right"/>
              <w:ind w:right="99"/>
              <w:spacing w:after="0"/>
              <w:rPr>
                <w:sz w:val="20"/>
                <w:szCs w:val="20"/>
                <w:color w:val="auto"/>
              </w:rPr>
            </w:pPr>
            <w:r>
              <w:rPr>
                <w:rFonts w:ascii="Times New Roman" w:cs="Times New Roman" w:eastAsia="Times New Roman" w:hAnsi="Times New Roman"/>
                <w:sz w:val="16"/>
                <w:szCs w:val="16"/>
                <w:b w:val="1"/>
                <w:bCs w:val="1"/>
                <w:color w:val="FFFFFF"/>
              </w:rPr>
              <w:t>Year</w:t>
            </w:r>
          </w:p>
        </w:tc>
        <w:tc>
          <w:tcPr>
            <w:tcW w:w="1220" w:type="dxa"/>
            <w:vAlign w:val="bottom"/>
            <w:tcBorders>
              <w:bottom w:val="single" w:sz="8" w:color="4DC1E4"/>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6"/>
              </w:rPr>
              <w:t>($)</w:t>
            </w:r>
          </w:p>
        </w:tc>
        <w:tc>
          <w:tcPr>
            <w:tcW w:w="1280" w:type="dxa"/>
            <w:vAlign w:val="bottom"/>
            <w:tcBorders>
              <w:bottom w:val="single" w:sz="8" w:color="4DC1E4"/>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w:t>
            </w:r>
          </w:p>
        </w:tc>
        <w:tc>
          <w:tcPr>
            <w:tcW w:w="1280" w:type="dxa"/>
            <w:vAlign w:val="bottom"/>
            <w:tcBorders>
              <w:bottom w:val="single" w:sz="8" w:color="4DC1E4"/>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6"/>
              </w:rPr>
              <w:t>($)</w:t>
            </w:r>
          </w:p>
        </w:tc>
        <w:tc>
          <w:tcPr>
            <w:tcW w:w="1220" w:type="dxa"/>
            <w:vAlign w:val="bottom"/>
            <w:tcBorders>
              <w:bottom w:val="single" w:sz="8" w:color="4DC1E4"/>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w:t>
            </w:r>
          </w:p>
        </w:tc>
        <w:tc>
          <w:tcPr>
            <w:tcW w:w="1340" w:type="dxa"/>
            <w:vAlign w:val="bottom"/>
            <w:tcBorders>
              <w:bottom w:val="single" w:sz="8" w:color="4DC1E4"/>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w:t>
            </w:r>
          </w:p>
        </w:tc>
        <w:tc>
          <w:tcPr>
            <w:tcW w:w="1360" w:type="dxa"/>
            <w:vAlign w:val="bottom"/>
            <w:tcBorders>
              <w:bottom w:val="single" w:sz="8" w:color="4DC1E4"/>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w:t>
            </w:r>
          </w:p>
        </w:tc>
        <w:tc>
          <w:tcPr>
            <w:tcW w:w="1340" w:type="dxa"/>
            <w:vAlign w:val="bottom"/>
            <w:tcBorders>
              <w:bottom w:val="single" w:sz="8" w:color="4DC1E4"/>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6"/>
              </w:rPr>
              <w:t>($)</w:t>
            </w:r>
          </w:p>
        </w:tc>
      </w:tr>
      <w:tr>
        <w:trPr>
          <w:trHeight w:val="196"/>
        </w:trPr>
        <w:tc>
          <w:tcPr>
            <w:tcW w:w="700" w:type="dxa"/>
            <w:vAlign w:val="bottom"/>
            <w:tcBorders>
              <w:top w:val="single" w:sz="8" w:color="auto"/>
              <w:left w:val="single" w:sz="8" w:color="auto"/>
              <w:bottom w:val="single" w:sz="8" w:color="auto"/>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w:t>
            </w:r>
          </w:p>
        </w:tc>
        <w:tc>
          <w:tcPr>
            <w:tcW w:w="1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w:t>
            </w:r>
          </w:p>
        </w:tc>
        <w:tc>
          <w:tcPr>
            <w:tcW w:w="12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c>
          <w:tcPr>
            <w:tcW w:w="12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w:t>
            </w:r>
          </w:p>
        </w:tc>
        <w:tc>
          <w:tcPr>
            <w:tcW w:w="1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w:t>
            </w:r>
          </w:p>
        </w:tc>
        <w:tc>
          <w:tcPr>
            <w:tcW w:w="1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w:t>
            </w:r>
          </w:p>
        </w:tc>
        <w:tc>
          <w:tcPr>
            <w:tcW w:w="1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(g)</w:t>
            </w:r>
          </w:p>
        </w:tc>
        <w:tc>
          <w:tcPr>
            <w:tcW w:w="1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(h)</w:t>
            </w:r>
          </w:p>
        </w:tc>
      </w:tr>
      <w:tr>
        <w:trPr>
          <w:trHeight w:val="196"/>
        </w:trPr>
        <w:tc>
          <w:tcPr>
            <w:tcW w:w="700" w:type="dxa"/>
            <w:vAlign w:val="bottom"/>
            <w:tcBorders>
              <w:left w:val="single" w:sz="8" w:color="auto"/>
              <w:bottom w:val="single" w:sz="8" w:color="auto"/>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2025</w:t>
            </w:r>
          </w:p>
        </w:tc>
        <w:tc>
          <w:tcPr>
            <w:tcW w:w="122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$1,663,579</w:t>
            </w:r>
          </w:p>
        </w:tc>
        <w:tc>
          <w:tcPr>
            <w:tcW w:w="1280" w:type="dxa"/>
            <w:vAlign w:val="bottom"/>
            <w:tcBorders>
              <w:bottom w:val="single" w:sz="8" w:color="auto"/>
              <w:right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$(136,968)</w:t>
            </w:r>
          </w:p>
        </w:tc>
        <w:tc>
          <w:tcPr>
            <w:tcW w:w="1280" w:type="dxa"/>
            <w:vAlign w:val="bottom"/>
            <w:tcBorders>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right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$(365,914)</w:t>
            </w:r>
          </w:p>
        </w:tc>
        <w:tc>
          <w:tcPr>
            <w:tcW w:w="134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right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$1,160,697</w:t>
            </w:r>
          </w:p>
        </w:tc>
      </w:tr>
      <w:tr>
        <w:trPr>
          <w:trHeight w:val="196"/>
        </w:trPr>
        <w:tc>
          <w:tcPr>
            <w:tcW w:w="700" w:type="dxa"/>
            <w:vAlign w:val="bottom"/>
            <w:tcBorders>
              <w:left w:val="single" w:sz="8" w:color="auto"/>
              <w:bottom w:val="single" w:sz="8" w:color="auto"/>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2024</w:t>
            </w:r>
          </w:p>
        </w:tc>
        <w:tc>
          <w:tcPr>
            <w:tcW w:w="122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$1,170,406</w:t>
            </w:r>
          </w:p>
        </w:tc>
        <w:tc>
          <w:tcPr>
            <w:tcW w:w="1280" w:type="dxa"/>
            <w:vAlign w:val="bottom"/>
            <w:tcBorders>
              <w:bottom w:val="single" w:sz="8" w:color="auto"/>
              <w:right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$(282,544)</w:t>
            </w:r>
          </w:p>
        </w:tc>
        <w:tc>
          <w:tcPr>
            <w:tcW w:w="1280" w:type="dxa"/>
            <w:vAlign w:val="bottom"/>
            <w:tcBorders>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right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$646,008</w:t>
            </w:r>
          </w:p>
        </w:tc>
        <w:tc>
          <w:tcPr>
            <w:tcW w:w="134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right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$1,533,869</w:t>
            </w:r>
          </w:p>
        </w:tc>
      </w:tr>
      <w:tr>
        <w:trPr>
          <w:trHeight w:val="196"/>
        </w:trPr>
        <w:tc>
          <w:tcPr>
            <w:tcW w:w="700" w:type="dxa"/>
            <w:vAlign w:val="bottom"/>
            <w:tcBorders>
              <w:left w:val="single" w:sz="8" w:color="auto"/>
              <w:bottom w:val="single" w:sz="8" w:color="auto"/>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2023</w:t>
            </w:r>
          </w:p>
        </w:tc>
        <w:tc>
          <w:tcPr>
            <w:tcW w:w="122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$2,396,987</w:t>
            </w:r>
          </w:p>
        </w:tc>
        <w:tc>
          <w:tcPr>
            <w:tcW w:w="1280" w:type="dxa"/>
            <w:vAlign w:val="bottom"/>
            <w:tcBorders>
              <w:bottom w:val="single" w:sz="8" w:color="auto"/>
              <w:right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$(43,831)</w:t>
            </w:r>
          </w:p>
        </w:tc>
        <w:tc>
          <w:tcPr>
            <w:tcW w:w="1280" w:type="dxa"/>
            <w:vAlign w:val="bottom"/>
            <w:tcBorders>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right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$43,503</w:t>
            </w:r>
          </w:p>
        </w:tc>
        <w:tc>
          <w:tcPr>
            <w:tcW w:w="134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right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$2,396,659</w:t>
            </w:r>
          </w:p>
        </w:tc>
      </w:tr>
    </w:tbl>
    <w:p>
      <w:pPr>
        <w:spacing w:after="0" w:line="198" w:lineRule="exact"/>
        <w:rPr>
          <w:sz w:val="20"/>
          <w:szCs w:val="20"/>
          <w:color w:val="auto"/>
        </w:rPr>
      </w:pPr>
    </w:p>
    <w:p>
      <w:pPr>
        <w:jc w:val="both"/>
        <w:ind w:left="660" w:hanging="656"/>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(d) represent the average of the amounts reported for our Non-PEO NEOs as a group in the “Total” column of the Summary Compensation Table in each applicable year. For 2023, 2024 and 2025, Mr. Celano and Dr. Shankar are our Non-PEO NEOs.</w:t>
      </w:r>
    </w:p>
    <w:p>
      <w:pPr>
        <w:spacing w:after="0" w:line="29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43" w:name="page44"/>
    <w:bookmarkEnd w:id="43"/>
    <w:p>
      <w:pPr>
        <w:ind w:left="100"/>
        <w:spacing w:after="0"/>
        <w:rPr>
          <w:sz w:val="20"/>
          <w:szCs w:val="20"/>
          <w:color w:val="auto"/>
        </w:rPr>
      </w:pPr>
      <w:r>
        <w:rPr>
          <w:rFonts w:ascii="Times New Roman" w:cs="Times New Roman" w:eastAsia="Times New Roman" w:hAnsi="Times New Roman"/>
          <w:sz w:val="22"/>
          <w:szCs w:val="22"/>
          <w:b w:val="1"/>
          <w:bCs w:val="1"/>
          <w:color w:val="auto"/>
        </w:rPr>
        <w:t>EXECUTIVE COMPENSATION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201" w:lineRule="exact"/>
        <w:rPr>
          <w:sz w:val="20"/>
          <w:szCs w:val="20"/>
          <w:color w:val="auto"/>
        </w:rPr>
      </w:pPr>
    </w:p>
    <w:p>
      <w:pPr>
        <w:jc w:val="both"/>
        <w:ind w:left="660" w:hanging="656"/>
        <w:spacing w:after="0" w:line="25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(e) represent the average of “compensation actually paid” to our Non-PEO NEOs as a group, as computed in accordance with Item 402(v) of Regulation S-K. The dollar amounts do not reflect the actual average compensation earned by or paid to the Non-PEO NEOs as a group during the applicable year. In accordance with the requirements of Item 402(v) of Regulation S-K, the following adjustments were made to average total compensation for our Non-PEO NEOs as a group for each year to determine the compensation actually paid, using the same methodology described above in Note (2):</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420" w:type="dxa"/>
            <w:vAlign w:val="bottom"/>
            <w:tcBorders>
              <w:top w:val="single" w:sz="8" w:color="auto"/>
              <w:left w:val="single" w:sz="8" w:color="auto"/>
              <w:right w:val="single" w:sz="8" w:color="auto"/>
            </w:tcBorders>
            <w:shd w:val="clear" w:color="auto" w:fill="4DC1E4"/>
          </w:tcPr>
          <w:p>
            <w:pPr>
              <w:spacing w:after="0"/>
              <w:rPr>
                <w:sz w:val="18"/>
                <w:szCs w:val="18"/>
                <w:color w:val="auto"/>
              </w:rPr>
            </w:pPr>
          </w:p>
        </w:tc>
        <w:tc>
          <w:tcPr>
            <w:tcW w:w="2040" w:type="dxa"/>
            <w:vAlign w:val="bottom"/>
            <w:tcBorders>
              <w:top w:val="single" w:sz="8" w:color="auto"/>
              <w:right w:val="single" w:sz="8" w:color="auto"/>
            </w:tcBorders>
            <w:shd w:val="clear" w:color="auto" w:fill="4DC1E4"/>
          </w:tcPr>
          <w:p>
            <w:pPr>
              <w:jc w:val="center"/>
              <w:ind w:left="30"/>
              <w:spacing w:after="0"/>
              <w:rPr>
                <w:sz w:val="20"/>
                <w:szCs w:val="20"/>
                <w:color w:val="auto"/>
              </w:rPr>
            </w:pPr>
            <w:r>
              <w:rPr>
                <w:rFonts w:ascii="Times New Roman" w:cs="Times New Roman" w:eastAsia="Times New Roman" w:hAnsi="Times New Roman"/>
                <w:sz w:val="18"/>
                <w:szCs w:val="18"/>
                <w:b w:val="1"/>
                <w:bCs w:val="1"/>
                <w:color w:val="FFFFFF"/>
                <w:w w:val="99"/>
              </w:rPr>
              <w:t>Reported Summary</w:t>
            </w:r>
          </w:p>
        </w:tc>
        <w:tc>
          <w:tcPr>
            <w:tcW w:w="2040" w:type="dxa"/>
            <w:vAlign w:val="bottom"/>
            <w:tcBorders>
              <w:top w:val="single" w:sz="8" w:color="auto"/>
              <w:right w:val="single" w:sz="8" w:color="auto"/>
            </w:tcBorders>
            <w:shd w:val="clear" w:color="auto" w:fill="4DC1E4"/>
          </w:tcPr>
          <w:p>
            <w:pPr>
              <w:spacing w:after="0"/>
              <w:rPr>
                <w:sz w:val="18"/>
                <w:szCs w:val="18"/>
                <w:color w:val="auto"/>
              </w:rPr>
            </w:pPr>
          </w:p>
        </w:tc>
        <w:tc>
          <w:tcPr>
            <w:tcW w:w="2160" w:type="dxa"/>
            <w:vAlign w:val="bottom"/>
            <w:tcBorders>
              <w:top w:val="single" w:sz="8" w:color="auto"/>
              <w:right w:val="single" w:sz="8" w:color="auto"/>
            </w:tcBorders>
            <w:shd w:val="clear" w:color="auto" w:fill="4DC1E4"/>
          </w:tcPr>
          <w:p>
            <w:pPr>
              <w:spacing w:after="0"/>
              <w:rPr>
                <w:sz w:val="18"/>
                <w:szCs w:val="18"/>
                <w:color w:val="auto"/>
              </w:rPr>
            </w:pPr>
          </w:p>
        </w:tc>
        <w:tc>
          <w:tcPr>
            <w:tcW w:w="2080" w:type="dxa"/>
            <w:vAlign w:val="bottom"/>
            <w:tcBorders>
              <w:top w:val="single" w:sz="8" w:color="auto"/>
              <w:right w:val="single" w:sz="8" w:color="auto"/>
            </w:tcBorders>
            <w:shd w:val="clear" w:color="auto" w:fill="4DC1E4"/>
          </w:tcPr>
          <w:p>
            <w:pPr>
              <w:spacing w:after="0"/>
              <w:rPr>
                <w:sz w:val="18"/>
                <w:szCs w:val="18"/>
                <w:color w:val="auto"/>
              </w:rPr>
            </w:pPr>
          </w:p>
        </w:tc>
      </w:tr>
      <w:tr>
        <w:trPr>
          <w:trHeight w:val="216"/>
        </w:trPr>
        <w:tc>
          <w:tcPr>
            <w:tcW w:w="1420" w:type="dxa"/>
            <w:vAlign w:val="bottom"/>
            <w:tcBorders>
              <w:left w:val="single" w:sz="8" w:color="auto"/>
              <w:right w:val="single" w:sz="8" w:color="auto"/>
            </w:tcBorders>
            <w:shd w:val="clear" w:color="auto" w:fill="4DC1E4"/>
          </w:tcPr>
          <w:p>
            <w:pPr>
              <w:spacing w:after="0"/>
              <w:rPr>
                <w:sz w:val="18"/>
                <w:szCs w:val="18"/>
                <w:color w:val="auto"/>
              </w:rPr>
            </w:pPr>
          </w:p>
        </w:tc>
        <w:tc>
          <w:tcPr>
            <w:tcW w:w="2040" w:type="dxa"/>
            <w:vAlign w:val="bottom"/>
            <w:tcBorders>
              <w:right w:val="single" w:sz="8" w:color="auto"/>
            </w:tcBorders>
            <w:shd w:val="clear" w:color="auto" w:fill="4DC1E4"/>
          </w:tcPr>
          <w:p>
            <w:pPr>
              <w:jc w:val="center"/>
              <w:ind w:left="30"/>
              <w:spacing w:after="0"/>
              <w:rPr>
                <w:sz w:val="20"/>
                <w:szCs w:val="20"/>
                <w:color w:val="auto"/>
              </w:rPr>
            </w:pPr>
            <w:r>
              <w:rPr>
                <w:rFonts w:ascii="Times New Roman" w:cs="Times New Roman" w:eastAsia="Times New Roman" w:hAnsi="Times New Roman"/>
                <w:sz w:val="18"/>
                <w:szCs w:val="18"/>
                <w:b w:val="1"/>
                <w:bCs w:val="1"/>
                <w:color w:val="FFFFFF"/>
              </w:rPr>
              <w:t>Compensation</w:t>
            </w:r>
          </w:p>
        </w:tc>
        <w:tc>
          <w:tcPr>
            <w:tcW w:w="2040" w:type="dxa"/>
            <w:vAlign w:val="bottom"/>
            <w:tcBorders>
              <w:right w:val="single" w:sz="8" w:color="auto"/>
            </w:tcBorders>
            <w:shd w:val="clear" w:color="auto" w:fill="4DC1E4"/>
          </w:tcPr>
          <w:p>
            <w:pPr>
              <w:spacing w:after="0"/>
              <w:rPr>
                <w:sz w:val="18"/>
                <w:szCs w:val="18"/>
                <w:color w:val="auto"/>
              </w:rPr>
            </w:pPr>
          </w:p>
        </w:tc>
        <w:tc>
          <w:tcPr>
            <w:tcW w:w="2160" w:type="dxa"/>
            <w:vAlign w:val="bottom"/>
            <w:tcBorders>
              <w:right w:val="single" w:sz="8" w:color="auto"/>
            </w:tcBorders>
            <w:shd w:val="clear" w:color="auto" w:fill="4DC1E4"/>
          </w:tcPr>
          <w:p>
            <w:pPr>
              <w:spacing w:after="0"/>
              <w:rPr>
                <w:sz w:val="18"/>
                <w:szCs w:val="18"/>
                <w:color w:val="auto"/>
              </w:rPr>
            </w:pPr>
          </w:p>
        </w:tc>
        <w:tc>
          <w:tcPr>
            <w:tcW w:w="20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Equals Compensation</w:t>
            </w:r>
          </w:p>
        </w:tc>
      </w:tr>
      <w:tr>
        <w:trPr>
          <w:trHeight w:val="196"/>
        </w:trPr>
        <w:tc>
          <w:tcPr>
            <w:tcW w:w="1420" w:type="dxa"/>
            <w:vAlign w:val="bottom"/>
            <w:tcBorders>
              <w:left w:val="single" w:sz="8" w:color="auto"/>
              <w:right w:val="single" w:sz="8" w:color="auto"/>
            </w:tcBorders>
            <w:shd w:val="clear" w:color="auto" w:fill="4DC1E4"/>
          </w:tcPr>
          <w:p>
            <w:pPr>
              <w:spacing w:after="0"/>
              <w:rPr>
                <w:sz w:val="17"/>
                <w:szCs w:val="17"/>
                <w:color w:val="auto"/>
              </w:rPr>
            </w:pPr>
          </w:p>
        </w:tc>
        <w:tc>
          <w:tcPr>
            <w:tcW w:w="2040" w:type="dxa"/>
            <w:vAlign w:val="bottom"/>
            <w:tcBorders>
              <w:right w:val="single" w:sz="8" w:color="auto"/>
            </w:tcBorders>
            <w:shd w:val="clear" w:color="auto" w:fill="4DC1E4"/>
          </w:tcPr>
          <w:p>
            <w:pPr>
              <w:jc w:val="center"/>
              <w:ind w:left="30"/>
              <w:spacing w:after="0" w:line="196" w:lineRule="exact"/>
              <w:rPr>
                <w:sz w:val="20"/>
                <w:szCs w:val="20"/>
                <w:color w:val="auto"/>
              </w:rPr>
            </w:pPr>
            <w:r>
              <w:rPr>
                <w:rFonts w:ascii="Times New Roman" w:cs="Times New Roman" w:eastAsia="Times New Roman" w:hAnsi="Times New Roman"/>
                <w:sz w:val="18"/>
                <w:szCs w:val="18"/>
                <w:b w:val="1"/>
                <w:bCs w:val="1"/>
                <w:color w:val="FFFFFF"/>
              </w:rPr>
              <w:t>Table Total for Non-</w:t>
            </w:r>
          </w:p>
        </w:tc>
        <w:tc>
          <w:tcPr>
            <w:tcW w:w="2040" w:type="dxa"/>
            <w:vAlign w:val="bottom"/>
            <w:tcBorders>
              <w:right w:val="single" w:sz="8" w:color="auto"/>
            </w:tcBorders>
            <w:shd w:val="clear" w:color="auto" w:fill="4DC1E4"/>
          </w:tcPr>
          <w:p>
            <w:pPr>
              <w:jc w:val="center"/>
              <w:ind w:left="30"/>
              <w:spacing w:after="0" w:line="196" w:lineRule="exact"/>
              <w:rPr>
                <w:sz w:val="20"/>
                <w:szCs w:val="20"/>
                <w:color w:val="auto"/>
              </w:rPr>
            </w:pPr>
            <w:r>
              <w:rPr>
                <w:rFonts w:ascii="Times New Roman" w:cs="Times New Roman" w:eastAsia="Times New Roman" w:hAnsi="Times New Roman"/>
                <w:sz w:val="18"/>
                <w:szCs w:val="18"/>
                <w:b w:val="1"/>
                <w:bCs w:val="1"/>
                <w:color w:val="FFFFFF"/>
                <w:w w:val="99"/>
              </w:rPr>
              <w:t>Less: Reported Value of</w:t>
            </w:r>
          </w:p>
        </w:tc>
        <w:tc>
          <w:tcPr>
            <w:tcW w:w="2160" w:type="dxa"/>
            <w:vAlign w:val="bottom"/>
            <w:tcBorders>
              <w:right w:val="single" w:sz="8" w:color="auto"/>
            </w:tcBorders>
            <w:shd w:val="clear" w:color="auto" w:fill="4DC1E4"/>
          </w:tcPr>
          <w:p>
            <w:pPr>
              <w:jc w:val="center"/>
              <w:ind w:left="10"/>
              <w:spacing w:after="0" w:line="196" w:lineRule="exact"/>
              <w:rPr>
                <w:sz w:val="20"/>
                <w:szCs w:val="20"/>
                <w:color w:val="auto"/>
              </w:rPr>
            </w:pPr>
            <w:r>
              <w:rPr>
                <w:rFonts w:ascii="Times New Roman" w:cs="Times New Roman" w:eastAsia="Times New Roman" w:hAnsi="Times New Roman"/>
                <w:sz w:val="18"/>
                <w:szCs w:val="18"/>
                <w:b w:val="1"/>
                <w:bCs w:val="1"/>
                <w:color w:val="FFFFFF"/>
              </w:rPr>
              <w:t>Plus: Equity Award</w:t>
            </w:r>
          </w:p>
        </w:tc>
        <w:tc>
          <w:tcPr>
            <w:tcW w:w="2080" w:type="dxa"/>
            <w:vAlign w:val="bottom"/>
            <w:tcBorders>
              <w:right w:val="single" w:sz="8" w:color="auto"/>
            </w:tcBorders>
            <w:shd w:val="clear" w:color="auto" w:fill="4DC1E4"/>
          </w:tcPr>
          <w:p>
            <w:pPr>
              <w:jc w:val="center"/>
              <w:ind w:left="10"/>
              <w:spacing w:after="0" w:line="196" w:lineRule="exact"/>
              <w:rPr>
                <w:sz w:val="20"/>
                <w:szCs w:val="20"/>
                <w:color w:val="auto"/>
              </w:rPr>
            </w:pPr>
            <w:r>
              <w:rPr>
                <w:rFonts w:ascii="Times New Roman" w:cs="Times New Roman" w:eastAsia="Times New Roman" w:hAnsi="Times New Roman"/>
                <w:sz w:val="18"/>
                <w:szCs w:val="18"/>
                <w:b w:val="1"/>
                <w:bCs w:val="1"/>
                <w:color w:val="FFFFFF"/>
              </w:rPr>
              <w:t>Actually Paid to Non-</w:t>
            </w:r>
          </w:p>
        </w:tc>
      </w:tr>
      <w:tr>
        <w:trPr>
          <w:trHeight w:val="236"/>
        </w:trPr>
        <w:tc>
          <w:tcPr>
            <w:tcW w:w="1420" w:type="dxa"/>
            <w:vAlign w:val="bottom"/>
            <w:tcBorders>
              <w:left w:val="single" w:sz="8" w:color="auto"/>
              <w:right w:val="single" w:sz="8" w:color="auto"/>
            </w:tcBorders>
            <w:shd w:val="clear" w:color="auto" w:fill="4DC1E4"/>
          </w:tcPr>
          <w:p>
            <w:pPr>
              <w:spacing w:after="0"/>
              <w:rPr>
                <w:sz w:val="20"/>
                <w:szCs w:val="20"/>
                <w:color w:val="auto"/>
              </w:rPr>
            </w:pPr>
          </w:p>
        </w:tc>
        <w:tc>
          <w:tcPr>
            <w:tcW w:w="2040" w:type="dxa"/>
            <w:vAlign w:val="bottom"/>
            <w:tcBorders>
              <w:right w:val="single" w:sz="8" w:color="auto"/>
            </w:tcBorders>
            <w:shd w:val="clear" w:color="auto" w:fill="4DC1E4"/>
          </w:tcPr>
          <w:p>
            <w:pPr>
              <w:jc w:val="center"/>
              <w:ind w:left="30"/>
              <w:spacing w:after="0"/>
              <w:rPr>
                <w:sz w:val="20"/>
                <w:szCs w:val="20"/>
                <w:color w:val="auto"/>
              </w:rPr>
            </w:pPr>
            <w:r>
              <w:rPr>
                <w:rFonts w:ascii="Times New Roman" w:cs="Times New Roman" w:eastAsia="Times New Roman" w:hAnsi="Times New Roman"/>
                <w:sz w:val="18"/>
                <w:szCs w:val="18"/>
                <w:b w:val="1"/>
                <w:bCs w:val="1"/>
                <w:color w:val="FFFFFF"/>
              </w:rPr>
              <w:t>PEO NEOs</w:t>
            </w:r>
          </w:p>
        </w:tc>
        <w:tc>
          <w:tcPr>
            <w:tcW w:w="2040" w:type="dxa"/>
            <w:vAlign w:val="bottom"/>
            <w:tcBorders>
              <w:right w:val="single" w:sz="8" w:color="auto"/>
            </w:tcBorders>
            <w:shd w:val="clear" w:color="auto" w:fill="4DC1E4"/>
          </w:tcPr>
          <w:p>
            <w:pPr>
              <w:jc w:val="center"/>
              <w:ind w:left="30"/>
              <w:spacing w:after="0" w:line="236" w:lineRule="exact"/>
              <w:rPr>
                <w:sz w:val="20"/>
                <w:szCs w:val="20"/>
                <w:color w:val="auto"/>
              </w:rPr>
            </w:pPr>
            <w:r>
              <w:rPr>
                <w:rFonts w:ascii="Times New Roman" w:cs="Times New Roman" w:eastAsia="Times New Roman" w:hAnsi="Times New Roman"/>
                <w:sz w:val="18"/>
                <w:szCs w:val="18"/>
                <w:b w:val="1"/>
                <w:bCs w:val="1"/>
                <w:color w:val="FFFFFF"/>
                <w:w w:val="97"/>
              </w:rPr>
              <w:t xml:space="preserve">Equity Awards </w:t>
            </w:r>
            <w:r>
              <w:rPr>
                <w:rFonts w:ascii="Times New Roman" w:cs="Times New Roman" w:eastAsia="Times New Roman" w:hAnsi="Times New Roman"/>
                <w:sz w:val="24"/>
                <w:szCs w:val="24"/>
                <w:b w:val="1"/>
                <w:bCs w:val="1"/>
                <w:color w:val="FFFFFF"/>
                <w:w w:val="97"/>
                <w:vertAlign w:val="superscript"/>
              </w:rPr>
              <w:t>(a)</w:t>
            </w:r>
          </w:p>
        </w:tc>
        <w:tc>
          <w:tcPr>
            <w:tcW w:w="2160" w:type="dxa"/>
            <w:vAlign w:val="bottom"/>
            <w:tcBorders>
              <w:right w:val="single" w:sz="8" w:color="auto"/>
            </w:tcBorders>
            <w:shd w:val="clear" w:color="auto" w:fill="4DC1E4"/>
          </w:tcPr>
          <w:p>
            <w:pPr>
              <w:jc w:val="center"/>
              <w:ind w:left="10"/>
              <w:spacing w:after="0" w:line="236" w:lineRule="exact"/>
              <w:rPr>
                <w:sz w:val="20"/>
                <w:szCs w:val="20"/>
                <w:color w:val="auto"/>
              </w:rPr>
            </w:pPr>
            <w:r>
              <w:rPr>
                <w:rFonts w:ascii="Times New Roman" w:cs="Times New Roman" w:eastAsia="Times New Roman" w:hAnsi="Times New Roman"/>
                <w:sz w:val="18"/>
                <w:szCs w:val="18"/>
                <w:b w:val="1"/>
                <w:bCs w:val="1"/>
                <w:color w:val="FFFFFF"/>
                <w:w w:val="99"/>
              </w:rPr>
              <w:t xml:space="preserve">Adjustments </w:t>
            </w:r>
            <w:r>
              <w:rPr>
                <w:rFonts w:ascii="Times New Roman" w:cs="Times New Roman" w:eastAsia="Times New Roman" w:hAnsi="Times New Roman"/>
                <w:sz w:val="24"/>
                <w:szCs w:val="24"/>
                <w:b w:val="1"/>
                <w:bCs w:val="1"/>
                <w:color w:val="FFFFFF"/>
                <w:w w:val="99"/>
                <w:vertAlign w:val="superscript"/>
              </w:rPr>
              <w:t>(b)</w:t>
            </w:r>
          </w:p>
        </w:tc>
        <w:tc>
          <w:tcPr>
            <w:tcW w:w="20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rPr>
              <w:t>PEO NEOs</w:t>
            </w:r>
          </w:p>
        </w:tc>
      </w:tr>
      <w:tr>
        <w:trPr>
          <w:trHeight w:val="284"/>
        </w:trPr>
        <w:tc>
          <w:tcPr>
            <w:tcW w:w="1420" w:type="dxa"/>
            <w:vAlign w:val="bottom"/>
            <w:tcBorders>
              <w:left w:val="single" w:sz="8" w:color="auto"/>
              <w:bottom w:val="single" w:sz="8" w:color="4DC1E4"/>
              <w:right w:val="single" w:sz="8" w:color="auto"/>
            </w:tcBorders>
            <w:shd w:val="clear" w:color="auto" w:fill="4DC1E4"/>
          </w:tcPr>
          <w:p>
            <w:pPr>
              <w:jc w:val="right"/>
              <w:ind w:right="430"/>
              <w:spacing w:after="0"/>
              <w:rPr>
                <w:sz w:val="20"/>
                <w:szCs w:val="20"/>
                <w:color w:val="auto"/>
              </w:rPr>
            </w:pPr>
            <w:r>
              <w:rPr>
                <w:rFonts w:ascii="Times New Roman" w:cs="Times New Roman" w:eastAsia="Times New Roman" w:hAnsi="Times New Roman"/>
                <w:sz w:val="18"/>
                <w:szCs w:val="18"/>
                <w:b w:val="1"/>
                <w:bCs w:val="1"/>
                <w:color w:val="FFFFFF"/>
              </w:rPr>
              <w:t>Year</w:t>
            </w:r>
          </w:p>
        </w:tc>
        <w:tc>
          <w:tcPr>
            <w:tcW w:w="2040" w:type="dxa"/>
            <w:vAlign w:val="bottom"/>
            <w:tcBorders>
              <w:bottom w:val="single" w:sz="8" w:color="4DC1E4"/>
              <w:right w:val="single" w:sz="8" w:color="auto"/>
            </w:tcBorders>
            <w:shd w:val="clear" w:color="auto" w:fill="4DC1E4"/>
          </w:tcPr>
          <w:p>
            <w:pPr>
              <w:jc w:val="center"/>
              <w:ind w:left="30"/>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2040" w:type="dxa"/>
            <w:vAlign w:val="bottom"/>
            <w:tcBorders>
              <w:bottom w:val="single" w:sz="8" w:color="4DC1E4"/>
              <w:right w:val="single" w:sz="8" w:color="auto"/>
            </w:tcBorders>
            <w:shd w:val="clear" w:color="auto" w:fill="4DC1E4"/>
          </w:tcPr>
          <w:p>
            <w:pPr>
              <w:jc w:val="center"/>
              <w:ind w:left="30"/>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2160" w:type="dxa"/>
            <w:vAlign w:val="bottom"/>
            <w:tcBorders>
              <w:bottom w:val="single" w:sz="8" w:color="4DC1E4"/>
              <w:right w:val="single" w:sz="8" w:color="auto"/>
            </w:tcBorders>
            <w:shd w:val="clear" w:color="auto" w:fill="4DC1E4"/>
          </w:tcPr>
          <w:p>
            <w:pPr>
              <w:jc w:val="center"/>
              <w:ind w:left="10"/>
              <w:spacing w:after="0"/>
              <w:rPr>
                <w:sz w:val="20"/>
                <w:szCs w:val="20"/>
                <w:color w:val="auto"/>
              </w:rPr>
            </w:pPr>
            <w:r>
              <w:rPr>
                <w:rFonts w:ascii="Times New Roman" w:cs="Times New Roman" w:eastAsia="Times New Roman" w:hAnsi="Times New Roman"/>
                <w:sz w:val="18"/>
                <w:szCs w:val="18"/>
                <w:b w:val="1"/>
                <w:bCs w:val="1"/>
                <w:color w:val="FFFFFF"/>
              </w:rPr>
              <w:t>($)</w:t>
            </w:r>
          </w:p>
        </w:tc>
        <w:tc>
          <w:tcPr>
            <w:tcW w:w="2080" w:type="dxa"/>
            <w:vAlign w:val="bottom"/>
            <w:tcBorders>
              <w:bottom w:val="single" w:sz="8" w:color="4DC1E4"/>
              <w:right w:val="single" w:sz="8" w:color="auto"/>
            </w:tcBorders>
            <w:shd w:val="clear" w:color="auto" w:fill="4DC1E4"/>
          </w:tcPr>
          <w:p>
            <w:pPr>
              <w:jc w:val="center"/>
              <w:ind w:left="10"/>
              <w:spacing w:after="0"/>
              <w:rPr>
                <w:sz w:val="20"/>
                <w:szCs w:val="20"/>
                <w:color w:val="auto"/>
              </w:rPr>
            </w:pPr>
            <w:r>
              <w:rPr>
                <w:rFonts w:ascii="Times New Roman" w:cs="Times New Roman" w:eastAsia="Times New Roman" w:hAnsi="Times New Roman"/>
                <w:sz w:val="18"/>
                <w:szCs w:val="18"/>
                <w:b w:val="1"/>
                <w:bCs w:val="1"/>
                <w:color w:val="FFFFFF"/>
              </w:rPr>
              <w:t>($)</w:t>
            </w:r>
          </w:p>
        </w:tc>
      </w:tr>
      <w:tr>
        <w:trPr>
          <w:trHeight w:val="209"/>
        </w:trPr>
        <w:tc>
          <w:tcPr>
            <w:tcW w:w="1420" w:type="dxa"/>
            <w:vAlign w:val="bottom"/>
            <w:tcBorders>
              <w:top w:val="single" w:sz="8" w:color="auto"/>
              <w:left w:val="single" w:sz="8" w:color="auto"/>
              <w:bottom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w:t>
            </w:r>
          </w:p>
        </w:tc>
        <w:tc>
          <w:tcPr>
            <w:tcW w:w="2040" w:type="dxa"/>
            <w:vAlign w:val="bottom"/>
            <w:tcBorders>
              <w:top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040" w:type="dxa"/>
            <w:vAlign w:val="bottom"/>
            <w:tcBorders>
              <w:top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2160" w:type="dxa"/>
            <w:vAlign w:val="bottom"/>
            <w:tcBorders>
              <w:top w:val="single" w:sz="8" w:color="auto"/>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2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w:t>
            </w:r>
          </w:p>
        </w:tc>
      </w:tr>
      <w:tr>
        <w:trPr>
          <w:trHeight w:val="210"/>
        </w:trPr>
        <w:tc>
          <w:tcPr>
            <w:tcW w:w="1420" w:type="dxa"/>
            <w:vAlign w:val="bottom"/>
            <w:tcBorders>
              <w:left w:val="single" w:sz="8" w:color="auto"/>
              <w:bottom w:val="single" w:sz="8" w:color="auto"/>
              <w:right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2025</w:t>
            </w:r>
          </w:p>
        </w:tc>
        <w:tc>
          <w:tcPr>
            <w:tcW w:w="2040" w:type="dxa"/>
            <w:vAlign w:val="bottom"/>
            <w:tcBorders>
              <w:bottom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$1,495,645</w:t>
            </w:r>
          </w:p>
        </w:tc>
        <w:tc>
          <w:tcPr>
            <w:tcW w:w="2040" w:type="dxa"/>
            <w:vAlign w:val="bottom"/>
            <w:tcBorders>
              <w:bottom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$(825,971)</w:t>
            </w:r>
          </w:p>
        </w:tc>
        <w:tc>
          <w:tcPr>
            <w:tcW w:w="2160" w:type="dxa"/>
            <w:vAlign w:val="bottom"/>
            <w:tcBorders>
              <w:bottom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$376,890</w:t>
            </w:r>
          </w:p>
        </w:tc>
        <w:tc>
          <w:tcPr>
            <w:tcW w:w="2080" w:type="dxa"/>
            <w:vAlign w:val="bottom"/>
            <w:tcBorders>
              <w:bottom w:val="single" w:sz="8" w:color="auto"/>
              <w:right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$1,046,564</w:t>
            </w:r>
          </w:p>
        </w:tc>
      </w:tr>
      <w:tr>
        <w:trPr>
          <w:trHeight w:val="209"/>
        </w:trPr>
        <w:tc>
          <w:tcPr>
            <w:tcW w:w="1420" w:type="dxa"/>
            <w:vAlign w:val="bottom"/>
            <w:tcBorders>
              <w:left w:val="single" w:sz="8" w:color="auto"/>
              <w:bottom w:val="single" w:sz="8" w:color="auto"/>
              <w:right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2024</w:t>
            </w:r>
          </w:p>
        </w:tc>
        <w:tc>
          <w:tcPr>
            <w:tcW w:w="2040" w:type="dxa"/>
            <w:vAlign w:val="bottom"/>
            <w:tcBorders>
              <w:bottom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$1,274,915</w:t>
            </w:r>
          </w:p>
        </w:tc>
        <w:tc>
          <w:tcPr>
            <w:tcW w:w="2040" w:type="dxa"/>
            <w:vAlign w:val="bottom"/>
            <w:tcBorders>
              <w:bottom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$(652,719)</w:t>
            </w:r>
          </w:p>
        </w:tc>
        <w:tc>
          <w:tcPr>
            <w:tcW w:w="2160" w:type="dxa"/>
            <w:vAlign w:val="bottom"/>
            <w:tcBorders>
              <w:bottom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$617,754</w:t>
            </w:r>
          </w:p>
        </w:tc>
        <w:tc>
          <w:tcPr>
            <w:tcW w:w="2080" w:type="dxa"/>
            <w:vAlign w:val="bottom"/>
            <w:tcBorders>
              <w:bottom w:val="single" w:sz="8" w:color="auto"/>
              <w:right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$1,239,951</w:t>
            </w:r>
          </w:p>
        </w:tc>
      </w:tr>
      <w:tr>
        <w:trPr>
          <w:trHeight w:val="210"/>
        </w:trPr>
        <w:tc>
          <w:tcPr>
            <w:tcW w:w="1420" w:type="dxa"/>
            <w:vAlign w:val="bottom"/>
            <w:tcBorders>
              <w:left w:val="single" w:sz="8" w:color="auto"/>
              <w:bottom w:val="single" w:sz="8" w:color="auto"/>
              <w:right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2023</w:t>
            </w:r>
          </w:p>
        </w:tc>
        <w:tc>
          <w:tcPr>
            <w:tcW w:w="2040" w:type="dxa"/>
            <w:vAlign w:val="bottom"/>
            <w:tcBorders>
              <w:bottom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$1,399,936</w:t>
            </w:r>
          </w:p>
        </w:tc>
        <w:tc>
          <w:tcPr>
            <w:tcW w:w="2040" w:type="dxa"/>
            <w:vAlign w:val="bottom"/>
            <w:tcBorders>
              <w:bottom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$(836,284)</w:t>
            </w:r>
          </w:p>
        </w:tc>
        <w:tc>
          <w:tcPr>
            <w:tcW w:w="2160" w:type="dxa"/>
            <w:vAlign w:val="bottom"/>
            <w:tcBorders>
              <w:bottom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$674,754</w:t>
            </w:r>
          </w:p>
        </w:tc>
        <w:tc>
          <w:tcPr>
            <w:tcW w:w="2080" w:type="dxa"/>
            <w:vAlign w:val="bottom"/>
            <w:tcBorders>
              <w:bottom w:val="single" w:sz="8" w:color="auto"/>
              <w:right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$1,238,406</w:t>
            </w:r>
          </w:p>
        </w:tc>
      </w:tr>
    </w:tbl>
    <w:p>
      <w:pPr>
        <w:spacing w:after="0" w:line="198" w:lineRule="exact"/>
        <w:rPr>
          <w:sz w:val="20"/>
          <w:szCs w:val="20"/>
          <w:color w:val="auto"/>
        </w:rPr>
      </w:pPr>
    </w:p>
    <w:p>
      <w:pPr>
        <w:ind w:left="660" w:hanging="656"/>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fair value of the equity awards represents the average total of the amounts reported in the “Stock Awards” and “Option Awards” columns for the Non-PEO NEOs in the Summary Compensation Table for the applicable year.</w:t>
      </w:r>
    </w:p>
    <w:p>
      <w:pPr>
        <w:ind w:left="660" w:hanging="656"/>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deducted or added in calculating the total average equity award adjustments are as follows: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640" w:type="dxa"/>
            <w:vAlign w:val="bottom"/>
            <w:tcBorders>
              <w:top w:val="single" w:sz="8" w:color="auto"/>
              <w:left w:val="single" w:sz="8" w:color="auto"/>
              <w:right w:val="single" w:sz="8" w:color="auto"/>
            </w:tcBorders>
            <w:shd w:val="clear" w:color="auto" w:fill="4DC1E4"/>
          </w:tcPr>
          <w:p>
            <w:pPr>
              <w:spacing w:after="0"/>
              <w:rPr>
                <w:sz w:val="17"/>
                <w:szCs w:val="17"/>
                <w:color w:val="auto"/>
              </w:rPr>
            </w:pPr>
          </w:p>
        </w:tc>
        <w:tc>
          <w:tcPr>
            <w:tcW w:w="1320" w:type="dxa"/>
            <w:vAlign w:val="bottom"/>
            <w:tcBorders>
              <w:top w:val="single" w:sz="8" w:color="auto"/>
              <w:right w:val="single" w:sz="8" w:color="auto"/>
            </w:tcBorders>
            <w:shd w:val="clear" w:color="auto" w:fill="4DC1E4"/>
          </w:tcPr>
          <w:p>
            <w:pPr>
              <w:spacing w:after="0"/>
              <w:rPr>
                <w:sz w:val="17"/>
                <w:szCs w:val="17"/>
                <w:color w:val="auto"/>
              </w:rPr>
            </w:pPr>
          </w:p>
        </w:tc>
        <w:tc>
          <w:tcPr>
            <w:tcW w:w="1440" w:type="dxa"/>
            <w:vAlign w:val="bottom"/>
            <w:tcBorders>
              <w:top w:val="single" w:sz="8" w:color="auto"/>
              <w:right w:val="single" w:sz="8" w:color="auto"/>
            </w:tcBorders>
            <w:shd w:val="clear" w:color="auto" w:fill="4DC1E4"/>
          </w:tcPr>
          <w:p>
            <w:pPr>
              <w:spacing w:after="0"/>
              <w:rPr>
                <w:sz w:val="17"/>
                <w:szCs w:val="17"/>
                <w:color w:val="auto"/>
              </w:rPr>
            </w:pPr>
          </w:p>
        </w:tc>
        <w:tc>
          <w:tcPr>
            <w:tcW w:w="1140" w:type="dxa"/>
            <w:vAlign w:val="bottom"/>
            <w:tcBorders>
              <w:top w:val="single" w:sz="8" w:color="auto"/>
              <w:right w:val="single" w:sz="8" w:color="auto"/>
            </w:tcBorders>
            <w:shd w:val="clear" w:color="auto" w:fill="4DC1E4"/>
          </w:tcPr>
          <w:p>
            <w:pPr>
              <w:spacing w:after="0"/>
              <w:rPr>
                <w:sz w:val="17"/>
                <w:szCs w:val="17"/>
                <w:color w:val="auto"/>
              </w:rPr>
            </w:pPr>
          </w:p>
        </w:tc>
        <w:tc>
          <w:tcPr>
            <w:tcW w:w="1460" w:type="dxa"/>
            <w:vAlign w:val="bottom"/>
            <w:tcBorders>
              <w:top w:val="single" w:sz="8" w:color="auto"/>
              <w:right w:val="single" w:sz="8" w:color="auto"/>
            </w:tcBorders>
            <w:shd w:val="clear" w:color="auto" w:fill="4DC1E4"/>
          </w:tcPr>
          <w:p>
            <w:pPr>
              <w:spacing w:after="0"/>
              <w:rPr>
                <w:sz w:val="17"/>
                <w:szCs w:val="17"/>
                <w:color w:val="auto"/>
              </w:rPr>
            </w:pPr>
          </w:p>
        </w:tc>
        <w:tc>
          <w:tcPr>
            <w:tcW w:w="1140" w:type="dxa"/>
            <w:vAlign w:val="bottom"/>
            <w:tcBorders>
              <w:top w:val="single" w:sz="8" w:color="auto"/>
              <w:right w:val="single" w:sz="8" w:color="auto"/>
            </w:tcBorders>
            <w:shd w:val="clear" w:color="auto" w:fill="4DC1E4"/>
          </w:tcPr>
          <w:p>
            <w:pPr>
              <w:spacing w:after="0"/>
              <w:rPr>
                <w:sz w:val="17"/>
                <w:szCs w:val="17"/>
                <w:color w:val="auto"/>
              </w:rPr>
            </w:pPr>
          </w:p>
        </w:tc>
        <w:tc>
          <w:tcPr>
            <w:tcW w:w="1140" w:type="dxa"/>
            <w:vAlign w:val="bottom"/>
            <w:tcBorders>
              <w:top w:val="single" w:sz="8" w:color="auto"/>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Value of</w:t>
            </w:r>
          </w:p>
        </w:tc>
        <w:tc>
          <w:tcPr>
            <w:tcW w:w="1460" w:type="dxa"/>
            <w:vAlign w:val="bottom"/>
            <w:tcBorders>
              <w:top w:val="single" w:sz="8" w:color="auto"/>
              <w:right w:val="single" w:sz="8" w:color="auto"/>
            </w:tcBorders>
            <w:shd w:val="clear" w:color="auto" w:fill="4DC1E4"/>
          </w:tcPr>
          <w:p>
            <w:pPr>
              <w:spacing w:after="0"/>
              <w:rPr>
                <w:sz w:val="17"/>
                <w:szCs w:val="17"/>
                <w:color w:val="auto"/>
              </w:rPr>
            </w:pPr>
          </w:p>
        </w:tc>
      </w:tr>
      <w:tr>
        <w:trPr>
          <w:trHeight w:val="203"/>
        </w:trPr>
        <w:tc>
          <w:tcPr>
            <w:tcW w:w="640" w:type="dxa"/>
            <w:vAlign w:val="bottom"/>
            <w:tcBorders>
              <w:left w:val="single" w:sz="8" w:color="auto"/>
              <w:right w:val="single" w:sz="8" w:color="auto"/>
            </w:tcBorders>
            <w:shd w:val="clear" w:color="auto" w:fill="4DC1E4"/>
          </w:tcPr>
          <w:p>
            <w:pPr>
              <w:spacing w:after="0"/>
              <w:rPr>
                <w:sz w:val="17"/>
                <w:szCs w:val="17"/>
                <w:color w:val="auto"/>
              </w:rPr>
            </w:pPr>
          </w:p>
        </w:tc>
        <w:tc>
          <w:tcPr>
            <w:tcW w:w="1320" w:type="dxa"/>
            <w:vAlign w:val="bottom"/>
            <w:tcBorders>
              <w:right w:val="single" w:sz="8" w:color="auto"/>
            </w:tcBorders>
            <w:shd w:val="clear" w:color="auto" w:fill="4DC1E4"/>
          </w:tcPr>
          <w:p>
            <w:pPr>
              <w:spacing w:after="0"/>
              <w:rPr>
                <w:sz w:val="17"/>
                <w:szCs w:val="17"/>
                <w:color w:val="auto"/>
              </w:rPr>
            </w:pPr>
          </w:p>
        </w:tc>
        <w:tc>
          <w:tcPr>
            <w:tcW w:w="1440" w:type="dxa"/>
            <w:vAlign w:val="bottom"/>
            <w:tcBorders>
              <w:right w:val="single" w:sz="8" w:color="auto"/>
            </w:tcBorders>
            <w:shd w:val="clear" w:color="auto" w:fill="4DC1E4"/>
          </w:tcPr>
          <w:p>
            <w:pPr>
              <w:spacing w:after="0"/>
              <w:rPr>
                <w:sz w:val="17"/>
                <w:szCs w:val="17"/>
                <w:color w:val="auto"/>
              </w:rPr>
            </w:pPr>
          </w:p>
        </w:tc>
        <w:tc>
          <w:tcPr>
            <w:tcW w:w="1140" w:type="dxa"/>
            <w:vAlign w:val="bottom"/>
            <w:tcBorders>
              <w:right w:val="single" w:sz="8" w:color="auto"/>
            </w:tcBorders>
            <w:shd w:val="clear" w:color="auto" w:fill="4DC1E4"/>
          </w:tcPr>
          <w:p>
            <w:pPr>
              <w:spacing w:after="0"/>
              <w:rPr>
                <w:sz w:val="17"/>
                <w:szCs w:val="17"/>
                <w:color w:val="auto"/>
              </w:rPr>
            </w:pPr>
          </w:p>
        </w:tc>
        <w:tc>
          <w:tcPr>
            <w:tcW w:w="1460" w:type="dxa"/>
            <w:vAlign w:val="bottom"/>
            <w:tcBorders>
              <w:right w:val="single" w:sz="8" w:color="auto"/>
            </w:tcBorders>
            <w:shd w:val="clear" w:color="auto" w:fill="4DC1E4"/>
          </w:tcPr>
          <w:p>
            <w:pPr>
              <w:spacing w:after="0"/>
              <w:rPr>
                <w:sz w:val="17"/>
                <w:szCs w:val="17"/>
                <w:color w:val="auto"/>
              </w:rPr>
            </w:pPr>
          </w:p>
        </w:tc>
        <w:tc>
          <w:tcPr>
            <w:tcW w:w="1140" w:type="dxa"/>
            <w:vAlign w:val="bottom"/>
            <w:tcBorders>
              <w:right w:val="single" w:sz="8" w:color="auto"/>
            </w:tcBorders>
            <w:shd w:val="clear" w:color="auto" w:fill="4DC1E4"/>
          </w:tcPr>
          <w:p>
            <w:pPr>
              <w:spacing w:after="0"/>
              <w:rPr>
                <w:sz w:val="17"/>
                <w:szCs w:val="17"/>
                <w:color w:val="auto"/>
              </w:rPr>
            </w:pP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Dividends or</w:t>
            </w:r>
          </w:p>
        </w:tc>
        <w:tc>
          <w:tcPr>
            <w:tcW w:w="1460" w:type="dxa"/>
            <w:vAlign w:val="bottom"/>
            <w:tcBorders>
              <w:right w:val="single" w:sz="8" w:color="auto"/>
            </w:tcBorders>
            <w:shd w:val="clear" w:color="auto" w:fill="4DC1E4"/>
          </w:tcPr>
          <w:p>
            <w:pPr>
              <w:spacing w:after="0"/>
              <w:rPr>
                <w:sz w:val="17"/>
                <w:szCs w:val="17"/>
                <w:color w:val="auto"/>
              </w:rPr>
            </w:pPr>
          </w:p>
        </w:tc>
      </w:tr>
      <w:tr>
        <w:trPr>
          <w:trHeight w:val="203"/>
        </w:trPr>
        <w:tc>
          <w:tcPr>
            <w:tcW w:w="640" w:type="dxa"/>
            <w:vAlign w:val="bottom"/>
            <w:tcBorders>
              <w:left w:val="single" w:sz="8" w:color="auto"/>
              <w:right w:val="single" w:sz="8" w:color="auto"/>
            </w:tcBorders>
            <w:shd w:val="clear" w:color="auto" w:fill="4DC1E4"/>
          </w:tcPr>
          <w:p>
            <w:pPr>
              <w:spacing w:after="0"/>
              <w:rPr>
                <w:sz w:val="17"/>
                <w:szCs w:val="17"/>
                <w:color w:val="auto"/>
              </w:rPr>
            </w:pPr>
          </w:p>
        </w:tc>
        <w:tc>
          <w:tcPr>
            <w:tcW w:w="1320" w:type="dxa"/>
            <w:vAlign w:val="bottom"/>
            <w:tcBorders>
              <w:right w:val="single" w:sz="8" w:color="auto"/>
            </w:tcBorders>
            <w:shd w:val="clear" w:color="auto" w:fill="4DC1E4"/>
          </w:tcPr>
          <w:p>
            <w:pPr>
              <w:spacing w:after="0"/>
              <w:rPr>
                <w:sz w:val="17"/>
                <w:szCs w:val="17"/>
                <w:color w:val="auto"/>
              </w:rPr>
            </w:pPr>
          </w:p>
        </w:tc>
        <w:tc>
          <w:tcPr>
            <w:tcW w:w="1440" w:type="dxa"/>
            <w:vAlign w:val="bottom"/>
            <w:tcBorders>
              <w:right w:val="single" w:sz="8" w:color="auto"/>
            </w:tcBorders>
            <w:shd w:val="clear" w:color="auto" w:fill="4DC1E4"/>
          </w:tcPr>
          <w:p>
            <w:pPr>
              <w:spacing w:after="0"/>
              <w:rPr>
                <w:sz w:val="17"/>
                <w:szCs w:val="17"/>
                <w:color w:val="auto"/>
              </w:rPr>
            </w:pPr>
          </w:p>
        </w:tc>
        <w:tc>
          <w:tcPr>
            <w:tcW w:w="1140" w:type="dxa"/>
            <w:vAlign w:val="bottom"/>
            <w:tcBorders>
              <w:right w:val="single" w:sz="8" w:color="auto"/>
            </w:tcBorders>
            <w:shd w:val="clear" w:color="auto" w:fill="4DC1E4"/>
          </w:tcPr>
          <w:p>
            <w:pPr>
              <w:spacing w:after="0"/>
              <w:rPr>
                <w:sz w:val="17"/>
                <w:szCs w:val="17"/>
                <w:color w:val="auto"/>
              </w:rPr>
            </w:pPr>
          </w:p>
        </w:tc>
        <w:tc>
          <w:tcPr>
            <w:tcW w:w="1460" w:type="dxa"/>
            <w:vAlign w:val="bottom"/>
            <w:tcBorders>
              <w:right w:val="single" w:sz="8" w:color="auto"/>
            </w:tcBorders>
            <w:shd w:val="clear" w:color="auto" w:fill="4DC1E4"/>
          </w:tcPr>
          <w:p>
            <w:pPr>
              <w:spacing w:after="0"/>
              <w:rPr>
                <w:sz w:val="17"/>
                <w:szCs w:val="17"/>
                <w:color w:val="auto"/>
              </w:rPr>
            </w:pPr>
          </w:p>
        </w:tc>
        <w:tc>
          <w:tcPr>
            <w:tcW w:w="1140" w:type="dxa"/>
            <w:vAlign w:val="bottom"/>
            <w:tcBorders>
              <w:right w:val="single" w:sz="8" w:color="auto"/>
            </w:tcBorders>
            <w:shd w:val="clear" w:color="auto" w:fill="4DC1E4"/>
          </w:tcPr>
          <w:p>
            <w:pPr>
              <w:spacing w:after="0"/>
              <w:rPr>
                <w:sz w:val="17"/>
                <w:szCs w:val="17"/>
                <w:color w:val="auto"/>
              </w:rPr>
            </w:pP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other</w:t>
            </w:r>
          </w:p>
        </w:tc>
        <w:tc>
          <w:tcPr>
            <w:tcW w:w="1460" w:type="dxa"/>
            <w:vAlign w:val="bottom"/>
            <w:tcBorders>
              <w:right w:val="single" w:sz="8" w:color="auto"/>
            </w:tcBorders>
            <w:shd w:val="clear" w:color="auto" w:fill="4DC1E4"/>
          </w:tcPr>
          <w:p>
            <w:pPr>
              <w:spacing w:after="0"/>
              <w:rPr>
                <w:sz w:val="17"/>
                <w:szCs w:val="17"/>
                <w:color w:val="auto"/>
              </w:rPr>
            </w:pPr>
          </w:p>
        </w:tc>
      </w:tr>
      <w:tr>
        <w:trPr>
          <w:trHeight w:val="203"/>
        </w:trPr>
        <w:tc>
          <w:tcPr>
            <w:tcW w:w="640" w:type="dxa"/>
            <w:vAlign w:val="bottom"/>
            <w:tcBorders>
              <w:left w:val="single" w:sz="8" w:color="auto"/>
              <w:right w:val="single" w:sz="8" w:color="auto"/>
            </w:tcBorders>
            <w:shd w:val="clear" w:color="auto" w:fill="4DC1E4"/>
          </w:tcPr>
          <w:p>
            <w:pPr>
              <w:spacing w:after="0"/>
              <w:rPr>
                <w:sz w:val="17"/>
                <w:szCs w:val="17"/>
                <w:color w:val="auto"/>
              </w:rPr>
            </w:pPr>
          </w:p>
        </w:tc>
        <w:tc>
          <w:tcPr>
            <w:tcW w:w="1320" w:type="dxa"/>
            <w:vAlign w:val="bottom"/>
            <w:tcBorders>
              <w:right w:val="single" w:sz="8" w:color="auto"/>
            </w:tcBorders>
            <w:shd w:val="clear" w:color="auto" w:fill="4DC1E4"/>
          </w:tcPr>
          <w:p>
            <w:pPr>
              <w:spacing w:after="0"/>
              <w:rPr>
                <w:sz w:val="17"/>
                <w:szCs w:val="17"/>
                <w:color w:val="auto"/>
              </w:rPr>
            </w:pPr>
          </w:p>
        </w:tc>
        <w:tc>
          <w:tcPr>
            <w:tcW w:w="1440" w:type="dxa"/>
            <w:vAlign w:val="bottom"/>
            <w:tcBorders>
              <w:right w:val="single" w:sz="8" w:color="auto"/>
            </w:tcBorders>
            <w:shd w:val="clear" w:color="auto" w:fill="4DC1E4"/>
          </w:tcPr>
          <w:p>
            <w:pPr>
              <w:spacing w:after="0"/>
              <w:rPr>
                <w:sz w:val="17"/>
                <w:szCs w:val="17"/>
                <w:color w:val="auto"/>
              </w:rPr>
            </w:pPr>
          </w:p>
        </w:tc>
        <w:tc>
          <w:tcPr>
            <w:tcW w:w="1140" w:type="dxa"/>
            <w:vAlign w:val="bottom"/>
            <w:tcBorders>
              <w:right w:val="single" w:sz="8" w:color="auto"/>
            </w:tcBorders>
            <w:shd w:val="clear" w:color="auto" w:fill="4DC1E4"/>
          </w:tcPr>
          <w:p>
            <w:pPr>
              <w:spacing w:after="0"/>
              <w:rPr>
                <w:sz w:val="17"/>
                <w:szCs w:val="17"/>
                <w:color w:val="auto"/>
              </w:rPr>
            </w:pPr>
          </w:p>
        </w:tc>
        <w:tc>
          <w:tcPr>
            <w:tcW w:w="1460" w:type="dxa"/>
            <w:vAlign w:val="bottom"/>
            <w:tcBorders>
              <w:right w:val="single" w:sz="8" w:color="auto"/>
            </w:tcBorders>
            <w:shd w:val="clear" w:color="auto" w:fill="4DC1E4"/>
          </w:tcPr>
          <w:p>
            <w:pPr>
              <w:spacing w:after="0"/>
              <w:rPr>
                <w:sz w:val="17"/>
                <w:szCs w:val="17"/>
                <w:color w:val="auto"/>
              </w:rPr>
            </w:pP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Fair Value at</w:t>
            </w: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Earnings</w:t>
            </w:r>
          </w:p>
        </w:tc>
        <w:tc>
          <w:tcPr>
            <w:tcW w:w="1460" w:type="dxa"/>
            <w:vAlign w:val="bottom"/>
            <w:tcBorders>
              <w:right w:val="single" w:sz="8" w:color="auto"/>
            </w:tcBorders>
            <w:shd w:val="clear" w:color="auto" w:fill="4DC1E4"/>
          </w:tcPr>
          <w:p>
            <w:pPr>
              <w:spacing w:after="0"/>
              <w:rPr>
                <w:sz w:val="17"/>
                <w:szCs w:val="17"/>
                <w:color w:val="auto"/>
              </w:rPr>
            </w:pPr>
          </w:p>
        </w:tc>
      </w:tr>
      <w:tr>
        <w:trPr>
          <w:trHeight w:val="203"/>
        </w:trPr>
        <w:tc>
          <w:tcPr>
            <w:tcW w:w="640" w:type="dxa"/>
            <w:vAlign w:val="bottom"/>
            <w:tcBorders>
              <w:left w:val="single" w:sz="8" w:color="auto"/>
              <w:right w:val="single" w:sz="8" w:color="auto"/>
            </w:tcBorders>
            <w:shd w:val="clear" w:color="auto" w:fill="4DC1E4"/>
          </w:tcPr>
          <w:p>
            <w:pPr>
              <w:spacing w:after="0"/>
              <w:rPr>
                <w:sz w:val="17"/>
                <w:szCs w:val="17"/>
                <w:color w:val="auto"/>
              </w:rPr>
            </w:pPr>
          </w:p>
        </w:tc>
        <w:tc>
          <w:tcPr>
            <w:tcW w:w="1320" w:type="dxa"/>
            <w:vAlign w:val="bottom"/>
            <w:tcBorders>
              <w:right w:val="single" w:sz="8" w:color="auto"/>
            </w:tcBorders>
            <w:shd w:val="clear" w:color="auto" w:fill="4DC1E4"/>
          </w:tcPr>
          <w:p>
            <w:pPr>
              <w:spacing w:after="0"/>
              <w:rPr>
                <w:sz w:val="17"/>
                <w:szCs w:val="17"/>
                <w:color w:val="auto"/>
              </w:rPr>
            </w:pPr>
          </w:p>
        </w:tc>
        <w:tc>
          <w:tcPr>
            <w:tcW w:w="14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Year over</w:t>
            </w:r>
          </w:p>
        </w:tc>
        <w:tc>
          <w:tcPr>
            <w:tcW w:w="1140" w:type="dxa"/>
            <w:vAlign w:val="bottom"/>
            <w:tcBorders>
              <w:right w:val="single" w:sz="8" w:color="auto"/>
            </w:tcBorders>
            <w:shd w:val="clear" w:color="auto" w:fill="4DC1E4"/>
          </w:tcPr>
          <w:p>
            <w:pPr>
              <w:spacing w:after="0"/>
              <w:rPr>
                <w:sz w:val="17"/>
                <w:szCs w:val="17"/>
                <w:color w:val="auto"/>
              </w:rPr>
            </w:pPr>
          </w:p>
        </w:tc>
        <w:tc>
          <w:tcPr>
            <w:tcW w:w="1460" w:type="dxa"/>
            <w:vAlign w:val="bottom"/>
            <w:tcBorders>
              <w:right w:val="single" w:sz="8" w:color="auto"/>
            </w:tcBorders>
            <w:shd w:val="clear" w:color="auto" w:fill="4DC1E4"/>
          </w:tcPr>
          <w:p>
            <w:pPr>
              <w:spacing w:after="0"/>
              <w:rPr>
                <w:sz w:val="17"/>
                <w:szCs w:val="17"/>
                <w:color w:val="auto"/>
              </w:rPr>
            </w:pP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the End of</w:t>
            </w: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Paid on Stock</w:t>
            </w:r>
          </w:p>
        </w:tc>
        <w:tc>
          <w:tcPr>
            <w:tcW w:w="1460" w:type="dxa"/>
            <w:vAlign w:val="bottom"/>
            <w:tcBorders>
              <w:right w:val="single" w:sz="8" w:color="auto"/>
            </w:tcBorders>
            <w:shd w:val="clear" w:color="auto" w:fill="4DC1E4"/>
          </w:tcPr>
          <w:p>
            <w:pPr>
              <w:spacing w:after="0"/>
              <w:rPr>
                <w:sz w:val="17"/>
                <w:szCs w:val="17"/>
                <w:color w:val="auto"/>
              </w:rPr>
            </w:pPr>
          </w:p>
        </w:tc>
      </w:tr>
      <w:tr>
        <w:trPr>
          <w:trHeight w:val="203"/>
        </w:trPr>
        <w:tc>
          <w:tcPr>
            <w:tcW w:w="640" w:type="dxa"/>
            <w:vAlign w:val="bottom"/>
            <w:tcBorders>
              <w:left w:val="single" w:sz="8" w:color="auto"/>
              <w:right w:val="single" w:sz="8" w:color="auto"/>
            </w:tcBorders>
            <w:shd w:val="clear" w:color="auto" w:fill="4DC1E4"/>
          </w:tcPr>
          <w:p>
            <w:pPr>
              <w:spacing w:after="0"/>
              <w:rPr>
                <w:sz w:val="17"/>
                <w:szCs w:val="17"/>
                <w:color w:val="auto"/>
              </w:rPr>
            </w:pPr>
          </w:p>
        </w:tc>
        <w:tc>
          <w:tcPr>
            <w:tcW w:w="13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Year End</w:t>
            </w:r>
          </w:p>
        </w:tc>
        <w:tc>
          <w:tcPr>
            <w:tcW w:w="14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Year Change in</w:t>
            </w: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Fair Value</w:t>
            </w:r>
          </w:p>
        </w:tc>
        <w:tc>
          <w:tcPr>
            <w:tcW w:w="14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Year over</w:t>
            </w: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the Prior</w:t>
            </w: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or Option</w:t>
            </w:r>
          </w:p>
        </w:tc>
        <w:tc>
          <w:tcPr>
            <w:tcW w:w="1460" w:type="dxa"/>
            <w:vAlign w:val="bottom"/>
            <w:tcBorders>
              <w:right w:val="single" w:sz="8" w:color="auto"/>
            </w:tcBorders>
            <w:shd w:val="clear" w:color="auto" w:fill="4DC1E4"/>
          </w:tcPr>
          <w:p>
            <w:pPr>
              <w:spacing w:after="0"/>
              <w:rPr>
                <w:sz w:val="17"/>
                <w:szCs w:val="17"/>
                <w:color w:val="auto"/>
              </w:rPr>
            </w:pPr>
          </w:p>
        </w:tc>
      </w:tr>
      <w:tr>
        <w:trPr>
          <w:trHeight w:val="203"/>
        </w:trPr>
        <w:tc>
          <w:tcPr>
            <w:tcW w:w="640" w:type="dxa"/>
            <w:vAlign w:val="bottom"/>
            <w:tcBorders>
              <w:left w:val="single" w:sz="8" w:color="auto"/>
              <w:right w:val="single" w:sz="8" w:color="auto"/>
            </w:tcBorders>
            <w:shd w:val="clear" w:color="auto" w:fill="4DC1E4"/>
          </w:tcPr>
          <w:p>
            <w:pPr>
              <w:spacing w:after="0"/>
              <w:rPr>
                <w:sz w:val="17"/>
                <w:szCs w:val="17"/>
                <w:color w:val="auto"/>
              </w:rPr>
            </w:pPr>
          </w:p>
        </w:tc>
        <w:tc>
          <w:tcPr>
            <w:tcW w:w="13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Fair Value</w:t>
            </w:r>
          </w:p>
        </w:tc>
        <w:tc>
          <w:tcPr>
            <w:tcW w:w="14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Fair Value</w:t>
            </w: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as of Vesting</w:t>
            </w:r>
          </w:p>
        </w:tc>
        <w:tc>
          <w:tcPr>
            <w:tcW w:w="14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Year Change in</w:t>
            </w: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Year of Equity</w:t>
            </w: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Awards</w:t>
            </w:r>
          </w:p>
        </w:tc>
        <w:tc>
          <w:tcPr>
            <w:tcW w:w="1460" w:type="dxa"/>
            <w:vAlign w:val="bottom"/>
            <w:tcBorders>
              <w:right w:val="single" w:sz="8" w:color="auto"/>
            </w:tcBorders>
            <w:shd w:val="clear" w:color="auto" w:fill="4DC1E4"/>
          </w:tcPr>
          <w:p>
            <w:pPr>
              <w:spacing w:after="0"/>
              <w:rPr>
                <w:sz w:val="17"/>
                <w:szCs w:val="17"/>
                <w:color w:val="auto"/>
              </w:rPr>
            </w:pPr>
          </w:p>
        </w:tc>
      </w:tr>
      <w:tr>
        <w:trPr>
          <w:trHeight w:val="203"/>
        </w:trPr>
        <w:tc>
          <w:tcPr>
            <w:tcW w:w="640" w:type="dxa"/>
            <w:vAlign w:val="bottom"/>
            <w:tcBorders>
              <w:left w:val="single" w:sz="8" w:color="auto"/>
              <w:right w:val="single" w:sz="8" w:color="auto"/>
            </w:tcBorders>
            <w:shd w:val="clear" w:color="auto" w:fill="4DC1E4"/>
          </w:tcPr>
          <w:p>
            <w:pPr>
              <w:spacing w:after="0"/>
              <w:rPr>
                <w:sz w:val="17"/>
                <w:szCs w:val="17"/>
                <w:color w:val="auto"/>
              </w:rPr>
            </w:pPr>
          </w:p>
        </w:tc>
        <w:tc>
          <w:tcPr>
            <w:tcW w:w="13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of Outstanding</w:t>
            </w:r>
          </w:p>
        </w:tc>
        <w:tc>
          <w:tcPr>
            <w:tcW w:w="14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of Outstanding</w:t>
            </w: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Date of Equity</w:t>
            </w:r>
          </w:p>
        </w:tc>
        <w:tc>
          <w:tcPr>
            <w:tcW w:w="14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Fair Value of</w:t>
            </w: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Awards that</w:t>
            </w: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not Otherwise</w:t>
            </w:r>
          </w:p>
        </w:tc>
        <w:tc>
          <w:tcPr>
            <w:tcW w:w="1460" w:type="dxa"/>
            <w:vAlign w:val="bottom"/>
            <w:tcBorders>
              <w:right w:val="single" w:sz="8" w:color="auto"/>
            </w:tcBorders>
            <w:shd w:val="clear" w:color="auto" w:fill="4DC1E4"/>
          </w:tcPr>
          <w:p>
            <w:pPr>
              <w:spacing w:after="0"/>
              <w:rPr>
                <w:sz w:val="17"/>
                <w:szCs w:val="17"/>
                <w:color w:val="auto"/>
              </w:rPr>
            </w:pPr>
          </w:p>
        </w:tc>
      </w:tr>
      <w:tr>
        <w:trPr>
          <w:trHeight w:val="203"/>
        </w:trPr>
        <w:tc>
          <w:tcPr>
            <w:tcW w:w="640" w:type="dxa"/>
            <w:vAlign w:val="bottom"/>
            <w:tcBorders>
              <w:left w:val="single" w:sz="8" w:color="auto"/>
              <w:right w:val="single" w:sz="8" w:color="auto"/>
            </w:tcBorders>
            <w:shd w:val="clear" w:color="auto" w:fill="4DC1E4"/>
          </w:tcPr>
          <w:p>
            <w:pPr>
              <w:spacing w:after="0"/>
              <w:rPr>
                <w:sz w:val="17"/>
                <w:szCs w:val="17"/>
                <w:color w:val="auto"/>
              </w:rPr>
            </w:pPr>
          </w:p>
        </w:tc>
        <w:tc>
          <w:tcPr>
            <w:tcW w:w="132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and Unvested</w:t>
            </w:r>
          </w:p>
        </w:tc>
        <w:tc>
          <w:tcPr>
            <w:tcW w:w="14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and Unvested</w:t>
            </w: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Awards</w:t>
            </w:r>
          </w:p>
        </w:tc>
        <w:tc>
          <w:tcPr>
            <w:tcW w:w="14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Equity Awards</w:t>
            </w: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Failed to Meet</w:t>
            </w: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Reflected in</w:t>
            </w:r>
          </w:p>
        </w:tc>
        <w:tc>
          <w:tcPr>
            <w:tcW w:w="1460" w:type="dxa"/>
            <w:vAlign w:val="bottom"/>
            <w:tcBorders>
              <w:right w:val="single" w:sz="8" w:color="auto"/>
            </w:tcBorders>
            <w:shd w:val="clear" w:color="auto" w:fill="4DC1E4"/>
          </w:tcPr>
          <w:p>
            <w:pPr>
              <w:spacing w:after="0"/>
              <w:rPr>
                <w:sz w:val="17"/>
                <w:szCs w:val="17"/>
                <w:color w:val="auto"/>
              </w:rPr>
            </w:pPr>
          </w:p>
        </w:tc>
      </w:tr>
      <w:tr>
        <w:trPr>
          <w:trHeight w:val="203"/>
        </w:trPr>
        <w:tc>
          <w:tcPr>
            <w:tcW w:w="640" w:type="dxa"/>
            <w:vAlign w:val="bottom"/>
            <w:tcBorders>
              <w:left w:val="single" w:sz="8" w:color="auto"/>
              <w:right w:val="single" w:sz="8" w:color="auto"/>
            </w:tcBorders>
            <w:shd w:val="clear" w:color="auto" w:fill="4DC1E4"/>
          </w:tcPr>
          <w:p>
            <w:pPr>
              <w:spacing w:after="0"/>
              <w:rPr>
                <w:sz w:val="17"/>
                <w:szCs w:val="17"/>
                <w:color w:val="auto"/>
              </w:rPr>
            </w:pPr>
          </w:p>
        </w:tc>
        <w:tc>
          <w:tcPr>
            <w:tcW w:w="13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Equity Awards</w:t>
            </w:r>
          </w:p>
        </w:tc>
        <w:tc>
          <w:tcPr>
            <w:tcW w:w="14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Equity Awards</w:t>
            </w: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Granted</w:t>
            </w:r>
          </w:p>
        </w:tc>
        <w:tc>
          <w:tcPr>
            <w:tcW w:w="14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Granted in</w:t>
            </w: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Vesting</w:t>
            </w: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Fair Value</w:t>
            </w:r>
          </w:p>
        </w:tc>
        <w:tc>
          <w:tcPr>
            <w:tcW w:w="14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Total Equity</w:t>
            </w:r>
          </w:p>
        </w:tc>
      </w:tr>
      <w:tr>
        <w:trPr>
          <w:trHeight w:val="203"/>
        </w:trPr>
        <w:tc>
          <w:tcPr>
            <w:tcW w:w="640" w:type="dxa"/>
            <w:vAlign w:val="bottom"/>
            <w:tcBorders>
              <w:left w:val="single" w:sz="8" w:color="auto"/>
              <w:right w:val="single" w:sz="8" w:color="auto"/>
            </w:tcBorders>
            <w:shd w:val="clear" w:color="auto" w:fill="4DC1E4"/>
          </w:tcPr>
          <w:p>
            <w:pPr>
              <w:spacing w:after="0"/>
              <w:rPr>
                <w:sz w:val="17"/>
                <w:szCs w:val="17"/>
                <w:color w:val="auto"/>
              </w:rPr>
            </w:pPr>
          </w:p>
        </w:tc>
        <w:tc>
          <w:tcPr>
            <w:tcW w:w="13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Granted in</w:t>
            </w:r>
          </w:p>
        </w:tc>
        <w:tc>
          <w:tcPr>
            <w:tcW w:w="14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Granted in Prior</w:t>
            </w: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and Vested in</w:t>
            </w:r>
          </w:p>
        </w:tc>
        <w:tc>
          <w:tcPr>
            <w:tcW w:w="14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Prior Years that</w:t>
            </w: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Conditions</w:t>
            </w: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or Total</w:t>
            </w:r>
          </w:p>
        </w:tc>
        <w:tc>
          <w:tcPr>
            <w:tcW w:w="14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Award</w:t>
            </w:r>
          </w:p>
        </w:tc>
      </w:tr>
      <w:tr>
        <w:trPr>
          <w:trHeight w:val="203"/>
        </w:trPr>
        <w:tc>
          <w:tcPr>
            <w:tcW w:w="640" w:type="dxa"/>
            <w:vAlign w:val="bottom"/>
            <w:tcBorders>
              <w:left w:val="single" w:sz="8" w:color="auto"/>
              <w:right w:val="single" w:sz="8" w:color="auto"/>
            </w:tcBorders>
            <w:shd w:val="clear" w:color="auto" w:fill="4DC1E4"/>
          </w:tcPr>
          <w:p>
            <w:pPr>
              <w:spacing w:after="0"/>
              <w:rPr>
                <w:sz w:val="17"/>
                <w:szCs w:val="17"/>
                <w:color w:val="auto"/>
              </w:rPr>
            </w:pPr>
          </w:p>
        </w:tc>
        <w:tc>
          <w:tcPr>
            <w:tcW w:w="13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the Year</w:t>
            </w:r>
          </w:p>
        </w:tc>
        <w:tc>
          <w:tcPr>
            <w:tcW w:w="14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Years</w:t>
            </w: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the Year</w:t>
            </w:r>
          </w:p>
        </w:tc>
        <w:tc>
          <w:tcPr>
            <w:tcW w:w="14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Vested in the Year</w:t>
            </w: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in the Year</w:t>
            </w: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Compensation</w:t>
            </w:r>
          </w:p>
        </w:tc>
        <w:tc>
          <w:tcPr>
            <w:tcW w:w="14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Adjustments</w:t>
            </w:r>
          </w:p>
        </w:tc>
      </w:tr>
      <w:tr>
        <w:trPr>
          <w:trHeight w:val="264"/>
        </w:trPr>
        <w:tc>
          <w:tcPr>
            <w:tcW w:w="640" w:type="dxa"/>
            <w:vAlign w:val="bottom"/>
            <w:tcBorders>
              <w:left w:val="single" w:sz="8" w:color="auto"/>
              <w:bottom w:val="single" w:sz="8" w:color="4DC1E4"/>
              <w:right w:val="single" w:sz="8" w:color="auto"/>
            </w:tcBorders>
            <w:shd w:val="clear" w:color="auto" w:fill="4DC1E4"/>
          </w:tcPr>
          <w:p>
            <w:pPr>
              <w:jc w:val="right"/>
              <w:ind w:right="79"/>
              <w:spacing w:after="0"/>
              <w:rPr>
                <w:sz w:val="20"/>
                <w:szCs w:val="20"/>
                <w:color w:val="auto"/>
              </w:rPr>
            </w:pPr>
            <w:r>
              <w:rPr>
                <w:rFonts w:ascii="Times New Roman" w:cs="Times New Roman" w:eastAsia="Times New Roman" w:hAnsi="Times New Roman"/>
                <w:sz w:val="16"/>
                <w:szCs w:val="16"/>
                <w:b w:val="1"/>
                <w:bCs w:val="1"/>
                <w:color w:val="FFFFFF"/>
              </w:rPr>
              <w:t>Year</w:t>
            </w:r>
          </w:p>
        </w:tc>
        <w:tc>
          <w:tcPr>
            <w:tcW w:w="1320" w:type="dxa"/>
            <w:vAlign w:val="bottom"/>
            <w:tcBorders>
              <w:bottom w:val="single" w:sz="8" w:color="4DC1E4"/>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w:t>
            </w:r>
          </w:p>
        </w:tc>
        <w:tc>
          <w:tcPr>
            <w:tcW w:w="1440" w:type="dxa"/>
            <w:vAlign w:val="bottom"/>
            <w:tcBorders>
              <w:bottom w:val="single" w:sz="8" w:color="4DC1E4"/>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w:t>
            </w:r>
          </w:p>
        </w:tc>
        <w:tc>
          <w:tcPr>
            <w:tcW w:w="1140" w:type="dxa"/>
            <w:vAlign w:val="bottom"/>
            <w:tcBorders>
              <w:bottom w:val="single" w:sz="8" w:color="4DC1E4"/>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w:t>
            </w:r>
          </w:p>
        </w:tc>
        <w:tc>
          <w:tcPr>
            <w:tcW w:w="1460" w:type="dxa"/>
            <w:vAlign w:val="bottom"/>
            <w:tcBorders>
              <w:bottom w:val="single" w:sz="8" w:color="4DC1E4"/>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w:t>
            </w:r>
          </w:p>
        </w:tc>
        <w:tc>
          <w:tcPr>
            <w:tcW w:w="1140" w:type="dxa"/>
            <w:vAlign w:val="bottom"/>
            <w:tcBorders>
              <w:bottom w:val="single" w:sz="8" w:color="4DC1E4"/>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6"/>
              </w:rPr>
              <w:t>($)</w:t>
            </w:r>
          </w:p>
        </w:tc>
        <w:tc>
          <w:tcPr>
            <w:tcW w:w="1140" w:type="dxa"/>
            <w:vAlign w:val="bottom"/>
            <w:tcBorders>
              <w:bottom w:val="single" w:sz="8" w:color="4DC1E4"/>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w:t>
            </w:r>
          </w:p>
        </w:tc>
        <w:tc>
          <w:tcPr>
            <w:tcW w:w="1460" w:type="dxa"/>
            <w:vAlign w:val="bottom"/>
            <w:tcBorders>
              <w:bottom w:val="single" w:sz="8" w:color="4DC1E4"/>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w:t>
            </w:r>
          </w:p>
        </w:tc>
      </w:tr>
      <w:tr>
        <w:trPr>
          <w:trHeight w:val="196"/>
        </w:trPr>
        <w:tc>
          <w:tcPr>
            <w:tcW w:w="640" w:type="dxa"/>
            <w:vAlign w:val="bottom"/>
            <w:tcBorders>
              <w:top w:val="single" w:sz="8" w:color="auto"/>
              <w:left w:val="single" w:sz="8" w:color="auto"/>
              <w:bottom w:val="single" w:sz="8" w:color="auto"/>
              <w:right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w:t>
            </w:r>
          </w:p>
        </w:tc>
        <w:tc>
          <w:tcPr>
            <w:tcW w:w="13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w:t>
            </w:r>
          </w:p>
        </w:tc>
        <w:tc>
          <w:tcPr>
            <w:tcW w:w="14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c>
          <w:tcPr>
            <w:tcW w:w="1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w:t>
            </w:r>
          </w:p>
        </w:tc>
        <w:tc>
          <w:tcPr>
            <w:tcW w:w="1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w:t>
            </w:r>
          </w:p>
        </w:tc>
        <w:tc>
          <w:tcPr>
            <w:tcW w:w="1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w:t>
            </w:r>
          </w:p>
        </w:tc>
        <w:tc>
          <w:tcPr>
            <w:tcW w:w="1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(g)</w:t>
            </w:r>
          </w:p>
        </w:tc>
        <w:tc>
          <w:tcPr>
            <w:tcW w:w="1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(h)</w:t>
            </w:r>
          </w:p>
        </w:tc>
      </w:tr>
      <w:tr>
        <w:trPr>
          <w:trHeight w:val="196"/>
        </w:trPr>
        <w:tc>
          <w:tcPr>
            <w:tcW w:w="640" w:type="dxa"/>
            <w:vAlign w:val="bottom"/>
            <w:tcBorders>
              <w:left w:val="single" w:sz="8" w:color="auto"/>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2025</w:t>
            </w:r>
          </w:p>
        </w:tc>
        <w:tc>
          <w:tcPr>
            <w:tcW w:w="1320" w:type="dxa"/>
            <w:vAlign w:val="bottom"/>
            <w:tcBorders>
              <w:bottom w:val="single" w:sz="8" w:color="auto"/>
              <w:right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$524,074</w:t>
            </w:r>
          </w:p>
        </w:tc>
        <w:tc>
          <w:tcPr>
            <w:tcW w:w="1440" w:type="dxa"/>
            <w:vAlign w:val="bottom"/>
            <w:tcBorders>
              <w:bottom w:val="single" w:sz="8" w:color="auto"/>
              <w:right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$(29,036)</w:t>
            </w:r>
          </w:p>
        </w:tc>
        <w:tc>
          <w:tcPr>
            <w:tcW w:w="1140" w:type="dxa"/>
            <w:vAlign w:val="bottom"/>
            <w:tcBorders>
              <w:bottom w:val="single" w:sz="8" w:color="auto"/>
              <w:righ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right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$(135,164)</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righ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right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$376,890</w:t>
            </w:r>
          </w:p>
        </w:tc>
      </w:tr>
      <w:tr>
        <w:trPr>
          <w:trHeight w:val="196"/>
        </w:trPr>
        <w:tc>
          <w:tcPr>
            <w:tcW w:w="640" w:type="dxa"/>
            <w:vAlign w:val="bottom"/>
            <w:tcBorders>
              <w:left w:val="single" w:sz="8" w:color="auto"/>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2024</w:t>
            </w:r>
          </w:p>
        </w:tc>
        <w:tc>
          <w:tcPr>
            <w:tcW w:w="1320" w:type="dxa"/>
            <w:vAlign w:val="bottom"/>
            <w:tcBorders>
              <w:bottom w:val="single" w:sz="8" w:color="auto"/>
              <w:right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$475,685</w:t>
            </w:r>
          </w:p>
        </w:tc>
        <w:tc>
          <w:tcPr>
            <w:tcW w:w="1440" w:type="dxa"/>
            <w:vAlign w:val="bottom"/>
            <w:tcBorders>
              <w:bottom w:val="single" w:sz="8" w:color="auto"/>
              <w:right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$(88,113)</w:t>
            </w:r>
          </w:p>
        </w:tc>
        <w:tc>
          <w:tcPr>
            <w:tcW w:w="1140" w:type="dxa"/>
            <w:vAlign w:val="bottom"/>
            <w:tcBorders>
              <w:bottom w:val="single" w:sz="8" w:color="auto"/>
              <w:righ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right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$230,182</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righ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right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$617,754</w:t>
            </w:r>
          </w:p>
        </w:tc>
      </w:tr>
      <w:tr>
        <w:trPr>
          <w:trHeight w:val="196"/>
        </w:trPr>
        <w:tc>
          <w:tcPr>
            <w:tcW w:w="640" w:type="dxa"/>
            <w:vAlign w:val="bottom"/>
            <w:tcBorders>
              <w:left w:val="single" w:sz="8" w:color="auto"/>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2023</w:t>
            </w:r>
          </w:p>
        </w:tc>
        <w:tc>
          <w:tcPr>
            <w:tcW w:w="1320" w:type="dxa"/>
            <w:vAlign w:val="bottom"/>
            <w:tcBorders>
              <w:bottom w:val="single" w:sz="8" w:color="auto"/>
              <w:right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$670,439</w:t>
            </w:r>
          </w:p>
        </w:tc>
        <w:tc>
          <w:tcPr>
            <w:tcW w:w="1440" w:type="dxa"/>
            <w:vAlign w:val="bottom"/>
            <w:tcBorders>
              <w:bottom w:val="single" w:sz="8" w:color="auto"/>
              <w:right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$(2,995)</w:t>
            </w:r>
          </w:p>
        </w:tc>
        <w:tc>
          <w:tcPr>
            <w:tcW w:w="1140" w:type="dxa"/>
            <w:vAlign w:val="bottom"/>
            <w:tcBorders>
              <w:bottom w:val="single" w:sz="8" w:color="auto"/>
              <w:righ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right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$7,310</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righ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right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$674,754</w:t>
            </w:r>
          </w:p>
        </w:tc>
      </w:tr>
    </w:tbl>
    <w:p>
      <w:pPr>
        <w:spacing w:after="0" w:line="198" w:lineRule="exact"/>
        <w:rPr>
          <w:sz w:val="20"/>
          <w:szCs w:val="20"/>
          <w:color w:val="auto"/>
        </w:rPr>
      </w:pPr>
    </w:p>
    <w:p>
      <w:pPr>
        <w:jc w:val="both"/>
        <w:ind w:left="660" w:hanging="656"/>
        <w:spacing w:after="0" w:line="254"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TSR is calculated by dividing the sum of the cumulative amount of dividends for the measurement period, assuming dividend reinvestment, and the difference between our stock price at the end and the beginning of the measurement period by our stock price at the beginning of the measurement period. The beginning of the measurement period is December 31, 2022 and the end of each of the three measurement periods presented are December 31, 2023, 2024 and 2025. No dividends were paid on stock or option awards in 2023, 2024 or 2025.</w:t>
      </w:r>
    </w:p>
    <w:p>
      <w:pPr>
        <w:spacing w:after="0" w:line="3" w:lineRule="exact"/>
        <w:rPr>
          <w:rFonts w:ascii="Times New Roman" w:cs="Times New Roman" w:eastAsia="Times New Roman" w:hAnsi="Times New Roman"/>
          <w:sz w:val="18"/>
          <w:szCs w:val="18"/>
          <w:color w:val="auto"/>
        </w:rPr>
      </w:pPr>
    </w:p>
    <w:p>
      <w:pPr>
        <w:ind w:left="660" w:hanging="656"/>
        <w:spacing w:after="0" w:line="26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represent the amount of net income (loss) reflected in our consolidated audited financial statements for the applicable year.</w:t>
      </w:r>
    </w:p>
    <w:p>
      <w:pPr>
        <w:spacing w:after="0" w:line="29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44" w:name="page45"/>
    <w:bookmarkEnd w:id="44"/>
    <w:p>
      <w:pPr>
        <w:ind w:left="100"/>
        <w:spacing w:after="0"/>
        <w:rPr>
          <w:sz w:val="20"/>
          <w:szCs w:val="20"/>
          <w:color w:val="auto"/>
        </w:rPr>
      </w:pPr>
      <w:r>
        <w:rPr>
          <w:rFonts w:ascii="Times New Roman" w:cs="Times New Roman" w:eastAsia="Times New Roman" w:hAnsi="Times New Roman"/>
          <w:sz w:val="22"/>
          <w:szCs w:val="22"/>
          <w:b w:val="1"/>
          <w:bCs w:val="1"/>
          <w:color w:val="auto"/>
        </w:rPr>
        <w:t>EXECUTIVE COMPENSATION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the Information Presented in the Pay Versus Performance Table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generally seek to incentivize long-term performance, and therefore do not specifically align our performance measures with “compensation actually paid” (as computed in accordance with Item 402(v) of Regulation S-K) for a particular year. In accordance with Item 402(v) of Regulation S-K, we are providing the following descriptions of the relationships between information presented in the Pay Versus Performance table.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Actually Paid and Net Income (Loss)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we are not a commercial-stage company, we did not have any revenue during the periods presented. Consequently, we have not historically looked to net income (loss) as a performance measure for our executive compensation programs.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the Relationship Between Compensation Actually Paid and Total Shareholder Return</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Item 402(v) of Regulation S-K, we are providing the following graphs to illustrate the relationship between the pay and performance figures that are included in the pay versus performance tabular disclosures above. As noted above, "compensation actually paid" to our PEO and the average of the compensation actually paid to our non-PEOs with (i) our cumulative Total Stockholder Return and (ii) our net (loss), in each case, for the fiscal years presented in the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125730</wp:posOffset>
            </wp:positionV>
            <wp:extent cx="4817745" cy="35058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817745" cy="3505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45" w:name="page46"/>
    <w:bookmarkEnd w:id="45"/>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EXECUTIVE COMPENSATION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38919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172200" cy="3891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All information provided above under the “Pay Versus Performance” heading will not be deemed to be incorporated by reference in any filing of our Company under the Securities Act of 1933, as amended, whether made before or after the date hereof and irrespective of any general incorporation language in any such filing.</w:t>
      </w:r>
    </w:p>
    <w:p>
      <w:pPr>
        <w:spacing w:after="0" w:line="3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 CLOSE IN TIME TO THE RELEASE OF MATERIAL NONPUBLIC INFORMATION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have a formal policy regarding the grant of equity. During 2025, our Compensation Committee did not take into account any material nonpublic information when determining the timing and terms of equity incentive awards, and we did not time the disclosure of material nonpublic information for the purpose of affecting the value of executive compensation. During 2025, we did not grant stock options to our NEOs during any period beginning four business days before and ending one business day after the filing or furnishing of a Form 10-Q, 10-K or 8-K that discloses material nonpublic information.</w:t>
      </w:r>
    </w:p>
    <w:p>
      <w:pPr>
        <w:spacing w:after="0" w:line="3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46" w:name="page47"/>
    <w:bookmarkEnd w:id="46"/>
    <w:p>
      <w:pPr>
        <w:ind w:left="100"/>
        <w:spacing w:after="0"/>
        <w:rPr>
          <w:sz w:val="20"/>
          <w:szCs w:val="20"/>
          <w:color w:val="auto"/>
        </w:rPr>
      </w:pPr>
      <w:r>
        <w:rPr>
          <w:rFonts w:ascii="Times New Roman" w:cs="Times New Roman" w:eastAsia="Times New Roman" w:hAnsi="Times New Roman"/>
          <w:sz w:val="22"/>
          <w:szCs w:val="22"/>
          <w:b w:val="1"/>
          <w:bCs w:val="1"/>
          <w:color w:val="auto"/>
        </w:rPr>
        <w:t>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-140335</wp:posOffset>
            </wp:positionV>
            <wp:extent cx="6172200" cy="1543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January 1, 2024, we have engaged in the following transactions with our directors, executive officers, holders of more than 5% of our voting securities, and affiliates or immediate family members of our directors, executive officers, and holders of more than 5% of our voting securities. We believe that all of these transactions were on terms as favorable as could have been obtained from unrelated third parties.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or intend to enter into indemnification agreements with each of our directors. These indemnification agreements may require us, among other things, to indemnify our directors for some expenses, including attorneys’ fees, judgments, fines and settlement amounts incurred by a director in any action or proceeding arising out of his or her service as one of our directors, or any of our subsidiaries or any other company or enterprise to which the person provides services at our request.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TRANSACTIONS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entered into various employment-related agreements with our executive officers that, among other things, provide for compensatory and certain change in control benefits. For a description of these agreements and arrangements with our NEOs, see the section titled “Executive Compensation — Employment Agreements.”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granted stock options to our executive officers and directors, as well as restricted stock units to certain of our executive officers. For a description of these stock options and restricted stock units, see the sections titled “Director Compensation” and “Executive Compensation.”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Board has adopted a written Related Party Transaction Policy that governs the review and approval of related party transactions. The Related Party Transaction Policy covers any transaction, arrangement or relationship, or any series of similar transactions, arrangements or relationships, in which we were or are to be a participant, where the amount involved exceeds $120,000 and a related person had or will have a direct or indirect material interest. Pursuant to the Related Party Transaction Policy, if we want to enter into a transaction with a related party or an affiliate of a related party, the Audit Committee will review the proposed transaction to determine, based on applicable rules of Nasdaq and the SEC, whether such transaction requires approval by the Audit Committee. If approval is required, the proposed transaction will be reviewed at the next regular meeting of the Audit Committee, and we may not enter into a related party transaction unless the Audit Committee has specifically confirmed in writing that either no further reviews are necessary or that all requisite corporate reviews have been obtained. In reviewing and approving any such transactions, our Audit Committee is tasked to consider all relevant facts and circumstances with respect to the transaction and shall evaluate all available options, including ratification, revision or termination of the transaction. The Audit Committee will not approve or ratify a transaction with a related party unless it has determined, upon consideration of all relevant information, that the transaction is in, or not inconsistent with, the best interests of the Company or our stockholders.</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8" w:right="1099" w:bottom="1440" w:gutter="0" w:footer="0" w:header="0"/>
        </w:sectPr>
      </w:pPr>
    </w:p>
    <w:bookmarkStart w:id="47" w:name="page48"/>
    <w:bookmarkEnd w:id="47"/>
    <w:p>
      <w:pPr>
        <w:ind w:left="100"/>
        <w:spacing w:after="0"/>
        <w:rPr>
          <w:sz w:val="20"/>
          <w:szCs w:val="20"/>
          <w:color w:val="auto"/>
        </w:rPr>
      </w:pPr>
      <w:r>
        <w:rPr>
          <w:rFonts w:ascii="Times New Roman" w:cs="Times New Roman" w:eastAsia="Times New Roman" w:hAnsi="Times New Roman"/>
          <w:sz w:val="22"/>
          <w:szCs w:val="22"/>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-140335</wp:posOffset>
            </wp:positionV>
            <wp:extent cx="6172200" cy="154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the shares available for grant under the Company’s equity incentive plans as of December 31, 2025: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shd w:val="clear" w:color="auto" w:fill="4DC1E4"/>
          </w:tcPr>
          <w:p>
            <w:pPr>
              <w:spacing w:after="0"/>
              <w:rPr>
                <w:sz w:val="17"/>
                <w:szCs w:val="17"/>
                <w:color w:val="auto"/>
              </w:rPr>
            </w:pPr>
          </w:p>
        </w:tc>
        <w:tc>
          <w:tcPr>
            <w:tcW w:w="440" w:type="dxa"/>
            <w:vAlign w:val="bottom"/>
            <w:shd w:val="clear" w:color="auto" w:fill="4DC1E4"/>
          </w:tcPr>
          <w:p>
            <w:pPr>
              <w:spacing w:after="0"/>
              <w:rPr>
                <w:sz w:val="17"/>
                <w:szCs w:val="17"/>
                <w:color w:val="auto"/>
              </w:rPr>
            </w:pPr>
          </w:p>
        </w:tc>
        <w:tc>
          <w:tcPr>
            <w:tcW w:w="1220" w:type="dxa"/>
            <w:vAlign w:val="bottom"/>
            <w:gridSpan w:val="2"/>
            <w:shd w:val="clear" w:color="auto" w:fill="4DC1E4"/>
          </w:tcPr>
          <w:p>
            <w:pPr>
              <w:jc w:val="center"/>
              <w:ind w:right="360"/>
              <w:spacing w:after="0"/>
              <w:rPr>
                <w:sz w:val="20"/>
                <w:szCs w:val="20"/>
                <w:color w:val="auto"/>
              </w:rPr>
            </w:pPr>
            <w:r>
              <w:rPr>
                <w:rFonts w:ascii="Times New Roman" w:cs="Times New Roman" w:eastAsia="Times New Roman" w:hAnsi="Times New Roman"/>
                <w:sz w:val="18"/>
                <w:szCs w:val="18"/>
                <w:b w:val="1"/>
                <w:bCs w:val="1"/>
                <w:color w:val="FFFFFF"/>
                <w:w w:val="98"/>
              </w:rPr>
              <w:t>Number of</w:t>
            </w:r>
          </w:p>
        </w:tc>
        <w:tc>
          <w:tcPr>
            <w:tcW w:w="420" w:type="dxa"/>
            <w:vAlign w:val="bottom"/>
            <w:shd w:val="clear" w:color="auto" w:fill="4DC1E4"/>
          </w:tcPr>
          <w:p>
            <w:pPr>
              <w:spacing w:after="0"/>
              <w:rPr>
                <w:sz w:val="17"/>
                <w:szCs w:val="17"/>
                <w:color w:val="auto"/>
              </w:rPr>
            </w:pPr>
          </w:p>
        </w:tc>
        <w:tc>
          <w:tcPr>
            <w:tcW w:w="740" w:type="dxa"/>
            <w:vAlign w:val="bottom"/>
            <w:shd w:val="clear" w:color="auto" w:fill="4DC1E4"/>
          </w:tcPr>
          <w:p>
            <w:pPr>
              <w:spacing w:after="0"/>
              <w:rPr>
                <w:sz w:val="17"/>
                <w:szCs w:val="17"/>
                <w:color w:val="auto"/>
              </w:rPr>
            </w:pPr>
          </w:p>
        </w:tc>
        <w:tc>
          <w:tcPr>
            <w:tcW w:w="380" w:type="dxa"/>
            <w:vAlign w:val="bottom"/>
            <w:shd w:val="clear" w:color="auto" w:fill="4DC1E4"/>
          </w:tcPr>
          <w:p>
            <w:pPr>
              <w:spacing w:after="0"/>
              <w:rPr>
                <w:sz w:val="17"/>
                <w:szCs w:val="17"/>
                <w:color w:val="auto"/>
              </w:rPr>
            </w:pPr>
          </w:p>
        </w:tc>
        <w:tc>
          <w:tcPr>
            <w:tcW w:w="380" w:type="dxa"/>
            <w:vAlign w:val="bottom"/>
            <w:shd w:val="clear" w:color="auto" w:fill="4DC1E4"/>
          </w:tcPr>
          <w:p>
            <w:pPr>
              <w:spacing w:after="0"/>
              <w:rPr>
                <w:sz w:val="17"/>
                <w:szCs w:val="17"/>
                <w:color w:val="auto"/>
              </w:rPr>
            </w:pPr>
          </w:p>
        </w:tc>
        <w:tc>
          <w:tcPr>
            <w:tcW w:w="880" w:type="dxa"/>
            <w:vAlign w:val="bottom"/>
            <w:shd w:val="clear" w:color="auto" w:fill="4DC1E4"/>
          </w:tcPr>
          <w:p>
            <w:pPr>
              <w:spacing w:after="0"/>
              <w:rPr>
                <w:sz w:val="17"/>
                <w:szCs w:val="17"/>
                <w:color w:val="auto"/>
              </w:rPr>
            </w:pPr>
          </w:p>
        </w:tc>
        <w:tc>
          <w:tcPr>
            <w:tcW w:w="660" w:type="dxa"/>
            <w:vAlign w:val="bottom"/>
            <w:shd w:val="clear" w:color="auto" w:fill="4DC1E4"/>
          </w:tcPr>
          <w:p>
            <w:pPr>
              <w:spacing w:after="0"/>
              <w:rPr>
                <w:sz w:val="17"/>
                <w:szCs w:val="17"/>
                <w:color w:val="auto"/>
              </w:rPr>
            </w:pPr>
          </w:p>
        </w:tc>
      </w:tr>
      <w:tr>
        <w:trPr>
          <w:trHeight w:val="216"/>
        </w:trPr>
        <w:tc>
          <w:tcPr>
            <w:tcW w:w="4600" w:type="dxa"/>
            <w:vAlign w:val="bottom"/>
            <w:shd w:val="clear" w:color="auto" w:fill="4DC1E4"/>
          </w:tcPr>
          <w:p>
            <w:pPr>
              <w:spacing w:after="0"/>
              <w:rPr>
                <w:sz w:val="18"/>
                <w:szCs w:val="18"/>
                <w:color w:val="auto"/>
              </w:rPr>
            </w:pPr>
          </w:p>
        </w:tc>
        <w:tc>
          <w:tcPr>
            <w:tcW w:w="1660" w:type="dxa"/>
            <w:vAlign w:val="bottom"/>
            <w:gridSpan w:val="3"/>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securities to be</w:t>
            </w:r>
          </w:p>
        </w:tc>
        <w:tc>
          <w:tcPr>
            <w:tcW w:w="420" w:type="dxa"/>
            <w:vAlign w:val="bottom"/>
            <w:shd w:val="clear" w:color="auto" w:fill="4DC1E4"/>
          </w:tcPr>
          <w:p>
            <w:pPr>
              <w:spacing w:after="0"/>
              <w:rPr>
                <w:sz w:val="18"/>
                <w:szCs w:val="18"/>
                <w:color w:val="auto"/>
              </w:rPr>
            </w:pPr>
          </w:p>
        </w:tc>
        <w:tc>
          <w:tcPr>
            <w:tcW w:w="740" w:type="dxa"/>
            <w:vAlign w:val="bottom"/>
            <w:shd w:val="clear" w:color="auto" w:fill="4DC1E4"/>
          </w:tcPr>
          <w:p>
            <w:pPr>
              <w:spacing w:after="0"/>
              <w:rPr>
                <w:sz w:val="18"/>
                <w:szCs w:val="18"/>
                <w:color w:val="auto"/>
              </w:rPr>
            </w:pPr>
          </w:p>
        </w:tc>
        <w:tc>
          <w:tcPr>
            <w:tcW w:w="380" w:type="dxa"/>
            <w:vAlign w:val="bottom"/>
            <w:shd w:val="clear" w:color="auto" w:fill="4DC1E4"/>
          </w:tcPr>
          <w:p>
            <w:pPr>
              <w:spacing w:after="0"/>
              <w:rPr>
                <w:sz w:val="18"/>
                <w:szCs w:val="18"/>
                <w:color w:val="auto"/>
              </w:rPr>
            </w:pPr>
          </w:p>
        </w:tc>
        <w:tc>
          <w:tcPr>
            <w:tcW w:w="1920" w:type="dxa"/>
            <w:vAlign w:val="bottom"/>
            <w:gridSpan w:val="3"/>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Number of securities</w:t>
            </w:r>
          </w:p>
        </w:tc>
      </w:tr>
      <w:tr>
        <w:trPr>
          <w:trHeight w:val="216"/>
        </w:trPr>
        <w:tc>
          <w:tcPr>
            <w:tcW w:w="4600" w:type="dxa"/>
            <w:vAlign w:val="bottom"/>
            <w:shd w:val="clear" w:color="auto" w:fill="4DC1E4"/>
          </w:tcPr>
          <w:p>
            <w:pPr>
              <w:spacing w:after="0"/>
              <w:rPr>
                <w:sz w:val="18"/>
                <w:szCs w:val="18"/>
                <w:color w:val="auto"/>
              </w:rPr>
            </w:pPr>
          </w:p>
        </w:tc>
        <w:tc>
          <w:tcPr>
            <w:tcW w:w="1660" w:type="dxa"/>
            <w:vAlign w:val="bottom"/>
            <w:gridSpan w:val="3"/>
            <w:shd w:val="clear" w:color="auto" w:fill="4DC1E4"/>
          </w:tcPr>
          <w:p>
            <w:pPr>
              <w:ind w:left="400"/>
              <w:spacing w:after="0"/>
              <w:rPr>
                <w:sz w:val="20"/>
                <w:szCs w:val="20"/>
                <w:color w:val="auto"/>
              </w:rPr>
            </w:pPr>
            <w:r>
              <w:rPr>
                <w:rFonts w:ascii="Times New Roman" w:cs="Times New Roman" w:eastAsia="Times New Roman" w:hAnsi="Times New Roman"/>
                <w:sz w:val="18"/>
                <w:szCs w:val="18"/>
                <w:b w:val="1"/>
                <w:bCs w:val="1"/>
                <w:color w:val="FFFFFF"/>
              </w:rPr>
              <w:t>issued upon</w:t>
            </w:r>
          </w:p>
        </w:tc>
        <w:tc>
          <w:tcPr>
            <w:tcW w:w="1540" w:type="dxa"/>
            <w:vAlign w:val="bottom"/>
            <w:gridSpan w:val="3"/>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Weighted-</w:t>
            </w:r>
          </w:p>
        </w:tc>
        <w:tc>
          <w:tcPr>
            <w:tcW w:w="1920" w:type="dxa"/>
            <w:vAlign w:val="bottom"/>
            <w:gridSpan w:val="3"/>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remaining available for</w:t>
            </w:r>
          </w:p>
        </w:tc>
      </w:tr>
      <w:tr>
        <w:trPr>
          <w:trHeight w:val="216"/>
        </w:trPr>
        <w:tc>
          <w:tcPr>
            <w:tcW w:w="4600" w:type="dxa"/>
            <w:vAlign w:val="bottom"/>
            <w:shd w:val="clear" w:color="auto" w:fill="4DC1E4"/>
          </w:tcPr>
          <w:p>
            <w:pPr>
              <w:spacing w:after="0"/>
              <w:rPr>
                <w:sz w:val="18"/>
                <w:szCs w:val="18"/>
                <w:color w:val="auto"/>
              </w:rPr>
            </w:pPr>
          </w:p>
        </w:tc>
        <w:tc>
          <w:tcPr>
            <w:tcW w:w="440" w:type="dxa"/>
            <w:vAlign w:val="bottom"/>
            <w:shd w:val="clear" w:color="auto" w:fill="4DC1E4"/>
          </w:tcPr>
          <w:p>
            <w:pPr>
              <w:spacing w:after="0"/>
              <w:rPr>
                <w:sz w:val="18"/>
                <w:szCs w:val="18"/>
                <w:color w:val="auto"/>
              </w:rPr>
            </w:pPr>
          </w:p>
        </w:tc>
        <w:tc>
          <w:tcPr>
            <w:tcW w:w="1220" w:type="dxa"/>
            <w:vAlign w:val="bottom"/>
            <w:gridSpan w:val="2"/>
            <w:shd w:val="clear" w:color="auto" w:fill="4DC1E4"/>
          </w:tcPr>
          <w:p>
            <w:pPr>
              <w:jc w:val="center"/>
              <w:ind w:right="360"/>
              <w:spacing w:after="0"/>
              <w:rPr>
                <w:sz w:val="20"/>
                <w:szCs w:val="20"/>
                <w:color w:val="auto"/>
              </w:rPr>
            </w:pPr>
            <w:r>
              <w:rPr>
                <w:rFonts w:ascii="Times New Roman" w:cs="Times New Roman" w:eastAsia="Times New Roman" w:hAnsi="Times New Roman"/>
                <w:sz w:val="18"/>
                <w:szCs w:val="18"/>
                <w:b w:val="1"/>
                <w:bCs w:val="1"/>
                <w:color w:val="FFFFFF"/>
              </w:rPr>
              <w:t>exercise</w:t>
            </w:r>
          </w:p>
        </w:tc>
        <w:tc>
          <w:tcPr>
            <w:tcW w:w="1540" w:type="dxa"/>
            <w:vAlign w:val="bottom"/>
            <w:gridSpan w:val="3"/>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average exercise</w:t>
            </w:r>
          </w:p>
        </w:tc>
        <w:tc>
          <w:tcPr>
            <w:tcW w:w="1920" w:type="dxa"/>
            <w:vAlign w:val="bottom"/>
            <w:gridSpan w:val="3"/>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rPr>
              <w:t>future issuance under</w:t>
            </w:r>
          </w:p>
        </w:tc>
      </w:tr>
      <w:tr>
        <w:trPr>
          <w:trHeight w:val="216"/>
        </w:trPr>
        <w:tc>
          <w:tcPr>
            <w:tcW w:w="4600" w:type="dxa"/>
            <w:vAlign w:val="bottom"/>
            <w:shd w:val="clear" w:color="auto" w:fill="4DC1E4"/>
          </w:tcPr>
          <w:p>
            <w:pPr>
              <w:spacing w:after="0"/>
              <w:rPr>
                <w:sz w:val="18"/>
                <w:szCs w:val="18"/>
                <w:color w:val="auto"/>
              </w:rPr>
            </w:pPr>
          </w:p>
        </w:tc>
        <w:tc>
          <w:tcPr>
            <w:tcW w:w="1660" w:type="dxa"/>
            <w:vAlign w:val="bottom"/>
            <w:gridSpan w:val="3"/>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of outstanding</w:t>
            </w:r>
          </w:p>
        </w:tc>
        <w:tc>
          <w:tcPr>
            <w:tcW w:w="420" w:type="dxa"/>
            <w:vAlign w:val="bottom"/>
            <w:shd w:val="clear" w:color="auto" w:fill="4DC1E4"/>
          </w:tcPr>
          <w:p>
            <w:pPr>
              <w:spacing w:after="0"/>
              <w:rPr>
                <w:sz w:val="18"/>
                <w:szCs w:val="18"/>
                <w:color w:val="auto"/>
              </w:rPr>
            </w:pPr>
          </w:p>
        </w:tc>
        <w:tc>
          <w:tcPr>
            <w:tcW w:w="1120" w:type="dxa"/>
            <w:vAlign w:val="bottom"/>
            <w:gridSpan w:val="2"/>
            <w:shd w:val="clear" w:color="auto" w:fill="4DC1E4"/>
          </w:tcPr>
          <w:p>
            <w:pPr>
              <w:jc w:val="center"/>
              <w:ind w:right="400"/>
              <w:spacing w:after="0"/>
              <w:rPr>
                <w:sz w:val="20"/>
                <w:szCs w:val="20"/>
                <w:color w:val="auto"/>
              </w:rPr>
            </w:pPr>
            <w:r>
              <w:rPr>
                <w:rFonts w:ascii="Times New Roman" w:cs="Times New Roman" w:eastAsia="Times New Roman" w:hAnsi="Times New Roman"/>
                <w:sz w:val="18"/>
                <w:szCs w:val="18"/>
                <w:b w:val="1"/>
                <w:bCs w:val="1"/>
                <w:color w:val="FFFFFF"/>
              </w:rPr>
              <w:t>price of</w:t>
            </w:r>
          </w:p>
        </w:tc>
        <w:tc>
          <w:tcPr>
            <w:tcW w:w="1920" w:type="dxa"/>
            <w:vAlign w:val="bottom"/>
            <w:gridSpan w:val="3"/>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rPr>
              <w:t>equity compensation</w:t>
            </w:r>
          </w:p>
        </w:tc>
      </w:tr>
      <w:tr>
        <w:trPr>
          <w:trHeight w:val="216"/>
        </w:trPr>
        <w:tc>
          <w:tcPr>
            <w:tcW w:w="4600" w:type="dxa"/>
            <w:vAlign w:val="bottom"/>
            <w:shd w:val="clear" w:color="auto" w:fill="4DC1E4"/>
          </w:tcPr>
          <w:p>
            <w:pPr>
              <w:spacing w:after="0"/>
              <w:rPr>
                <w:sz w:val="18"/>
                <w:szCs w:val="18"/>
                <w:color w:val="auto"/>
              </w:rPr>
            </w:pPr>
          </w:p>
        </w:tc>
        <w:tc>
          <w:tcPr>
            <w:tcW w:w="1660" w:type="dxa"/>
            <w:vAlign w:val="bottom"/>
            <w:gridSpan w:val="3"/>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options, restricted</w:t>
            </w:r>
          </w:p>
        </w:tc>
        <w:tc>
          <w:tcPr>
            <w:tcW w:w="1540" w:type="dxa"/>
            <w:vAlign w:val="bottom"/>
            <w:gridSpan w:val="3"/>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rPr>
              <w:t>outstanding</w:t>
            </w:r>
          </w:p>
        </w:tc>
        <w:tc>
          <w:tcPr>
            <w:tcW w:w="1920" w:type="dxa"/>
            <w:vAlign w:val="bottom"/>
            <w:gridSpan w:val="3"/>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plans (excluding</w:t>
            </w:r>
          </w:p>
        </w:tc>
      </w:tr>
      <w:tr>
        <w:trPr>
          <w:trHeight w:val="196"/>
        </w:trPr>
        <w:tc>
          <w:tcPr>
            <w:tcW w:w="4600" w:type="dxa"/>
            <w:vAlign w:val="bottom"/>
            <w:shd w:val="clear" w:color="auto" w:fill="4DC1E4"/>
          </w:tcPr>
          <w:p>
            <w:pPr>
              <w:spacing w:after="0"/>
              <w:rPr>
                <w:sz w:val="17"/>
                <w:szCs w:val="17"/>
                <w:color w:val="auto"/>
              </w:rPr>
            </w:pPr>
          </w:p>
        </w:tc>
        <w:tc>
          <w:tcPr>
            <w:tcW w:w="1660" w:type="dxa"/>
            <w:vAlign w:val="bottom"/>
            <w:gridSpan w:val="3"/>
            <w:shd w:val="clear" w:color="auto" w:fill="4DC1E4"/>
          </w:tcPr>
          <w:p>
            <w:pPr>
              <w:jc w:val="center"/>
              <w:ind w:left="10"/>
              <w:spacing w:after="0" w:line="196" w:lineRule="exact"/>
              <w:rPr>
                <w:sz w:val="20"/>
                <w:szCs w:val="20"/>
                <w:color w:val="auto"/>
              </w:rPr>
            </w:pPr>
            <w:r>
              <w:rPr>
                <w:rFonts w:ascii="Times New Roman" w:cs="Times New Roman" w:eastAsia="Times New Roman" w:hAnsi="Times New Roman"/>
                <w:sz w:val="18"/>
                <w:szCs w:val="18"/>
                <w:b w:val="1"/>
                <w:bCs w:val="1"/>
                <w:color w:val="FFFFFF"/>
                <w:w w:val="99"/>
              </w:rPr>
              <w:t>stock units and</w:t>
            </w:r>
          </w:p>
        </w:tc>
        <w:tc>
          <w:tcPr>
            <w:tcW w:w="1540" w:type="dxa"/>
            <w:vAlign w:val="bottom"/>
            <w:gridSpan w:val="3"/>
            <w:shd w:val="clear" w:color="auto" w:fill="4DC1E4"/>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FFFFFF"/>
              </w:rPr>
              <w:t>options and other</w:t>
            </w:r>
          </w:p>
        </w:tc>
        <w:tc>
          <w:tcPr>
            <w:tcW w:w="1920" w:type="dxa"/>
            <w:vAlign w:val="bottom"/>
            <w:gridSpan w:val="3"/>
            <w:shd w:val="clear" w:color="auto" w:fill="4DC1E4"/>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FFFFFF"/>
              </w:rPr>
              <w:t>securities reflected in</w:t>
            </w:r>
          </w:p>
        </w:tc>
      </w:tr>
      <w:tr>
        <w:trPr>
          <w:trHeight w:val="304"/>
        </w:trPr>
        <w:tc>
          <w:tcPr>
            <w:tcW w:w="4600" w:type="dxa"/>
            <w:vAlign w:val="bottom"/>
            <w:tcBorders>
              <w:bottom w:val="single" w:sz="8" w:color="4DC1E4"/>
            </w:tcBorders>
            <w:shd w:val="clear" w:color="auto" w:fill="4DC1E4"/>
          </w:tcPr>
          <w:p>
            <w:pPr>
              <w:ind w:left="1740"/>
              <w:spacing w:after="0"/>
              <w:rPr>
                <w:sz w:val="20"/>
                <w:szCs w:val="20"/>
                <w:color w:val="auto"/>
              </w:rPr>
            </w:pPr>
            <w:r>
              <w:rPr>
                <w:rFonts w:ascii="Times New Roman" w:cs="Times New Roman" w:eastAsia="Times New Roman" w:hAnsi="Times New Roman"/>
                <w:sz w:val="18"/>
                <w:szCs w:val="18"/>
                <w:b w:val="1"/>
                <w:bCs w:val="1"/>
                <w:color w:val="FFFFFF"/>
              </w:rPr>
              <w:t>Plan Category</w:t>
            </w:r>
          </w:p>
        </w:tc>
        <w:tc>
          <w:tcPr>
            <w:tcW w:w="1660" w:type="dxa"/>
            <w:vAlign w:val="bottom"/>
            <w:tcBorders>
              <w:bottom w:val="single" w:sz="8" w:color="4DC1E4"/>
            </w:tcBorders>
            <w:gridSpan w:val="3"/>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other rights</w:t>
            </w:r>
          </w:p>
        </w:tc>
        <w:tc>
          <w:tcPr>
            <w:tcW w:w="420" w:type="dxa"/>
            <w:vAlign w:val="bottom"/>
            <w:tcBorders>
              <w:bottom w:val="single" w:sz="8" w:color="4DC1E4"/>
            </w:tcBorders>
            <w:shd w:val="clear" w:color="auto" w:fill="4DC1E4"/>
          </w:tcPr>
          <w:p>
            <w:pPr>
              <w:spacing w:after="0"/>
              <w:rPr>
                <w:sz w:val="24"/>
                <w:szCs w:val="24"/>
                <w:color w:val="auto"/>
              </w:rPr>
            </w:pPr>
          </w:p>
        </w:tc>
        <w:tc>
          <w:tcPr>
            <w:tcW w:w="1120" w:type="dxa"/>
            <w:vAlign w:val="bottom"/>
            <w:tcBorders>
              <w:bottom w:val="single" w:sz="8" w:color="4DC1E4"/>
            </w:tcBorders>
            <w:gridSpan w:val="2"/>
            <w:shd w:val="clear" w:color="auto" w:fill="4DC1E4"/>
          </w:tcPr>
          <w:p>
            <w:pPr>
              <w:jc w:val="center"/>
              <w:ind w:right="400"/>
              <w:spacing w:after="0" w:line="258" w:lineRule="exact"/>
              <w:rPr>
                <w:sz w:val="20"/>
                <w:szCs w:val="20"/>
                <w:color w:val="auto"/>
              </w:rPr>
            </w:pPr>
            <w:r>
              <w:rPr>
                <w:rFonts w:ascii="Times New Roman" w:cs="Times New Roman" w:eastAsia="Times New Roman" w:hAnsi="Times New Roman"/>
                <w:sz w:val="18"/>
                <w:szCs w:val="18"/>
                <w:b w:val="1"/>
                <w:bCs w:val="1"/>
                <w:color w:val="FFFFFF"/>
                <w:w w:val="94"/>
              </w:rPr>
              <w:t>rights</w:t>
            </w:r>
            <w:r>
              <w:rPr>
                <w:rFonts w:ascii="Times New Roman" w:cs="Times New Roman" w:eastAsia="Times New Roman" w:hAnsi="Times New Roman"/>
                <w:sz w:val="24"/>
                <w:szCs w:val="24"/>
                <w:b w:val="1"/>
                <w:bCs w:val="1"/>
                <w:color w:val="FFFFFF"/>
                <w:w w:val="94"/>
                <w:vertAlign w:val="superscript"/>
              </w:rPr>
              <w:t>(1)</w:t>
            </w:r>
          </w:p>
        </w:tc>
        <w:tc>
          <w:tcPr>
            <w:tcW w:w="380" w:type="dxa"/>
            <w:vAlign w:val="bottom"/>
            <w:tcBorders>
              <w:bottom w:val="single" w:sz="8" w:color="4DC1E4"/>
            </w:tcBorders>
            <w:shd w:val="clear" w:color="auto" w:fill="4DC1E4"/>
          </w:tcPr>
          <w:p>
            <w:pPr>
              <w:spacing w:after="0"/>
              <w:rPr>
                <w:sz w:val="24"/>
                <w:szCs w:val="24"/>
                <w:color w:val="auto"/>
              </w:rPr>
            </w:pPr>
          </w:p>
        </w:tc>
        <w:tc>
          <w:tcPr>
            <w:tcW w:w="1540" w:type="dxa"/>
            <w:vAlign w:val="bottom"/>
            <w:tcBorders>
              <w:bottom w:val="single" w:sz="8" w:color="4DC1E4"/>
            </w:tcBorders>
            <w:gridSpan w:val="2"/>
            <w:shd w:val="clear" w:color="auto" w:fill="4DC1E4"/>
          </w:tcPr>
          <w:p>
            <w:pPr>
              <w:jc w:val="center"/>
              <w:ind w:right="340"/>
              <w:spacing w:after="0"/>
              <w:rPr>
                <w:sz w:val="20"/>
                <w:szCs w:val="20"/>
                <w:color w:val="auto"/>
              </w:rPr>
            </w:pPr>
            <w:r>
              <w:rPr>
                <w:rFonts w:ascii="Times New Roman" w:cs="Times New Roman" w:eastAsia="Times New Roman" w:hAnsi="Times New Roman"/>
                <w:sz w:val="18"/>
                <w:szCs w:val="18"/>
                <w:b w:val="1"/>
                <w:bCs w:val="1"/>
                <w:color w:val="FFFFFF"/>
                <w:w w:val="99"/>
              </w:rPr>
              <w:t>column (a))</w:t>
            </w:r>
          </w:p>
        </w:tc>
      </w:tr>
      <w:tr>
        <w:trPr>
          <w:trHeight w:val="209"/>
        </w:trPr>
        <w:tc>
          <w:tcPr>
            <w:tcW w:w="46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w:t>
            </w:r>
          </w:p>
        </w:tc>
        <w:tc>
          <w:tcPr>
            <w:tcW w:w="4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5"/>
              </w:rPr>
              <w:t>(b)</w:t>
            </w:r>
          </w:p>
        </w:tc>
        <w:tc>
          <w:tcPr>
            <w:tcW w:w="38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(c)</w:t>
            </w:r>
          </w:p>
        </w:tc>
      </w:tr>
      <w:tr>
        <w:trPr>
          <w:trHeight w:val="171"/>
        </w:trPr>
        <w:tc>
          <w:tcPr>
            <w:tcW w:w="4600" w:type="dxa"/>
            <w:vAlign w:val="bottom"/>
          </w:tcPr>
          <w:p>
            <w:pPr>
              <w:ind w:left="100"/>
              <w:spacing w:after="0" w:line="171" w:lineRule="exact"/>
              <w:rPr>
                <w:sz w:val="20"/>
                <w:szCs w:val="20"/>
                <w:color w:val="auto"/>
              </w:rPr>
            </w:pPr>
            <w:r>
              <w:rPr>
                <w:rFonts w:ascii="Times New Roman" w:cs="Times New Roman" w:eastAsia="Times New Roman" w:hAnsi="Times New Roman"/>
                <w:sz w:val="15"/>
                <w:szCs w:val="15"/>
                <w:color w:val="auto"/>
              </w:rPr>
              <w:t>Equity compensation plans approved by security holders</w:t>
            </w:r>
            <w:r>
              <w:rPr>
                <w:rFonts w:ascii="Times New Roman" w:cs="Times New Roman" w:eastAsia="Times New Roman" w:hAnsi="Times New Roman"/>
                <w:sz w:val="19"/>
                <w:szCs w:val="19"/>
                <w:color w:val="auto"/>
                <w:vertAlign w:val="superscript"/>
              </w:rPr>
              <w:t>(2)</w:t>
            </w:r>
          </w:p>
        </w:tc>
        <w:tc>
          <w:tcPr>
            <w:tcW w:w="132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8"/>
                <w:szCs w:val="18"/>
                <w:color w:val="auto"/>
              </w:rPr>
              <w:t>8,175,772</w:t>
            </w:r>
          </w:p>
        </w:tc>
        <w:tc>
          <w:tcPr>
            <w:tcW w:w="340" w:type="dxa"/>
            <w:vAlign w:val="bottom"/>
          </w:tcPr>
          <w:p>
            <w:pPr>
              <w:spacing w:after="0"/>
              <w:rPr>
                <w:sz w:val="14"/>
                <w:szCs w:val="14"/>
                <w:color w:val="auto"/>
              </w:rPr>
            </w:pPr>
          </w:p>
        </w:tc>
        <w:tc>
          <w:tcPr>
            <w:tcW w:w="11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8"/>
                <w:szCs w:val="18"/>
                <w:color w:val="auto"/>
              </w:rPr>
              <w:t>$6.51</w:t>
            </w:r>
          </w:p>
        </w:tc>
        <w:tc>
          <w:tcPr>
            <w:tcW w:w="380" w:type="dxa"/>
            <w:vAlign w:val="bottom"/>
          </w:tcPr>
          <w:p>
            <w:pPr>
              <w:spacing w:after="0"/>
              <w:rPr>
                <w:sz w:val="14"/>
                <w:szCs w:val="14"/>
                <w:color w:val="auto"/>
              </w:rPr>
            </w:pPr>
          </w:p>
        </w:tc>
        <w:tc>
          <w:tcPr>
            <w:tcW w:w="1920" w:type="dxa"/>
            <w:vAlign w:val="bottom"/>
            <w:gridSpan w:val="3"/>
          </w:tcPr>
          <w:p>
            <w:pPr>
              <w:jc w:val="right"/>
              <w:ind w:right="380"/>
              <w:spacing w:after="0" w:line="171" w:lineRule="exact"/>
              <w:rPr>
                <w:sz w:val="20"/>
                <w:szCs w:val="20"/>
                <w:color w:val="auto"/>
              </w:rPr>
            </w:pPr>
            <w:r>
              <w:rPr>
                <w:rFonts w:ascii="Times New Roman" w:cs="Times New Roman" w:eastAsia="Times New Roman" w:hAnsi="Times New Roman"/>
                <w:sz w:val="15"/>
                <w:szCs w:val="15"/>
                <w:color w:val="auto"/>
              </w:rPr>
              <w:t>565,802</w:t>
            </w:r>
            <w:r>
              <w:rPr>
                <w:rFonts w:ascii="Times New Roman" w:cs="Times New Roman" w:eastAsia="Times New Roman" w:hAnsi="Times New Roman"/>
                <w:sz w:val="19"/>
                <w:szCs w:val="19"/>
                <w:color w:val="auto"/>
                <w:vertAlign w:val="superscript"/>
              </w:rPr>
              <w:t>(3)(4)</w:t>
            </w:r>
          </w:p>
        </w:tc>
      </w:tr>
      <w:tr>
        <w:trPr>
          <w:trHeight w:val="254"/>
        </w:trPr>
        <w:tc>
          <w:tcPr>
            <w:tcW w:w="4600" w:type="dxa"/>
            <w:vAlign w:val="bottom"/>
          </w:tcPr>
          <w:p>
            <w:pPr>
              <w:ind w:left="100"/>
              <w:spacing w:after="0" w:line="255" w:lineRule="exact"/>
              <w:rPr>
                <w:sz w:val="20"/>
                <w:szCs w:val="20"/>
                <w:color w:val="auto"/>
              </w:rPr>
            </w:pPr>
            <w:r>
              <w:rPr>
                <w:rFonts w:ascii="Times New Roman" w:cs="Times New Roman" w:eastAsia="Times New Roman" w:hAnsi="Times New Roman"/>
                <w:sz w:val="18"/>
                <w:szCs w:val="18"/>
                <w:color w:val="auto"/>
                <w:w w:val="98"/>
              </w:rPr>
              <w:t>Equity compensation plans not approved by security holders</w:t>
            </w:r>
            <w:r>
              <w:rPr>
                <w:rFonts w:ascii="Times New Roman" w:cs="Times New Roman" w:eastAsia="Times New Roman" w:hAnsi="Times New Roman"/>
                <w:sz w:val="24"/>
                <w:szCs w:val="24"/>
                <w:color w:val="auto"/>
                <w:w w:val="98"/>
                <w:vertAlign w:val="superscript"/>
              </w:rPr>
              <w:t>(5)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34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8,535,772</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565,802</w:t>
            </w:r>
          </w:p>
        </w:tc>
        <w:tc>
          <w:tcPr>
            <w:tcW w:w="660" w:type="dxa"/>
            <w:vAlign w:val="bottom"/>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6"/>
        <w:spacing w:after="0" w:line="26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represents the weighted average exercise price for the total number of outstanding stock options. No such value is included for restricted stock units, which do not have an exercise price.</w:t>
      </w:r>
    </w:p>
    <w:p>
      <w:pPr>
        <w:ind w:left="660" w:hanging="656"/>
        <w:spacing w:after="0" w:line="250"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compensation plan approved by stockholders consists of the Company’s 2020 Equity Incentive Plan (the “2020 Plan”).</w:t>
      </w:r>
    </w:p>
    <w:p>
      <w:pPr>
        <w:jc w:val="both"/>
        <w:ind w:left="660" w:hanging="656"/>
        <w:spacing w:after="0" w:line="250"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reflects shares available for issuance under the 2020 Plan. The 2020 Plan contains an “evergreen” provision, pursuant to which, on January 1, 2021 and each anniversary of such date thereafter, the maximum number of shares reserved for issuance under the plan is increased by a number equal to the lesser of (i) 4% of the shares issued and outstanding on December 31 of the preceding year and (ii) a smaller number of shares of common stock as determined by the Board.</w:t>
      </w:r>
    </w:p>
    <w:p>
      <w:pPr>
        <w:spacing w:after="0" w:line="1" w:lineRule="exact"/>
        <w:rPr>
          <w:rFonts w:ascii="Times New Roman" w:cs="Times New Roman" w:eastAsia="Times New Roman" w:hAnsi="Times New Roman"/>
          <w:sz w:val="18"/>
          <w:szCs w:val="18"/>
          <w:color w:val="auto"/>
        </w:rPr>
      </w:pPr>
    </w:p>
    <w:p>
      <w:pPr>
        <w:jc w:val="both"/>
        <w:ind w:left="660" w:hanging="656"/>
        <w:spacing w:after="0" w:line="250"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1, 2026, 3,323,616 shares were added to the 2020 Plan in accordance with the evergreen feature described above, increasing the maximum number of shares of the Company’s common stock that may be issued under the 2020 Plan to 3,889,418 shares. This increase is not reflected in the table above.</w:t>
      </w:r>
    </w:p>
    <w:p>
      <w:pPr>
        <w:spacing w:after="0" w:line="1" w:lineRule="exact"/>
        <w:rPr>
          <w:rFonts w:ascii="Times New Roman" w:cs="Times New Roman" w:eastAsia="Times New Roman" w:hAnsi="Times New Roman"/>
          <w:sz w:val="18"/>
          <w:szCs w:val="18"/>
          <w:color w:val="auto"/>
        </w:rPr>
      </w:pPr>
    </w:p>
    <w:p>
      <w:pPr>
        <w:jc w:val="both"/>
        <w:ind w:left="660" w:hanging="656"/>
        <w:spacing w:after="0" w:line="255"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grants of stock options that were “inducement grants” as defined under Nasdaq Listing Rule 5635(c)(4). For more information about the inducement grants, please see Note 7 of the Notes to the Consolidated Financial Statements included in our 2023 Annual Report.</w:t>
      </w:r>
    </w:p>
    <w:p>
      <w:pPr>
        <w:spacing w:after="0" w:line="1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information with respect to this item is set forth in this Proxy Statement under the headings “Security Ownership of Certain Beneficial Owners and Management,” “Executive Compensation,” and “Director Compensation,” and is incorporated herein by reference.</w:t>
      </w:r>
    </w:p>
    <w:p>
      <w:pPr>
        <w:spacing w:after="0" w:line="30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8" w:right="1099" w:bottom="1440" w:gutter="0" w:footer="0" w:header="0"/>
        </w:sectPr>
      </w:pPr>
    </w:p>
    <w:bookmarkStart w:id="48" w:name="page49"/>
    <w:bookmarkEnd w:id="48"/>
    <w:p>
      <w:pPr>
        <w:ind w:left="100"/>
        <w:spacing w:after="0"/>
        <w:rPr>
          <w:sz w:val="20"/>
          <w:szCs w:val="20"/>
          <w:color w:val="auto"/>
        </w:rPr>
      </w:pPr>
      <w:r>
        <w:rPr>
          <w:rFonts w:ascii="Times New Roman" w:cs="Times New Roman" w:eastAsia="Times New Roman" w:hAnsi="Times New Roman"/>
          <w:sz w:val="22"/>
          <w:szCs w:val="22"/>
          <w:b w:val="1"/>
          <w:bCs w:val="1"/>
          <w:color w:val="auto"/>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-140335</wp:posOffset>
            </wp:positionV>
            <wp:extent cx="6172200" cy="1543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common stock as of April 3, 2026, except to the extent indicated otherwise in the footnotes, by (a) each person known by us to be the beneficial owner of more than 5% of the outstanding shares of common stock, (b) each NEO identified in the “2025 Summary Compensation Table” above, (c) each director and nominee for director, and (d) all executive officers and directors as a group.</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percentage of common stock outstanding is based on 103,882,937 shares of our common stock outstanding as of April 3, 2026. For purposes of the table below, and in accordance with the rules of the SEC, we deem shares of common stock subject to options, warrants or other derivative securities of the Company that are currently exercisable or exercisable within sixty days of April 3, 2026 to be outstanding and to be beneficially owned by the person holding such securities for the purpose of computing the percentage ownership of that person, but we do not treat them as outstanding for the purpose of computing the percentage ownership of any other person. Except as otherwise noted, each of the persons or entities in this table has sole voting and investing power with respect to all of the shares of common stock beneficially owned by them, subject to community property laws, where applicable. Except as otherwise noted below, the street address of each beneficial owner is c/o Larimar Therapeutics, Inc., Three Bala Plaza East, Suite 506, Bala Cynwyd, PA 19004.</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FFFFFF"/>
        </w:rPr>
        <w:t>S</w:t>
      </w:r>
      <w:r>
        <w:rPr>
          <w:rFonts w:ascii="Times New Roman" w:cs="Times New Roman" w:eastAsia="Times New Roman" w:hAnsi="Times New Roman"/>
          <w:sz w:val="13"/>
          <w:szCs w:val="13"/>
          <w:b w:val="1"/>
          <w:bCs w:val="1"/>
          <w:color w:val="FFFFFF"/>
        </w:rPr>
        <w:t>HARES</w:t>
      </w:r>
      <w:r>
        <w:rPr>
          <w:rFonts w:ascii="Times New Roman" w:cs="Times New Roman" w:eastAsia="Times New Roman" w:hAnsi="Times New Roman"/>
          <w:sz w:val="18"/>
          <w:szCs w:val="18"/>
          <w:b w:val="1"/>
          <w:bCs w:val="1"/>
          <w:color w:val="FFFFFF"/>
        </w:rPr>
        <w:t xml:space="preserve"> B</w:t>
      </w:r>
      <w:r>
        <w:rPr>
          <w:rFonts w:ascii="Times New Roman" w:cs="Times New Roman" w:eastAsia="Times New Roman" w:hAnsi="Times New Roman"/>
          <w:sz w:val="13"/>
          <w:szCs w:val="13"/>
          <w:b w:val="1"/>
          <w:bCs w:val="1"/>
          <w:color w:val="FFFFFF"/>
        </w:rPr>
        <w:t>ENEFICIALLY</w:t>
      </w:r>
      <w:r>
        <w:rPr>
          <w:rFonts w:ascii="Times New Roman" w:cs="Times New Roman" w:eastAsia="Times New Roman" w:hAnsi="Times New Roman"/>
          <w:sz w:val="18"/>
          <w:szCs w:val="18"/>
          <w:b w:val="1"/>
          <w:bCs w:val="1"/>
          <w:color w:val="FFFFFF"/>
        </w:rPr>
        <w:t xml:space="preserve"> O</w:t>
      </w:r>
      <w:r>
        <w:rPr>
          <w:rFonts w:ascii="Times New Roman" w:cs="Times New Roman" w:eastAsia="Times New Roman" w:hAnsi="Times New Roman"/>
          <w:sz w:val="13"/>
          <w:szCs w:val="13"/>
          <w:b w:val="1"/>
          <w:bCs w:val="1"/>
          <w:color w:val="FFFFFF"/>
        </w:rPr>
        <w:t>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-125095</wp:posOffset>
            </wp:positionV>
            <wp:extent cx="6172200" cy="3086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172200" cy="308610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94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FFFFFF"/>
              </w:rPr>
              <w:t>N</w:t>
            </w:r>
            <w:r>
              <w:rPr>
                <w:rFonts w:ascii="Times New Roman" w:cs="Times New Roman" w:eastAsia="Times New Roman" w:hAnsi="Times New Roman"/>
                <w:sz w:val="13"/>
                <w:szCs w:val="13"/>
                <w:b w:val="1"/>
                <w:bCs w:val="1"/>
                <w:color w:val="FFFFFF"/>
              </w:rPr>
              <w:t>AME OF BENEFICIAL OWNER</w:t>
            </w:r>
          </w:p>
        </w:tc>
        <w:tc>
          <w:tcPr>
            <w:tcW w:w="2120" w:type="dxa"/>
            <w:vAlign w:val="bottom"/>
            <w:tcBorders>
              <w:bottom w:val="single" w:sz="8" w:color="4DC1E4"/>
            </w:tcBorders>
            <w:shd w:val="clear" w:color="auto" w:fill="4DC1E4"/>
          </w:tcPr>
          <w:p>
            <w:pPr>
              <w:jc w:val="right"/>
              <w:ind w:right="230"/>
              <w:spacing w:after="0"/>
              <w:rPr>
                <w:sz w:val="20"/>
                <w:szCs w:val="20"/>
                <w:color w:val="auto"/>
              </w:rPr>
            </w:pPr>
            <w:r>
              <w:rPr>
                <w:rFonts w:ascii="Times New Roman" w:cs="Times New Roman" w:eastAsia="Times New Roman" w:hAnsi="Times New Roman"/>
                <w:sz w:val="18"/>
                <w:szCs w:val="18"/>
                <w:b w:val="1"/>
                <w:bCs w:val="1"/>
                <w:color w:val="FFFFFF"/>
              </w:rPr>
              <w:t>N</w:t>
            </w:r>
            <w:r>
              <w:rPr>
                <w:rFonts w:ascii="Times New Roman" w:cs="Times New Roman" w:eastAsia="Times New Roman" w:hAnsi="Times New Roman"/>
                <w:sz w:val="13"/>
                <w:szCs w:val="13"/>
                <w:b w:val="1"/>
                <w:bCs w:val="1"/>
                <w:color w:val="FFFFFF"/>
              </w:rPr>
              <w:t>UMBER OF</w:t>
            </w:r>
            <w:r>
              <w:rPr>
                <w:rFonts w:ascii="Times New Roman" w:cs="Times New Roman" w:eastAsia="Times New Roman" w:hAnsi="Times New Roman"/>
                <w:sz w:val="18"/>
                <w:szCs w:val="18"/>
                <w:b w:val="1"/>
                <w:bCs w:val="1"/>
                <w:color w:val="FFFFFF"/>
              </w:rPr>
              <w:t xml:space="preserve"> S</w:t>
            </w:r>
            <w:r>
              <w:rPr>
                <w:rFonts w:ascii="Times New Roman" w:cs="Times New Roman" w:eastAsia="Times New Roman" w:hAnsi="Times New Roman"/>
                <w:sz w:val="13"/>
                <w:szCs w:val="13"/>
                <w:b w:val="1"/>
                <w:bCs w:val="1"/>
                <w:color w:val="FFFFFF"/>
              </w:rPr>
              <w:t>HARES</w:t>
            </w:r>
          </w:p>
        </w:tc>
        <w:tc>
          <w:tcPr>
            <w:tcW w:w="1660" w:type="dxa"/>
            <w:vAlign w:val="bottom"/>
            <w:tcBorders>
              <w:bottom w:val="single" w:sz="8" w:color="4DC1E4"/>
            </w:tcBorders>
            <w:shd w:val="clear" w:color="auto" w:fill="4DC1E4"/>
          </w:tcPr>
          <w:p>
            <w:pPr>
              <w:jc w:val="right"/>
              <w:ind w:right="310"/>
              <w:spacing w:after="0"/>
              <w:rPr>
                <w:sz w:val="20"/>
                <w:szCs w:val="20"/>
                <w:color w:val="auto"/>
              </w:rPr>
            </w:pPr>
            <w:r>
              <w:rPr>
                <w:rFonts w:ascii="Times New Roman" w:cs="Times New Roman" w:eastAsia="Times New Roman" w:hAnsi="Times New Roman"/>
                <w:sz w:val="18"/>
                <w:szCs w:val="18"/>
                <w:b w:val="1"/>
                <w:bCs w:val="1"/>
                <w:color w:val="FFFFFF"/>
              </w:rPr>
              <w:t>P</w:t>
            </w:r>
            <w:r>
              <w:rPr>
                <w:rFonts w:ascii="Times New Roman" w:cs="Times New Roman" w:eastAsia="Times New Roman" w:hAnsi="Times New Roman"/>
                <w:sz w:val="13"/>
                <w:szCs w:val="13"/>
                <w:b w:val="1"/>
                <w:bCs w:val="1"/>
                <w:color w:val="FFFFFF"/>
              </w:rPr>
              <w:t>ERCENTAGE</w:t>
            </w:r>
          </w:p>
        </w:tc>
      </w:tr>
      <w:tr>
        <w:trPr>
          <w:trHeight w:val="250"/>
        </w:trPr>
        <w:tc>
          <w:tcPr>
            <w:tcW w:w="59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Greater than 5% Stockholders</w:t>
            </w:r>
          </w:p>
        </w:tc>
        <w:tc>
          <w:tcPr>
            <w:tcW w:w="212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spacing w:after="0"/>
              <w:rPr>
                <w:sz w:val="21"/>
                <w:szCs w:val="21"/>
                <w:color w:val="auto"/>
              </w:rPr>
            </w:pPr>
          </w:p>
        </w:tc>
      </w:tr>
      <w:tr>
        <w:trPr>
          <w:trHeight w:val="40"/>
        </w:trPr>
        <w:tc>
          <w:tcPr>
            <w:tcW w:w="594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50"/>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Entities affiliated with Deerfield Management (1)</w:t>
            </w:r>
          </w:p>
        </w:tc>
        <w:tc>
          <w:tcPr>
            <w:tcW w:w="2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35,686,474</w:t>
            </w:r>
          </w:p>
        </w:tc>
        <w:tc>
          <w:tcPr>
            <w:tcW w:w="16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34.3%</w:t>
            </w:r>
          </w:p>
        </w:tc>
      </w:tr>
      <w:tr>
        <w:trPr>
          <w:trHeight w:val="40"/>
        </w:trPr>
        <w:tc>
          <w:tcPr>
            <w:tcW w:w="594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50"/>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Blue Owl Capital Holdings LP (2)</w:t>
            </w:r>
          </w:p>
        </w:tc>
        <w:tc>
          <w:tcPr>
            <w:tcW w:w="2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8,464,663</w:t>
            </w:r>
          </w:p>
        </w:tc>
        <w:tc>
          <w:tcPr>
            <w:tcW w:w="16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8.1%</w:t>
            </w:r>
          </w:p>
        </w:tc>
      </w:tr>
      <w:tr>
        <w:trPr>
          <w:trHeight w:val="40"/>
        </w:trPr>
        <w:tc>
          <w:tcPr>
            <w:tcW w:w="594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50"/>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Millennium Management LLC (3)</w:t>
            </w:r>
          </w:p>
        </w:tc>
        <w:tc>
          <w:tcPr>
            <w:tcW w:w="2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5,206,364</w:t>
            </w:r>
          </w:p>
        </w:tc>
        <w:tc>
          <w:tcPr>
            <w:tcW w:w="16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5.0%</w:t>
            </w:r>
          </w:p>
        </w:tc>
      </w:tr>
      <w:tr>
        <w:trPr>
          <w:trHeight w:val="40"/>
        </w:trPr>
        <w:tc>
          <w:tcPr>
            <w:tcW w:w="594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50"/>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212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40"/>
        </w:trPr>
        <w:tc>
          <w:tcPr>
            <w:tcW w:w="594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50"/>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Carole S. Ben-Maimon, M.D. (4)</w:t>
            </w:r>
          </w:p>
        </w:tc>
        <w:tc>
          <w:tcPr>
            <w:tcW w:w="2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1,890,321</w:t>
            </w:r>
          </w:p>
        </w:tc>
        <w:tc>
          <w:tcPr>
            <w:tcW w:w="16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1.8%</w:t>
            </w:r>
          </w:p>
        </w:tc>
      </w:tr>
      <w:tr>
        <w:trPr>
          <w:trHeight w:val="40"/>
        </w:trPr>
        <w:tc>
          <w:tcPr>
            <w:tcW w:w="594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50"/>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Michael Celano (5)</w:t>
            </w:r>
          </w:p>
        </w:tc>
        <w:tc>
          <w:tcPr>
            <w:tcW w:w="2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682,242</w:t>
            </w:r>
          </w:p>
        </w:tc>
        <w:tc>
          <w:tcPr>
            <w:tcW w:w="16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94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50"/>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Gopi Shankar (6)</w:t>
            </w:r>
          </w:p>
        </w:tc>
        <w:tc>
          <w:tcPr>
            <w:tcW w:w="2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293,690</w:t>
            </w:r>
          </w:p>
        </w:tc>
        <w:tc>
          <w:tcPr>
            <w:tcW w:w="16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94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50"/>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Frank Thomas (7)</w:t>
            </w:r>
          </w:p>
        </w:tc>
        <w:tc>
          <w:tcPr>
            <w:tcW w:w="2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92,624</w:t>
            </w:r>
          </w:p>
        </w:tc>
        <w:tc>
          <w:tcPr>
            <w:tcW w:w="16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94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50"/>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Jonathan Leff (8)</w:t>
            </w:r>
          </w:p>
        </w:tc>
        <w:tc>
          <w:tcPr>
            <w:tcW w:w="2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94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50"/>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Thomas E. Hamilton (9)</w:t>
            </w:r>
          </w:p>
        </w:tc>
        <w:tc>
          <w:tcPr>
            <w:tcW w:w="2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903,731</w:t>
            </w:r>
          </w:p>
        </w:tc>
        <w:tc>
          <w:tcPr>
            <w:tcW w:w="16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94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50"/>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Jeffrey W. Sherman, M.D., FACP (10)</w:t>
            </w:r>
          </w:p>
        </w:tc>
        <w:tc>
          <w:tcPr>
            <w:tcW w:w="2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57,294</w:t>
            </w:r>
          </w:p>
        </w:tc>
        <w:tc>
          <w:tcPr>
            <w:tcW w:w="16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94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50"/>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Joseph Truitt (11)</w:t>
            </w:r>
          </w:p>
        </w:tc>
        <w:tc>
          <w:tcPr>
            <w:tcW w:w="2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82,250</w:t>
            </w:r>
          </w:p>
        </w:tc>
        <w:tc>
          <w:tcPr>
            <w:tcW w:w="16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94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50"/>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All current executive officers and directors as a group (9 persons) (12)</w:t>
            </w:r>
          </w:p>
        </w:tc>
        <w:tc>
          <w:tcPr>
            <w:tcW w:w="2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4,272,092</w:t>
            </w:r>
          </w:p>
        </w:tc>
        <w:tc>
          <w:tcPr>
            <w:tcW w:w="16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4.0%</w:t>
            </w:r>
          </w:p>
        </w:tc>
      </w:tr>
    </w:tbl>
    <w:p>
      <w:pPr>
        <w:spacing w:after="0" w:line="36" w:lineRule="exact"/>
        <w:rPr>
          <w:sz w:val="20"/>
          <w:szCs w:val="20"/>
          <w:color w:val="auto"/>
        </w:rPr>
      </w:pPr>
    </w:p>
    <w:p>
      <w:pPr>
        <w:ind w:left="140" w:hanging="136"/>
        <w:spacing w:after="0"/>
        <w:tabs>
          <w:tab w:leader="none" w:pos="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333" w:lineRule="exact"/>
        <w:rPr>
          <w:rFonts w:ascii="Times New Roman" w:cs="Times New Roman" w:eastAsia="Times New Roman" w:hAnsi="Times New Roman"/>
          <w:sz w:val="18"/>
          <w:szCs w:val="18"/>
          <w:color w:val="auto"/>
        </w:rPr>
      </w:pPr>
    </w:p>
    <w:p>
      <w:pPr>
        <w:jc w:val="both"/>
        <w:ind w:left="880" w:hanging="436"/>
        <w:spacing w:after="0" w:line="253" w:lineRule="auto"/>
        <w:tabs>
          <w:tab w:leader="none" w:pos="8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13D/A jointly filed with the SEC on March 2, 2026 by Deerfield Private Design Fund III, L.P., Deerfield Healthcare Innovations Fund, L.P., Deerfield Private Design Fund IV, L.P., Deerfield Partners, L.P., Deerfield Mgmt III, L.P., Deerfield Mgmt HIF, L.P., Deerfield Mgmt IV, L.P., Deerfield Mgmt, L.P., Deerfield Management Company, L.P. and James E. Flynn reflecting information as of February 16, 2024, consists of (a) 10,622,928 shares held by Deerfield Private Design Fund III, L.P., (b) 8,153,107 shares held by Deerfield Healthcare Innovations Fund, L.P., (c) 10,622,957 shares held by Deerfield Private Design Fund IV, L.P., (d) 6,207,982 shares held by Deerfield Partners, L.P. and (e) 79,500 shares of common stock issuable upon the exercise of an equal number of options that are currently exercisable or will be exercisable within 60 days of April 3, 2026 held by Jonathan Leff for the benefit, and the direction, of Deerfield Management Company L.P. Deerfield Mgmt IV, L.P. is the general partner of Deerfield Private Design Fund IV, L.P. Deerfield Mgmt HIF, L.P. is the general partner of Deerfield Healthcare Innovations Fund, L.P.</w:t>
      </w:r>
    </w:p>
    <w:p>
      <w:pPr>
        <w:spacing w:after="0" w:line="3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8" w:right="10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1"/>
          <w:szCs w:val="21"/>
          <w:b w:val="1"/>
          <w:bCs w:val="1"/>
          <w:color w:val="auto"/>
          <w:shd w:val="clear" w:color="auto" w:fill="4DC1E4"/>
        </w:rPr>
        <w:t xml:space="preserve">SECURITY OWNERSHIP OF CERTAIN BENEFICIAL OWNERS AND MANAGEMENT </w:t>
      </w:r>
      <w:r>
        <w:rPr>
          <w:rFonts w:ascii="Times New Roman" w:cs="Times New Roman" w:eastAsia="Times New Roman" w:hAnsi="Times New Roman"/>
          <w:sz w:val="21"/>
          <w:szCs w:val="21"/>
          <w:b w:val="1"/>
          <w:bCs w:val="1"/>
          <w:i w:val="1"/>
          <w:iCs w:val="1"/>
          <w:color w:val="auto"/>
          <w:shd w:val="clear" w:color="auto" w:fill="4DC1E4"/>
        </w:rPr>
        <w:t>(continued)</w:t>
      </w:r>
    </w:p>
    <w:p>
      <w:pPr>
        <w:spacing w:after="0" w:line="233" w:lineRule="exact"/>
        <w:rPr>
          <w:sz w:val="20"/>
          <w:szCs w:val="20"/>
          <w:color w:val="auto"/>
        </w:rPr>
      </w:pPr>
    </w:p>
    <w:p>
      <w:pPr>
        <w:jc w:val="both"/>
        <w:ind w:left="780" w:firstLine="154"/>
        <w:spacing w:after="0" w:line="252" w:lineRule="auto"/>
        <w:rPr>
          <w:sz w:val="20"/>
          <w:szCs w:val="20"/>
          <w:color w:val="auto"/>
        </w:rPr>
      </w:pPr>
      <w:r>
        <w:rPr>
          <w:rFonts w:ascii="Times New Roman" w:cs="Times New Roman" w:eastAsia="Times New Roman" w:hAnsi="Times New Roman"/>
          <w:sz w:val="18"/>
          <w:szCs w:val="18"/>
          <w:color w:val="auto"/>
        </w:rPr>
        <w:t>Deerfield Mgmt III, L.P. is the general partner of Deerfield Private Design Fund III, L.P. (collectively with Deerfield Healthcare Innovations Fund, L.P. and Deerfield Private Design Fund IV, L.P., the “Deerfield Funds”). Deerfield Management Company, L.P. is the investment manager of the Deerfield Funds. Mr. James E. Flynn is the sole member of the general partner of each of Deerfield Mgmt IV, L.P., Deerfield Mgmt HIF, L.P., Deerfield Mgmt III, L.P. and Deerfield Management Company, L.P. Deerfield Mgmt IV, L.P., Deerfield Management Company, L.P. and Mr. James E. Flynn may be deemed to beneficially own the securities held by Deerfield Private Design Fund IV, L.P. Deerfield Mgmt HIF, L.P., Deerfield Management Company, L.P. and Mr. James E. Flynn may be deemed to beneficially own the securities held by Deerfield Healthcare Innovations Fund, L.P. Deerfield Mgmt III, L.P., Deerfield Management Company, L.P. and Mr. James E. Flynn may be deemed to beneficially own the securities held by Deerfield Private Design Fund III, L.P. The address of each of Deerfield Private Design Fund IV, L.P., Deerfield Healthcare Innovations Fund, L.P. and Deerfield Private Design Fund III, L.P. is c/o Deerfield Management Company, L.P., 345 Park Avenue South, 12th Floor, New York, New York 10010.</w:t>
      </w:r>
    </w:p>
    <w:p>
      <w:pPr>
        <w:spacing w:after="0" w:line="2" w:lineRule="exact"/>
        <w:rPr>
          <w:sz w:val="20"/>
          <w:szCs w:val="20"/>
          <w:color w:val="auto"/>
        </w:rPr>
      </w:pPr>
    </w:p>
    <w:p>
      <w:pPr>
        <w:jc w:val="both"/>
        <w:ind w:left="780" w:hanging="436"/>
        <w:spacing w:after="0" w:line="250" w:lineRule="auto"/>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13G/A filed with the SEC on February 12, 2026 by Blue Owl Capital Holdings LP reflecting information as of December 31, 2025, consists of 8,464,663 shares of common stock held by Blue Owl Capital Holdings LP, consisting of (i) 6,823,690 shares of common stock and (ii) 1,640,973 shares of common stock issuable upon conversion of Series A Preferred Stock, par value $0.001 per share. The business address for Blue Owl Capital Holdings LP is 399 Park Avenue, New York, New York 10022.</w:t>
      </w:r>
    </w:p>
    <w:p>
      <w:pPr>
        <w:spacing w:after="0" w:line="1" w:lineRule="exact"/>
        <w:rPr>
          <w:rFonts w:ascii="Times New Roman" w:cs="Times New Roman" w:eastAsia="Times New Roman" w:hAnsi="Times New Roman"/>
          <w:sz w:val="18"/>
          <w:szCs w:val="18"/>
          <w:color w:val="auto"/>
        </w:rPr>
      </w:pPr>
    </w:p>
    <w:p>
      <w:pPr>
        <w:jc w:val="both"/>
        <w:ind w:left="780" w:hanging="436"/>
        <w:spacing w:after="0" w:line="250" w:lineRule="auto"/>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Form 13F filed with the SEC on February 17, 2026 by Millennium Management LLC reflecting information as of December 31, 2025, consists of 5,206,364 shares of common stock held by Millennium Management LLC. The business address of Millennium Management LLC is 399 Park Avenue, New York, New York 10022.</w:t>
      </w:r>
    </w:p>
    <w:p>
      <w:pPr>
        <w:spacing w:after="0" w:line="1" w:lineRule="exact"/>
        <w:rPr>
          <w:rFonts w:ascii="Times New Roman" w:cs="Times New Roman" w:eastAsia="Times New Roman" w:hAnsi="Times New Roman"/>
          <w:sz w:val="18"/>
          <w:szCs w:val="18"/>
          <w:color w:val="auto"/>
        </w:rPr>
      </w:pPr>
    </w:p>
    <w:p>
      <w:pPr>
        <w:jc w:val="both"/>
        <w:ind w:left="780" w:hanging="436"/>
        <w:spacing w:after="0" w:line="250" w:lineRule="auto"/>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115,614 shares directly beneficially owned by Dr. Ben-Maimon, (ii) 1,289,829 shares of common stock issuable upon the exercise of an equal number of options that are currently exercisable or will be exercisable within 60 days of April 3, 2026, (iii) 31,155 shares of common stock issuable upon the exercise of an equal number of options that are currently exercisable or will be exercisable within 60 days of April 3, 2026 held by the Irrevocable Deed of Trust of Carole S. Ben-Maimon for the Benefit of Meadow Lainey Ben-Maimon (“Meadow Trust”), (iv) 31,155 shares of common stock issuable upon the exercise of an equal number of options that are currently exercisable or will be exercisable within 60 days of April 3, 2026 held by the Irrevocable Deed of Trust of Carole S. Ben-Maimon for the Benefit of Olivia Liat Stein (“Olivia Trust”), (v) 31,156 shares of common stock issuable upon the exercise of an equal number of options that are currently exercisable or will be exercisable within 60 days of April 3, 2026 held by the Irrevocable Deed of Trust of Carole S. Ben-Maimon for the Benefit of Ella Bar Stein (“Ella Trust”), (vi) 109,700 shares of common stock issuable upon the exercise of an equal number of options that are currently exercisable or will be exercisable within 60 days of April 3, 2026 held by Irrevocable Deed of Trust of Matzi Ben-Maimon and Carole Ben-Maimon for the Benefit of Joseph Ben-Maimon (“Joseph Trust”), (vii) 109,700 shares of common stock issuable upon the exercise of an equal number of options that are currently exercisable or will be exercisable within 60 days of April 3, 2026 held by Irrevocable Deed of Trust of Matzi Ben-Maimon and Carole Ben-Maimon for the Benefit of Tal Ben-Maimon (“Tal Trust”), (viii) 109,700 shares of common stock issuable upon the exercise of an equal number of options that are currently exercisable or will be exercisable within 60 days of April 3, 2026 held by Irrevocable Deed of Trust of Matzi Ben-Maimon and Carole Ben-Maimon for the Benefit of Sivan Ben-Maimon (“Sivan Trust”), (ix) 31,156 shares of common stock issuable upon the exercise of an equal number of options that are currently exercisable or will be exercisable within 60 days of April 3, 2026 held by Irrevocable Deed of Trust Irrevocable Deed of Trust of Carole Ben-Maimon for the Benefit of Matzi Mark Ben-Maimon (“Matzi Trust”), and (x) 31,156 shares of common stock issuable upon the exercise of an equal number of options that are currently exercisable or will be exercisable within 60 days of April 3, 2026 held by Irrevocable Deed of Trust of Carole Ben-Maimon for the Benefit of Romi Aleeza Stein (“Romi Trust”). Dr. Ben-Maimon is the trustee of each of the Meadow Trust, Olivia Trust, Ella Trust, Matzi Trust and Romi Trust. Dr. Ben-Maimon and Matzi Ben-Maimon, Dr. Ben-Maimon’s husband, are trustees of each of the Joseph Trust, Tal Trust and Sivan Trust. Dr. Ben-Maimon disclaims beneficial ownership of the shares held by each of the above named trusts.</w:t>
      </w:r>
    </w:p>
    <w:p>
      <w:pPr>
        <w:spacing w:after="0" w:line="10" w:lineRule="exact"/>
        <w:rPr>
          <w:rFonts w:ascii="Times New Roman" w:cs="Times New Roman" w:eastAsia="Times New Roman" w:hAnsi="Times New Roman"/>
          <w:sz w:val="18"/>
          <w:szCs w:val="18"/>
          <w:color w:val="auto"/>
        </w:rPr>
      </w:pPr>
    </w:p>
    <w:p>
      <w:pPr>
        <w:jc w:val="both"/>
        <w:ind w:left="780" w:hanging="436"/>
        <w:spacing w:after="0" w:line="255" w:lineRule="auto"/>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117,918 shares directly beneficially owned by Mr. Celano and (ii) 564,324 shares of common stock issuable upon the exercise of an equal number of options that are currently exercisable or will be exercisable within 60 days of April 3, 2026.</w:t>
      </w:r>
    </w:p>
    <w:p>
      <w:pPr>
        <w:spacing w:after="0" w:line="3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547370</wp:posOffset>
            </wp:positionV>
            <wp:extent cx="703770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-116840</wp:posOffset>
            </wp:positionV>
            <wp:extent cx="8890"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620"/>
          </w:cols>
          <w:pgMar w:left="1180" w:top="1186" w:right="10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1"/>
          <w:szCs w:val="21"/>
          <w:b w:val="1"/>
          <w:bCs w:val="1"/>
          <w:color w:val="auto"/>
          <w:shd w:val="clear" w:color="auto" w:fill="4DC1E4"/>
        </w:rPr>
        <w:t xml:space="preserve">SECURITY OWNERSHIP OF CERTAIN BENEFICIAL OWNERS AND MANAGEMENT </w:t>
      </w:r>
      <w:r>
        <w:rPr>
          <w:rFonts w:ascii="Times New Roman" w:cs="Times New Roman" w:eastAsia="Times New Roman" w:hAnsi="Times New Roman"/>
          <w:sz w:val="21"/>
          <w:szCs w:val="21"/>
          <w:b w:val="1"/>
          <w:bCs w:val="1"/>
          <w:i w:val="1"/>
          <w:iCs w:val="1"/>
          <w:color w:val="auto"/>
          <w:shd w:val="clear" w:color="auto" w:fill="4DC1E4"/>
        </w:rPr>
        <w:t>(continued)</w:t>
      </w:r>
    </w:p>
    <w:p>
      <w:pPr>
        <w:spacing w:after="0" w:line="233" w:lineRule="exact"/>
        <w:rPr>
          <w:sz w:val="20"/>
          <w:szCs w:val="20"/>
          <w:color w:val="auto"/>
        </w:rPr>
      </w:pPr>
    </w:p>
    <w:p>
      <w:pPr>
        <w:jc w:val="both"/>
        <w:ind w:left="780" w:hanging="436"/>
        <w:spacing w:after="0" w:line="257"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22,077 shares directly beneficially owned by Dr. Shankar and (ii) 271,613 shares of common stock issuable upon the exercise of an equal number of options that are currently exercisable or will be exercisable within 60 days of April 3, 2026.</w:t>
      </w:r>
    </w:p>
    <w:p>
      <w:pPr>
        <w:spacing w:after="0" w:line="1" w:lineRule="exact"/>
        <w:rPr>
          <w:rFonts w:ascii="Times New Roman" w:cs="Times New Roman" w:eastAsia="Times New Roman" w:hAnsi="Times New Roman"/>
          <w:sz w:val="18"/>
          <w:szCs w:val="18"/>
          <w:color w:val="auto"/>
        </w:rPr>
      </w:pPr>
    </w:p>
    <w:p>
      <w:pPr>
        <w:jc w:val="both"/>
        <w:ind w:left="780" w:hanging="436"/>
        <w:spacing w:after="0" w:line="250"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7,000 shares directly beneficially owned by Mr. Thomas and (ii) 85,624 shares of common stock issuable upon the exercise of an equal number of options that are currently exercisable or will be exercisable within 60 days of April 3, 2026.</w:t>
      </w:r>
    </w:p>
    <w:p>
      <w:pPr>
        <w:spacing w:after="0" w:line="1" w:lineRule="exact"/>
        <w:rPr>
          <w:rFonts w:ascii="Times New Roman" w:cs="Times New Roman" w:eastAsia="Times New Roman" w:hAnsi="Times New Roman"/>
          <w:sz w:val="18"/>
          <w:szCs w:val="18"/>
          <w:color w:val="auto"/>
        </w:rPr>
      </w:pPr>
    </w:p>
    <w:p>
      <w:pPr>
        <w:jc w:val="both"/>
        <w:ind w:left="780" w:hanging="436"/>
        <w:spacing w:after="0" w:line="250"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Leff disclaims beneficial ownership of the shares referred to in footnote 1 above, including 79,500 shares of common stock issuable upon the exercise of an equal number of options that are currently exercisable or will be exercisable within 60 days of April 3, 2026 that Mr. Leff, our director, holds for the benefit, and the direction, of Deerfield Management Company.</w:t>
      </w:r>
    </w:p>
    <w:p>
      <w:pPr>
        <w:spacing w:after="0" w:line="1" w:lineRule="exact"/>
        <w:rPr>
          <w:rFonts w:ascii="Times New Roman" w:cs="Times New Roman" w:eastAsia="Times New Roman" w:hAnsi="Times New Roman"/>
          <w:sz w:val="18"/>
          <w:szCs w:val="18"/>
          <w:color w:val="auto"/>
        </w:rPr>
      </w:pPr>
    </w:p>
    <w:p>
      <w:pPr>
        <w:jc w:val="both"/>
        <w:ind w:left="780" w:hanging="436"/>
        <w:spacing w:after="0" w:line="250"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664,798 shares directly beneficially owned by Mr. Hamilton, (ii) 79,500 shares of common stock issuable upon the exercise of an equal number of options that are currently exercisable or will be exercisable within 60 days of April 3, 2026 and (iii) 159,433 shares directly held by Post Edison, LLC. Mr. Hamilton disclaims beneficial ownership of the shares held by Post Edison, LLC except to the extent of his pecuniary interest therein.</w:t>
      </w:r>
    </w:p>
    <w:p>
      <w:pPr>
        <w:spacing w:after="0" w:line="1" w:lineRule="exact"/>
        <w:rPr>
          <w:rFonts w:ascii="Times New Roman" w:cs="Times New Roman" w:eastAsia="Times New Roman" w:hAnsi="Times New Roman"/>
          <w:sz w:val="18"/>
          <w:szCs w:val="18"/>
          <w:color w:val="auto"/>
        </w:rPr>
      </w:pPr>
    </w:p>
    <w:p>
      <w:pPr>
        <w:jc w:val="both"/>
        <w:ind w:left="780" w:hanging="436"/>
        <w:spacing w:after="0" w:line="250"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5,000 shares directly beneficially owned by Mr. Sherman and (ii) 52,294 shares of common stock issuable upon the exercise of an equal number of options that are currently exercisable or will be exercisable within 60 days of April 3, 2026.</w:t>
      </w:r>
    </w:p>
    <w:p>
      <w:pPr>
        <w:spacing w:after="0" w:line="1" w:lineRule="exact"/>
        <w:rPr>
          <w:rFonts w:ascii="Times New Roman" w:cs="Times New Roman" w:eastAsia="Times New Roman" w:hAnsi="Times New Roman"/>
          <w:sz w:val="18"/>
          <w:szCs w:val="18"/>
          <w:color w:val="auto"/>
        </w:rPr>
      </w:pPr>
    </w:p>
    <w:p>
      <w:pPr>
        <w:jc w:val="both"/>
        <w:ind w:left="780" w:hanging="436"/>
        <w:spacing w:after="0" w:line="250"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2,750 shares directly beneficially owned by Mr. Truitt and (ii) 79,500 shares of common stock issuable upon the exercise of an equal number of options that are currently exercisable or will be exercisable within 60 days of April 3, 2026.</w:t>
      </w:r>
    </w:p>
    <w:p>
      <w:pPr>
        <w:spacing w:after="0" w:line="1" w:lineRule="exact"/>
        <w:rPr>
          <w:rFonts w:ascii="Times New Roman" w:cs="Times New Roman" w:eastAsia="Times New Roman" w:hAnsi="Times New Roman"/>
          <w:sz w:val="18"/>
          <w:szCs w:val="18"/>
          <w:color w:val="auto"/>
        </w:rPr>
      </w:pPr>
    </w:p>
    <w:p>
      <w:pPr>
        <w:ind w:left="780" w:hanging="436"/>
        <w:spacing w:after="0" w:line="260"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942,556 shares of common stock and (ii) 3,329,536 shares of common stock issuable upon the exercise of an equal number of options that are currently exercisable or will be exercisable within 60 days of April 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547370</wp:posOffset>
            </wp:positionV>
            <wp:extent cx="703770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-116840</wp:posOffset>
            </wp:positionV>
            <wp:extent cx="8890" cy="13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620"/>
          </w:cols>
          <w:pgMar w:left="1180" w:top="1186" w:right="1099" w:bottom="1440" w:gutter="0" w:footer="0" w:header="0"/>
        </w:sectPr>
      </w:pPr>
    </w:p>
    <w:bookmarkStart w:id="51" w:name="page52"/>
    <w:bookmarkEnd w:id="51"/>
    <w:p>
      <w:pPr>
        <w:ind w:left="100"/>
        <w:spacing w:after="0"/>
        <w:rPr>
          <w:sz w:val="20"/>
          <w:szCs w:val="20"/>
          <w:color w:val="auto"/>
        </w:rPr>
      </w:pPr>
      <w:r>
        <w:rPr>
          <w:rFonts w:ascii="Times New Roman" w:cs="Times New Roman" w:eastAsia="Times New Roman" w:hAnsi="Times New Roman"/>
          <w:sz w:val="22"/>
          <w:szCs w:val="22"/>
          <w:b w:val="1"/>
          <w:bCs w:val="1"/>
          <w:color w:val="auto"/>
        </w:rPr>
        <w:t>ITEMS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-140335</wp:posOffset>
            </wp:positionV>
            <wp:extent cx="6172200" cy="1543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5"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color w:val="auto"/>
        </w:rPr>
        <w:t>PROPOSAL 1: ELECTION OF CLASS III DIRECTORS FOR A THREE-YEAR TERM EXPIRING AT THE 2029 ANNUAL MEETING OF STOCKHOLDERS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Annual Meeting, our stockholders will vote on the election of the Class III director nominees named in this Proxy Statement as a director, each to serve until our 2029 Annual Meeting of Stockholders and until their respective successors are elected and qualified. Our Board has unanimously nominated Frank Thomas, Carole S. Ben-Maimon, M.D. and Joseph Truitt for election to our Board at the Annual Meeting.</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the nominees has agreed to be named and to serve, and we expect each nominee to be able to serve if elected. If any nominee is unable to serve, the Nominating and Corporate Governance Committee will recommend to our Board a replacement nominee. The Board may then designate the other nominee to stand for election. If you voted for the unavailable nominee, your vote will be cast for his or her replacement.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125730</wp:posOffset>
            </wp:positionV>
            <wp:extent cx="6172200" cy="6172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172200" cy="61722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1440"/>
        <w:spacing w:after="0" w:line="317" w:lineRule="auto"/>
        <w:rPr>
          <w:sz w:val="20"/>
          <w:szCs w:val="20"/>
          <w:color w:val="auto"/>
        </w:rPr>
      </w:pPr>
      <w:r>
        <w:rPr>
          <w:rFonts w:ascii="Times New Roman" w:cs="Times New Roman" w:eastAsia="Times New Roman" w:hAnsi="Times New Roman"/>
          <w:sz w:val="17"/>
          <w:szCs w:val="17"/>
          <w:color w:val="auto"/>
        </w:rPr>
        <w:t xml:space="preserve">OUR BOARD UNANIMOUSLY RECOMMENDS STOCKHOLDERS VOTE </w:t>
      </w:r>
      <w:r>
        <w:rPr>
          <w:rFonts w:ascii="Times New Roman" w:cs="Times New Roman" w:eastAsia="Times New Roman" w:hAnsi="Times New Roman"/>
          <w:sz w:val="17"/>
          <w:szCs w:val="17"/>
          <w:b w:val="1"/>
          <w:bCs w:val="1"/>
          <w:color w:val="538135"/>
        </w:rPr>
        <w:t>FOR</w:t>
      </w:r>
      <w:r>
        <w:rPr>
          <w:rFonts w:ascii="Times New Roman" w:cs="Times New Roman" w:eastAsia="Times New Roman" w:hAnsi="Times New Roman"/>
          <w:sz w:val="17"/>
          <w:szCs w:val="17"/>
          <w:color w:val="auto"/>
        </w:rPr>
        <w:t xml:space="preserve"> THE ELECTION OF FRANK THOMAS, CAROLE S. BEN-MAIMON, M.D. AND JOSEPH TRUITT.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8" w:right="1099" w:bottom="1440" w:gutter="0" w:footer="0" w:header="0"/>
        </w:sectPr>
      </w:pPr>
    </w:p>
    <w:bookmarkStart w:id="52" w:name="page53"/>
    <w:bookmarkEnd w:id="52"/>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ITEMS TO BE VOTED 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PROPOSAL 2: APPROVAL, ON AN ADVISORY BASIS, OF THE COMPENSATION OF OUR NAMED EXECUTIVE OFFICERS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offering our stockholders an opportunity to cast an advisory vote to approve the compensation of our NEOs, as disclosed in this Proxy Statement, pursuant to Section 14A of the Exchange Act, which was put in place by the Dodd-Frank Wall Street Reform and Consumer Protection Act of 2010. This proposal, commonly known as “say-on-pay,” gives our stockholders the opportunity to express their views on our NEOs’ compensation. The vote is advisory, and, therefore, is not binding on the Board, the Compensation Committee, or the Company. Nevertheless, the Compensation Committee will consider the outcome of the "say-on-pay" vote described in this Proposal 2 and the related "say-on-frequency" vote described in Proposal 3 of this Proxy Statement when considering future executive compensation decisions.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executive compensation program is designed to attract, motivate and retain our NEOs, who are critical to our success. Our Board believes that our executive compensation program is well tailored to retain and motivate key executives while recognizing the need to align our executive compensation program with the interests of our stockholders and our “pay-for-performance” philosophy. Our Compensation Committee continually reviews the compensation programs for our NEOs to ensure they achieve the desired goals of aligning our executive compensation structure with our stockholders’ interests and current market practices.</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encourage our stockholders to read the “2025 Summary Compensation Table” and other related compensation tables and narrative disclosures, which describe the 2025 compensation of our NEOs.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asking our stockholders to indicate their support for the compensation of our NEOs as described herein. This vote is not intended to address any specific item of compensation, but rather the overall compensation of our NEOs and our executive compensation philosophy, programs, and practices as described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123190</wp:posOffset>
            </wp:positionV>
            <wp:extent cx="6172200" cy="6254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172200" cy="625475"/>
                    </a:xfrm>
                    <a:prstGeom prst="rect">
                      <a:avLst/>
                    </a:prstGeom>
                    <a:noFill/>
                  </pic:spPr>
                </pic:pic>
              </a:graphicData>
            </a:graphic>
          </wp:anchor>
        </w:drawing>
      </w:r>
    </w:p>
    <w:p>
      <w:pPr>
        <w:spacing w:after="0" w:line="314" w:lineRule="exact"/>
        <w:rPr>
          <w:sz w:val="20"/>
          <w:szCs w:val="20"/>
          <w:color w:val="auto"/>
        </w:rPr>
      </w:pPr>
    </w:p>
    <w:p>
      <w:pPr>
        <w:jc w:val="center"/>
        <w:ind w:right="1440"/>
        <w:spacing w:after="0" w:line="268" w:lineRule="auto"/>
        <w:rPr>
          <w:sz w:val="20"/>
          <w:szCs w:val="20"/>
          <w:color w:val="auto"/>
        </w:rPr>
      </w:pPr>
      <w:r>
        <w:rPr>
          <w:rFonts w:ascii="Times New Roman" w:cs="Times New Roman" w:eastAsia="Times New Roman" w:hAnsi="Times New Roman"/>
          <w:sz w:val="18"/>
          <w:szCs w:val="18"/>
          <w:color w:val="auto"/>
        </w:rPr>
        <w:t xml:space="preserve">OUR BOARD UNANIMOUSLY RECOMMENDS STOCKHOLDERS VOTE </w:t>
      </w:r>
      <w:r>
        <w:rPr>
          <w:rFonts w:ascii="Times New Roman" w:cs="Times New Roman" w:eastAsia="Times New Roman" w:hAnsi="Times New Roman"/>
          <w:sz w:val="18"/>
          <w:szCs w:val="18"/>
          <w:b w:val="1"/>
          <w:bCs w:val="1"/>
          <w:color w:val="538135"/>
        </w:rPr>
        <w:t>FOR</w:t>
      </w:r>
      <w:r>
        <w:rPr>
          <w:rFonts w:ascii="Times New Roman" w:cs="Times New Roman" w:eastAsia="Times New Roman" w:hAnsi="Times New Roman"/>
          <w:sz w:val="18"/>
          <w:szCs w:val="18"/>
          <w:color w:val="auto"/>
        </w:rPr>
        <w:t xml:space="preserve"> THE APPROVAL OF, ON AN ADVISORY BASIS, THE COMPENSATION OF OUR NAMED EXECUTIVE OFFICERS AT THE ANNUAL MEETING.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53" w:name="page54"/>
    <w:bookmarkEnd w:id="53"/>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ITEMS TO BE VOTED 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PROPOSAL 3: APPROVAL, ON AN ADVISORY BASIS, OF THE PREFERRED FREQUENCY OF FUTURE ADVISORY VOTES ON THE COMPENSATION OF OUR NAMED EXECUTIVE OFFICERS</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Dodd-Frank Act and Section 14A of the Exchange Act enable our stockholders, at least once every six years, to indicate their preference regarding how frequently we should hold future "say-on-pay" votes. This proposal is commonly known as "say-on-frequency." Stockholders may vote for a frequency of every one, two or three years. The vote on the frequency of the "say-on-pay" vote, just as with the "say-on-pay" vote itself, is advisory, and, therefore, is not binding on the Board, the Compensation Committee, or the Company. However, the Compensation Committee and Board will carefully consider the outcome of the vote when determining the frequency of future stockholder advisory votes to approve the compensation of our NEOs. Because this vote is advisory and non-binding, our Board may decide that it is in the best interests of the Company and our stockholders to hold the advisory vote to approve executive compensation more or less frequently.</w:t>
      </w:r>
    </w:p>
    <w:p>
      <w:pPr>
        <w:spacing w:after="0" w:line="19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currently conduct an advisory vote on the compensation of our NEOs each year. It is the opinion of the Board that the frequency of future advisory stockholder votes on the compensation of our NEOs should be once every year. The Board views the way we compensate our NEOs as an essential part of our strategy to maximize our performance and deliver enhanced value to our stockholders. The Board believes that a vote every year will permit us to focus on developing compensation practices that are in the best long-term interests of our stockholders, while simultaneously giving stockholders the time frame they need to fully evaluate the design and effectiveness of those practices.</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Stockholders will not be voting to approve or disapprove of the recommendation of our Board. The proxy card provides stockholders with the opportunity to choose among four options with respect to this proposal (holding the vote every one, two, or three years, or abstaining). The affirmative vote of the holders of shares of common stock representing a majority of the votes cast on the matter is required to adopt this resolution. If none of the three frequency options receives the vote of the holders of a majority of the votes cast, we will consider the frequency option (one year, two years or three years) receiving the highest number of votes properly cast to be the frequency preferred by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6172200" cy="6254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172200" cy="625475"/>
                    </a:xfrm>
                    <a:prstGeom prst="rect">
                      <a:avLst/>
                    </a:prstGeom>
                    <a:noFill/>
                  </pic:spPr>
                </pic:pic>
              </a:graphicData>
            </a:graphic>
          </wp:anchor>
        </w:drawing>
      </w:r>
    </w:p>
    <w:p>
      <w:pPr>
        <w:spacing w:after="0" w:line="325" w:lineRule="exact"/>
        <w:rPr>
          <w:sz w:val="20"/>
          <w:szCs w:val="20"/>
          <w:color w:val="auto"/>
        </w:rPr>
      </w:pPr>
    </w:p>
    <w:p>
      <w:pPr>
        <w:jc w:val="center"/>
        <w:ind w:right="1480"/>
        <w:spacing w:after="0" w:line="268" w:lineRule="auto"/>
        <w:rPr>
          <w:sz w:val="20"/>
          <w:szCs w:val="20"/>
          <w:color w:val="auto"/>
        </w:rPr>
      </w:pPr>
      <w:r>
        <w:rPr>
          <w:rFonts w:ascii="Times New Roman" w:cs="Times New Roman" w:eastAsia="Times New Roman" w:hAnsi="Times New Roman"/>
          <w:sz w:val="18"/>
          <w:szCs w:val="18"/>
          <w:color w:val="auto"/>
        </w:rPr>
        <w:t xml:space="preserve">OUR BOARD UNANIMOUSLY RECOMMENDS STOCKHOLDERS VOTE </w:t>
      </w:r>
      <w:r>
        <w:rPr>
          <w:rFonts w:ascii="Times New Roman" w:cs="Times New Roman" w:eastAsia="Times New Roman" w:hAnsi="Times New Roman"/>
          <w:sz w:val="18"/>
          <w:szCs w:val="18"/>
          <w:b w:val="1"/>
          <w:bCs w:val="1"/>
          <w:color w:val="538135"/>
        </w:rPr>
        <w:t>"EVERY YEAR"</w:t>
      </w:r>
      <w:r>
        <w:rPr>
          <w:rFonts w:ascii="Times New Roman" w:cs="Times New Roman" w:eastAsia="Times New Roman" w:hAnsi="Times New Roman"/>
          <w:sz w:val="18"/>
          <w:szCs w:val="18"/>
          <w:color w:val="auto"/>
        </w:rPr>
        <w:t xml:space="preserve"> FOR THE PREFERRED FREQUENCY OF FUTURE ADVISORY VOTES ON THE COMPENSATION OF OUR NAMED EXECUTIVE OFFICERS AT THE ANNUAL MEETING.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54" w:name="page55"/>
    <w:bookmarkEnd w:id="54"/>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ITEMS TO BE VOTED 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7" w:lineRule="exact"/>
        <w:rPr>
          <w:sz w:val="20"/>
          <w:szCs w:val="20"/>
          <w:color w:val="auto"/>
        </w:rPr>
      </w:pPr>
    </w:p>
    <w:p>
      <w:pPr>
        <w:ind w:right="1260"/>
        <w:spacing w:after="0" w:line="286" w:lineRule="auto"/>
        <w:rPr>
          <w:sz w:val="20"/>
          <w:szCs w:val="20"/>
          <w:color w:val="auto"/>
        </w:rPr>
      </w:pPr>
      <w:r>
        <w:rPr>
          <w:rFonts w:ascii="Times New Roman" w:cs="Times New Roman" w:eastAsia="Times New Roman" w:hAnsi="Times New Roman"/>
          <w:sz w:val="18"/>
          <w:szCs w:val="18"/>
          <w:b w:val="1"/>
          <w:bCs w:val="1"/>
          <w:color w:val="auto"/>
        </w:rPr>
        <w:t>PROPOSAL 4: RATIFICATION OF APPOINTMENT OF PRICEWATERHOUSECOOPERS LLP AS OUR INDEPENDENT REGISTERED PUBLIC ACCOUNTING FIRM FOR THE 2026 FISCAL YEAR</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of the Board has appointed and engaged PwC to serve as our independent registered public accounting firm to audit the consolidated financial statements of the Company and our subsidiary for the 2026 fiscal year, and to perform audit-related services. PwC has served as our independent registered public accounting firm since 2020.</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Stockholders are hereby asked to ratify the Audit Committee’s appointment of PwC as our independent registered public accounting firm for the 2026 fiscal year.</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Audit Committee is solely responsible for selecting our independent auditors. Although stockholder ratification of the appointment of PwC to serve as our independent registered public accounting firm is not required by law or our organizational documents, the Board has determined that it is desirable to seek stockholder ratification as a matter of good corporate governance in view of the critical role played by independent registered public accounting firms in maintaining the integrity of financial controls and reporting. If the stockholders do not ratify the appointment of PwC, the Audit Committee will reconsider its selection and whether to engage an alternative independent registered public accounting firm, but may ultimately determine to retain PwC as our independent registered public accounting firm.</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Representatives of PwC are expected to virtually attend the Annual Meeting where they will be available to respond to appropriate questions and, if they desire, to make a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6172200" cy="7626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172200" cy="762635"/>
                    </a:xfrm>
                    <a:prstGeom prst="rect">
                      <a:avLst/>
                    </a:prstGeom>
                    <a:noFill/>
                  </pic:spPr>
                </pic:pic>
              </a:graphicData>
            </a:graphic>
          </wp:anchor>
        </w:drawing>
      </w:r>
    </w:p>
    <w:p>
      <w:pPr>
        <w:spacing w:after="0" w:line="300" w:lineRule="exact"/>
        <w:rPr>
          <w:sz w:val="20"/>
          <w:szCs w:val="20"/>
          <w:color w:val="auto"/>
        </w:rPr>
      </w:pPr>
    </w:p>
    <w:p>
      <w:pPr>
        <w:jc w:val="center"/>
        <w:ind w:right="1500"/>
        <w:spacing w:after="0" w:line="262" w:lineRule="auto"/>
        <w:rPr>
          <w:sz w:val="20"/>
          <w:szCs w:val="20"/>
          <w:color w:val="auto"/>
        </w:rPr>
      </w:pPr>
      <w:r>
        <w:rPr>
          <w:rFonts w:ascii="Times New Roman" w:cs="Times New Roman" w:eastAsia="Times New Roman" w:hAnsi="Times New Roman"/>
          <w:sz w:val="18"/>
          <w:szCs w:val="18"/>
          <w:color w:val="auto"/>
        </w:rPr>
        <w:t xml:space="preserve">THE BOARD UNANIMOUSLY RECOMMENDS A VOTE </w:t>
      </w:r>
      <w:r>
        <w:rPr>
          <w:rFonts w:ascii="Times New Roman" w:cs="Times New Roman" w:eastAsia="Times New Roman" w:hAnsi="Times New Roman"/>
          <w:sz w:val="18"/>
          <w:szCs w:val="18"/>
          <w:b w:val="1"/>
          <w:bCs w:val="1"/>
          <w:color w:val="538135"/>
        </w:rPr>
        <w:t>FOR</w:t>
      </w:r>
      <w:r>
        <w:rPr>
          <w:rFonts w:ascii="Times New Roman" w:cs="Times New Roman" w:eastAsia="Times New Roman" w:hAnsi="Times New Roman"/>
          <w:sz w:val="18"/>
          <w:szCs w:val="18"/>
          <w:color w:val="auto"/>
        </w:rPr>
        <w:t xml:space="preserve"> THE RATIFICATION OF PRICEWATERHOUSECOOPERS LLP AS INDEPENDENT REGISTERED PUBLIC ACCOUNTING FIRM FOR THE COMPANY FOR THE FISCAL YEAR ENDING DECEMBER 31, 2026.</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55" w:name="page56"/>
    <w:bookmarkEnd w:id="55"/>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ITEMS TO BE VOTED 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PROPOSAL 5: APPROVAL OF AN AMENDMENT TO OUR NINTH AMENDED AND RESTATED CERTIFICATE OF INCORPORATION, AS AMENDED, TO INCREASE THE NUMBER OF AUTHORIZED SHARES OF COMMON STOCK FROM 115,000,000 TO 215,000,000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Ninth Amended and Restated Certificate of Incorporation, as amended (the "Certificate of Incorporation"), currently authorizes the issuance of 115,000,000 shares of common stock. On April 7, 2026, our Board approved an amendment, subject to approval by our stockholders, to our Certificate of Incorporation to increase the authorized number of shares of common stock from 115,000,000 to 215,000,000 (the "Authorized Shares Charter Amendment"). The proposed Authorized Shares Charter Amendment would not increase or otherwise affect our authorized preferred stock.</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Over the past several years, we have used shares of our common stock to, among other things, engage in financings, incentivize and compensate employees and other service providers and for other general corporate purposes. Our Board believes that it is in the best interests of our company and stockholders to increase the number of authorized shares of common stock in order to give us greater flexibility in considering and planning for potential business needs. The increase in the number of authorized but unissued shares of common stock would enable us, without the expense and delay of seeking stockholder approval, to issue shares from time to time as may be required for proper business purposes. The additional shares may be used for various purposes without further stockholder approval, except as may be required in certain cases by law or the Nasdaq rules. The discretion of our Board, however, would be subject to any other applicable rules and regulations in the case of any particular issuance or reservation for issuance that might require stockholders to approve such transaction.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Text of Proposed Authorized Shares Charter Amendment</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the stockholders approve this proposal, our Certificate of Incorporation will be amended to increase the number of shares of common stock the Company is authorized to issue from 115,000,000 shares to 215,000,000 shares. The par value of the common stock will remain at $0.001 per share. There will be no change to the number of authorized shares of undesignated preferred stock.</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The proposed Certificate of Amendment reflecting the foregoing Authorized Shares Charter Amendment is attached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this Proxy Statement. However, the text of the Authorized Shares Charter Amendment is subject to revision to include such changes as may be required by the Secretary of State of the State of Delaware and as the Board deems necessary and advisable to effect the Authorized Shares Charter Amendment.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for the Authorized Shares Charter Amendment</w:t>
      </w:r>
    </w:p>
    <w:p>
      <w:pPr>
        <w:spacing w:after="0" w:line="22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currently do not have any specific plans, arrangements or understandings to issue additional shares of our common stock, except for (i) the issuance of shares of common stock pursuant to our equity incentive plan and (ii) potential issuances pursuant to our sales agreement with Guggenheim Securities, LLC (the "Sales Agreement"), through which we may offer and sell shares of our common stock from time to time in “at-the-market” offerings. Having the additional authorized shares available will provide additional flexibility to use our common stock for business and financial purposes in the future as well as to have sufficient shares available to provide appropriate equity incentives for our employees.</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of April 3, 2026, there were 103,882,937 shares of common stock issued and outstanding, 5,000,000 shares of common stock reserved for issuance upon conversion of the outstanding shares of Series A Convertible Preferred Stock, 4,493,676 shares reserved for issuance pursuant to outstanding equity awards under our equity incentive plans or inducement awards granted pursuant to Nasdaq Listing Rule 5635(c)(4) and 1,588,315 shares reserved for future issuance under our 2020 Plan. Accordingly, after adjusting for shares reserved for issuance under our equity incentive plan and inducement awards, we have only 35,072 shares of common stock available for future issuance out of the 115,000,000 shares of common stock currently authorized as of April 3,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of Additional Authorized Shares</w:t>
      </w:r>
    </w:p>
    <w:p>
      <w:pPr>
        <w:spacing w:after="0" w:line="229" w:lineRule="exact"/>
        <w:rPr>
          <w:sz w:val="20"/>
          <w:szCs w:val="20"/>
          <w:color w:val="auto"/>
        </w:rPr>
      </w:pPr>
    </w:p>
    <w:p>
      <w:pPr>
        <w:ind w:right="480"/>
        <w:spacing w:after="0" w:line="312" w:lineRule="auto"/>
        <w:rPr>
          <w:sz w:val="20"/>
          <w:szCs w:val="20"/>
          <w:color w:val="auto"/>
        </w:rPr>
      </w:pPr>
      <w:r>
        <w:rPr>
          <w:rFonts w:ascii="Times New Roman" w:cs="Times New Roman" w:eastAsia="Times New Roman" w:hAnsi="Times New Roman"/>
          <w:sz w:val="17"/>
          <w:szCs w:val="17"/>
          <w:color w:val="auto"/>
        </w:rPr>
        <w:t>The additional authorized shares of common stock, if and when issued, would be part of our existing class of common stock and would have the same rights and privileges as the shares of common stock currently outstanding. Our stockholders do not have</w:t>
      </w:r>
    </w:p>
    <w:p>
      <w:pPr>
        <w:spacing w:after="0" w:line="2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402" w:right="1099" w:bottom="1440" w:gutter="0" w:footer="0" w:header="0"/>
        </w:sectPr>
      </w:pPr>
    </w:p>
    <w:bookmarkStart w:id="56" w:name="page57"/>
    <w:bookmarkEnd w:id="56"/>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ITEMS TO BE VOTED 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20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preemptive rights with respect to the common stock. Accordingly, should our Board elect to issue additional shares of common stock, existing stockholders would not have any preferential rights to purchase the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Adverse Effects of the Authorized Shares Charter Amendment</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Future issuances of common stock or securities convertible into common stock could have a dilutive effect on the earnings per share, book value per share, voting power and percentage interest of holdings of current stockholders. In addition, the availability of additional shares of common stock for issuance could, under certain circumstances, discourage or make more difficult efforts to obtain control of our company. Our Board is not aware of any attempt, or contemplated attempt, to acquire control of our company. This proposal is not being presented with the intent that it be used to prevent or discourage any acquisition attempt, but nothing would prevent our Board from taking any appropriate actions not inconsistent with its fiduciary duties.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Timing and Effect of the Authorized Shares Charter Amendment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above description of the Authorized Shares Charter Amendment is only a summary and is qualified in its entirety by reference to the complete text of the Authorized Shares Charter Amendment, which is attached to this Proxy Statement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If the proposed Authorized Shares Charter Amendment is approved by our stockholders, it will become effective immediately upon the filing of the Authorized Shares Charter Amendment with the Secretary of State of the State of Delaware, which we expect to file promptly after the Annual Meeting. Other than the increase of authorized shares of common stock as described in this proposal, the remainder of our Certificate of Incorporation will remain unchanged after effectiveness of the Authorized Shares Charter Amendment. If the proposed Authorized Shares Charter Amendment is not approved by our stockholders, our Certificate of Incorporation will not make such change. In accordance with the DGCL, our Board may elect to abandon the proposed Authorized Shares Charter Amendment without further action by the stockholders at any time prior to the effectiveness of the filing of the Authorized Shares Charter Amendment with the Secretary of State of the State of Delaware, notwithstanding stockholder approval of the proposed Authorized Shares Charter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172200" cy="7632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172200" cy="76327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center"/>
        <w:ind w:right="1460"/>
        <w:spacing w:after="0"/>
        <w:rPr>
          <w:sz w:val="20"/>
          <w:szCs w:val="20"/>
          <w:color w:val="auto"/>
        </w:rPr>
      </w:pPr>
      <w:r>
        <w:rPr>
          <w:rFonts w:ascii="Times New Roman" w:cs="Times New Roman" w:eastAsia="Times New Roman" w:hAnsi="Times New Roman"/>
          <w:sz w:val="18"/>
          <w:szCs w:val="18"/>
          <w:color w:val="auto"/>
        </w:rPr>
        <w:t xml:space="preserve">THE BOARD UNANIMOUSLY RECOMMENDS A VOTE </w:t>
      </w:r>
      <w:r>
        <w:rPr>
          <w:rFonts w:ascii="Times New Roman" w:cs="Times New Roman" w:eastAsia="Times New Roman" w:hAnsi="Times New Roman"/>
          <w:sz w:val="18"/>
          <w:szCs w:val="18"/>
          <w:b w:val="1"/>
          <w:bCs w:val="1"/>
          <w:color w:val="538135"/>
        </w:rPr>
        <w:t>FOR</w:t>
      </w:r>
      <w:r>
        <w:rPr>
          <w:rFonts w:ascii="Times New Roman" w:cs="Times New Roman" w:eastAsia="Times New Roman" w:hAnsi="Times New Roman"/>
          <w:sz w:val="18"/>
          <w:szCs w:val="18"/>
          <w:color w:val="auto"/>
        </w:rPr>
        <w:t xml:space="preserve"> THE APPROVAL OF AN</w:t>
      </w:r>
    </w:p>
    <w:p>
      <w:pPr>
        <w:spacing w:after="0" w:line="31" w:lineRule="exact"/>
        <w:rPr>
          <w:sz w:val="20"/>
          <w:szCs w:val="20"/>
          <w:color w:val="auto"/>
        </w:rPr>
      </w:pPr>
    </w:p>
    <w:p>
      <w:pPr>
        <w:jc w:val="center"/>
        <w:ind w:right="1500"/>
        <w:spacing w:after="0" w:line="255" w:lineRule="auto"/>
        <w:rPr>
          <w:sz w:val="20"/>
          <w:szCs w:val="20"/>
          <w:color w:val="auto"/>
        </w:rPr>
      </w:pPr>
      <w:r>
        <w:rPr>
          <w:rFonts w:ascii="Times New Roman" w:cs="Times New Roman" w:eastAsia="Times New Roman" w:hAnsi="Times New Roman"/>
          <w:sz w:val="18"/>
          <w:szCs w:val="18"/>
          <w:color w:val="auto"/>
        </w:rPr>
        <w:t>AMENDMENT TO OUR NINTH AMENDED AND RESTATED CERTIFICATE OF INCORPORATION, AS AMENDED, TO INCREASE THE NUMBER OF AUTHORIZED SHARES OF COMMON STOCK FROM 115,000,000 TO 215,000,000.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57" w:name="page58"/>
    <w:bookmarkEnd w:id="57"/>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ITEMS TO BE VOTED 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PROPOSAL 6: APPROVAL OF THE ADJOURNMENT OF THE ANNUAL MEETING TO THE EXTENT THERE ARE INSUFFICIENT VOTES AT THE ANNUAL MEETING TO APPROVE PROPOSAL 5</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that the number of shares of common stock present virtually or represented by proxy at the Annual Meeting and voting “FOR” the adoption of Proposal 5 in this Proxy Statement is insufficient to approve such proposal, we may move to adjourn the Annual Meeting in order to enable us to solicit additional proxies in favor of the adoption of such proposal. If our stockholders approve this proposal, we could adjourn the Annual Meeting without a vote on Proposal 5 to solicit additional proxies and/or to seek to convince stockholders to change their votes in favor of such proposal. If the adjournment is for more than thirty days, a notice of the adjourned meeting shall be given to each stockholder of record entitled to vote at the Annual Meeting.</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avoidance of doubt, any proxy authorizing the adjournment of the Annual Meeting shall also authorize successive adjournments thereof, at any meeting so adjourned, to the extent necessary for us to solicit additional proxies in favor of the adoption of such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123190</wp:posOffset>
            </wp:positionV>
            <wp:extent cx="6172200" cy="643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172200" cy="643255"/>
                    </a:xfrm>
                    <a:prstGeom prst="rect">
                      <a:avLst/>
                    </a:prstGeom>
                    <a:noFill/>
                  </pic:spPr>
                </pic:pic>
              </a:graphicData>
            </a:graphic>
          </wp:anchor>
        </w:drawing>
      </w:r>
    </w:p>
    <w:p>
      <w:pPr>
        <w:spacing w:after="0" w:line="314" w:lineRule="exact"/>
        <w:rPr>
          <w:sz w:val="20"/>
          <w:szCs w:val="20"/>
          <w:color w:val="auto"/>
        </w:rPr>
      </w:pPr>
    </w:p>
    <w:p>
      <w:pPr>
        <w:jc w:val="center"/>
        <w:ind w:right="1460"/>
        <w:spacing w:after="0" w:line="268" w:lineRule="auto"/>
        <w:rPr>
          <w:sz w:val="20"/>
          <w:szCs w:val="20"/>
          <w:color w:val="auto"/>
        </w:rPr>
      </w:pPr>
      <w:r>
        <w:rPr>
          <w:rFonts w:ascii="Times New Roman" w:cs="Times New Roman" w:eastAsia="Times New Roman" w:hAnsi="Times New Roman"/>
          <w:sz w:val="18"/>
          <w:szCs w:val="18"/>
          <w:color w:val="auto"/>
        </w:rPr>
        <w:t xml:space="preserve">THE BOARD UNANIMOUSLY RECOMMENDS A VOTE </w:t>
      </w:r>
      <w:r>
        <w:rPr>
          <w:rFonts w:ascii="Times New Roman" w:cs="Times New Roman" w:eastAsia="Times New Roman" w:hAnsi="Times New Roman"/>
          <w:sz w:val="18"/>
          <w:szCs w:val="18"/>
          <w:b w:val="1"/>
          <w:bCs w:val="1"/>
          <w:color w:val="538135"/>
        </w:rPr>
        <w:t>FOR</w:t>
      </w:r>
      <w:r>
        <w:rPr>
          <w:rFonts w:ascii="Times New Roman" w:cs="Times New Roman" w:eastAsia="Times New Roman" w:hAnsi="Times New Roman"/>
          <w:sz w:val="18"/>
          <w:szCs w:val="18"/>
          <w:color w:val="auto"/>
        </w:rPr>
        <w:t xml:space="preserve"> THE APPROVAL OF THE ADJOURNMENT OF THE ANNUAL MEETING TO THE EXTENT THERE ARE INSUFFICIENT VOTES AT THE ANNUAL MEETING TO APPROVE PROPOSAL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58" w:name="page59"/>
    <w:bookmarkEnd w:id="58"/>
    <w:p>
      <w:pPr>
        <w:ind w:left="100"/>
        <w:spacing w:after="0"/>
        <w:rPr>
          <w:sz w:val="20"/>
          <w:szCs w:val="20"/>
          <w:color w:val="auto"/>
        </w:rPr>
      </w:pPr>
      <w:r>
        <w:rPr>
          <w:rFonts w:ascii="Times New Roman" w:cs="Times New Roman" w:eastAsia="Times New Roman" w:hAnsi="Times New Roman"/>
          <w:sz w:val="22"/>
          <w:szCs w:val="22"/>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-140335</wp:posOffset>
            </wp:positionV>
            <wp:extent cx="6172200" cy="1543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Annual Meeting is called for the purposes set forth in the Notice. Our Board does not know of any other matters to be considered by the stockholders at the Annual Meeting, other than the matters described in the Notice. However, the enclosed proxy confers discretionary authority on the persons named in the proxy card with respect to matters that may properly come before the Annual Meeting and that are not known to our Board at the date this Proxy Statement was printed. It is the intention of the persons named in the proxy card to vote in accordance with their best judgment on any such matter.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REQUIREMENTS FOR SUBMISSION OF STOCKHOLDER PROPOSALS FOR NEXT YEAR’S ANNUAL MEETING</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Stockholders intending to present a proposal to be considered for inclusion in the proxy statement for our 2027 Annual Meeting of Stockholders must submit a proposal that is received at our principal executive offices no later than December 21, 2026, which is the 120th day prior to the first anniversary we released this Proxy Statement to our stockholders for the 2026 Annual Meeting of Stockholders. If we change the date of the 2027 Annual Meeting of Stockholders by more than 30 days from the anniversary of this year’s Annual Meeting, stockholder proposals must be received no later than the close of business on the tenth day following the day on which public announcement of the date of the meeting was first made in order to be considered for inclusion in our proxy statement. Proposals must be sent via registered, certified, or express mail (or other means that allows the stockholder to determine when the proposal was received by the Secretary) to our Secretary at Larimar Therapeutics, Inc., Three Bala Plaza East, Suite 506, Bala Cynwyd, PA 19004. Proposals must contain the information required under our Bylaws, a copy of which is available upon request to our Secretary, and must comply with the SEC’s regulations regarding the inclusion of stockholder proposals in Company-sponsored proxy materials.</w:t>
      </w:r>
    </w:p>
    <w:p>
      <w:pPr>
        <w:spacing w:after="0" w:line="1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Stockholders intending to present a proposal or nominate a director for election at our 2027 Annual Meeting of Stockholders without having the proposal or nomination included in our Proxy Statement must comply with the requirements set forth in our Bylaws. Our Bylaws require, among other things, that the Secretary of the Company receive the proposal or nomination, in writing at Three Bala Plaza East, Suite 506, Bala Cynwyd, PA 19004 or via email at investors@larimartx.com, no earlier than the close of business on the 120th day, and no later than the close of business on the 90th day, prior to the first anniversary of the preceding year’s Annual Meeting. Accordingly, for our 2027 Annual Meeting of Stockholders, our Secretary must receive the proposal or nomination no earlier than January 19, 2027 and no later than the close of business on February 18, 2027. However, if we change the date of the 2027 Annual Meeting of Stockholders by more than 30 days before or 60 days after the anniversary of this year’s Annual Meeting, stockholder proposals must be received no later than the close of business on the later of the 90th day prior to the scheduled date of the meeting and the tenth day following the day on which public notice of the meeting was first made. Proposals must contain the information required under our Bylaws, a copy of which is available upon request to our Secretary. If the stockholder does not meet the applicable deadlines or comply with the requirements of SEC Rule 14a-4, we may exercise discretionary voting authority under proxies we solicit to vote, in accordance with our best judgment, on any such proposal.</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comply with the universal proxy rules, stockholders intending to solicit proxies in support of director nominees other than the Company’s nominees must provide notice that sets forth the information required by Rule 14a-19 under the Exchange Act in the timeline provided under our Bylaws.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TO THE BOARD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Stockholders and other interested parties may communicate with the Board by writing to the Secretary, Larimar Therapeutics, Inc., Three Bala Plaza East, Suite 506, Bala Cynwyd, PA 19004. Communications intended for a specific director or directors should be addressed to their attention to the Secretary at the address provided above. Communications received from stockholders are forwarded directly to Board members as part of the materials mailed in advance of the next scheduled Board meeting following receipt of the communications. The Board has authorized the Secretary, in his or her discretion, to forward communications on a more expedited basis if circumstances warrant or to exclude a communication if it is illegal, unduly hostile or threatening, or similarly inappropriate. Advertisements, solicitations for periodical or other subscriptions, and other similar communications generally will not be forwarded to the directors.</w:t>
      </w:r>
    </w:p>
    <w:p>
      <w:pPr>
        <w:spacing w:after="0" w:line="3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8" w:right="1099" w:bottom="1440" w:gutter="0" w:footer="0" w:header="0"/>
        </w:sectPr>
      </w:pPr>
    </w:p>
    <w:bookmarkStart w:id="59" w:name="page60"/>
    <w:bookmarkEnd w:id="59"/>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OTHER INFORMATION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Stockholders who share a single address may receive only one copy of this Proxy Statement and the 2025 Annual Report, unless we have received contrary instructions from the impacted stockholders. This practice, known as “householding,” is designed to reduce our printing and postage costs and the environmental impact of the Annual Meeting. Stockholders who participate in householding will continue to receive separate proxy cards if they received a paper copy of proxy materials in the mail. We agree to deliver promptly, upon written or oral request, a separate copy of the proxy materials to any stockholder at a shared address to which a single copy of these documents were delivered. If your household received only a single set of our proxy materials and you would like a separate copy, please contact our Chief Financial Officer by calling (844) 511-9056 or in writing to Chief Financial Officer, Larimar Therapeutics, Inc., Three Bala Plaza East, Suite 506, Bala Cynwyd, PA 19004. If your household received multiple copies of our proxy materials and you would, in the future, prefer to receive only a single copy, please contact our Chief Financial Officer at the address or phone number listed above. Stockholders who hold shares in street name may contact their brokerage firm, bank, or other nominee to request information about householding.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AVAILABILITY OF MATERIALS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2025 Annual Report, including the consolidated financial statements, has been filed with the SEC and provides additional information about us, which is incorporated by reference herein. It is available on the Internet at </w:t>
      </w:r>
      <w:r>
        <w:rPr>
          <w:rFonts w:ascii="Times New Roman" w:cs="Times New Roman" w:eastAsia="Times New Roman" w:hAnsi="Times New Roman"/>
          <w:sz w:val="18"/>
          <w:szCs w:val="18"/>
          <w:u w:val="single" w:color="auto"/>
          <w:color w:val="2B7CF4"/>
        </w:rPr>
        <w:t>www.larimartx.com</w:t>
      </w:r>
      <w:r>
        <w:rPr>
          <w:rFonts w:ascii="Times New Roman" w:cs="Times New Roman" w:eastAsia="Times New Roman" w:hAnsi="Times New Roman"/>
          <w:sz w:val="18"/>
          <w:szCs w:val="18"/>
          <w:color w:val="auto"/>
        </w:rPr>
        <w:t xml:space="preserve"> and is available in paper form (other than exhibits thereto) by first class mail or other equally prompt means to beneficial owners of our common stock, without charge, upon written request to Chief Financial Officer, Larimar Therapeutics, Inc., Three Bala Plaza East, Suite 506, Bala Cynwyd, PA 19004 or at (844) 511-9056. In addition, it is available to beneficial holders of our common stock at </w:t>
      </w:r>
      <w:r>
        <w:rPr>
          <w:rFonts w:ascii="Times New Roman" w:cs="Times New Roman" w:eastAsia="Times New Roman" w:hAnsi="Times New Roman"/>
          <w:sz w:val="18"/>
          <w:szCs w:val="18"/>
          <w:u w:val="single" w:color="auto"/>
          <w:color w:val="2B7CF4"/>
        </w:rPr>
        <w:t>http://www.edocumentview.com/LRMR</w:t>
      </w:r>
      <w:r>
        <w:rPr>
          <w:rFonts w:ascii="Times New Roman" w:cs="Times New Roman" w:eastAsia="Times New Roman" w:hAnsi="Times New Roman"/>
          <w:sz w:val="18"/>
          <w:szCs w:val="18"/>
          <w:color w:val="2B7CF4"/>
        </w:rPr>
        <w:t xml:space="preserve"> </w:t>
      </w:r>
      <w:r>
        <w:rPr>
          <w:rFonts w:ascii="Times New Roman" w:cs="Times New Roman" w:eastAsia="Times New Roman" w:hAnsi="Times New Roman"/>
          <w:sz w:val="18"/>
          <w:szCs w:val="18"/>
          <w:color w:val="000000"/>
        </w:rPr>
        <w:t>and to record holders of our common stock at</w:t>
      </w:r>
      <w:r>
        <w:rPr>
          <w:rFonts w:ascii="Times New Roman" w:cs="Times New Roman" w:eastAsia="Times New Roman" w:hAnsi="Times New Roman"/>
          <w:sz w:val="18"/>
          <w:szCs w:val="18"/>
          <w:color w:val="2B7CF4"/>
        </w:rPr>
        <w:t xml:space="preserve"> </w:t>
      </w:r>
      <w:r>
        <w:rPr>
          <w:rFonts w:ascii="Times New Roman" w:cs="Times New Roman" w:eastAsia="Times New Roman" w:hAnsi="Times New Roman"/>
          <w:sz w:val="18"/>
          <w:szCs w:val="18"/>
          <w:u w:val="single" w:color="auto"/>
          <w:color w:val="2B7CF4"/>
        </w:rPr>
        <w:t>http://www.envisionreports.com/LRMR</w:t>
      </w:r>
      <w:r>
        <w:rPr>
          <w:rFonts w:ascii="Times New Roman" w:cs="Times New Roman" w:eastAsia="Times New Roman" w:hAnsi="Times New Roman"/>
          <w:sz w:val="18"/>
          <w:szCs w:val="18"/>
          <w:color w:val="000000"/>
        </w:rPr>
        <w:t>.</w:t>
      </w:r>
    </w:p>
    <w:p>
      <w:pPr>
        <w:spacing w:after="0" w:line="30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60" w:name="page61"/>
    <w:bookmarkEnd w:id="60"/>
    <w:p>
      <w:pPr>
        <w:ind w:left="100"/>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-140335</wp:posOffset>
            </wp:positionV>
            <wp:extent cx="6172200" cy="1543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NINTH AMENDED AND RESTATED CERTIFICATE OF INCORPORATION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00" w:lineRule="exact"/>
        <w:rPr>
          <w:sz w:val="20"/>
          <w:szCs w:val="20"/>
          <w:color w:val="auto"/>
        </w:rPr>
      </w:pP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Larimar Therapeutics, Inc., a Delaware corporation (the “Corporation”), hereby certifies as follows:</w:t>
      </w:r>
    </w:p>
    <w:p>
      <w:pPr>
        <w:spacing w:after="0" w:line="117" w:lineRule="exact"/>
        <w:rPr>
          <w:sz w:val="20"/>
          <w:szCs w:val="20"/>
          <w:color w:val="auto"/>
        </w:rPr>
      </w:pPr>
    </w:p>
    <w:p>
      <w:pPr>
        <w:ind w:right="280" w:firstLine="445"/>
        <w:spacing w:after="0" w:line="266" w:lineRule="auto"/>
        <w:tabs>
          <w:tab w:leader="none" w:pos="62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duly adopted resolutions declaring advisable the amendment of the Ninth Amended and Restated Certificate of Incorporation, as amended, of the Corporation (the “Certificate of Incorporation”) set forth in paragraph 3 of this Certificate of Amendment.</w:t>
      </w:r>
    </w:p>
    <w:p>
      <w:pPr>
        <w:spacing w:after="0" w:line="67" w:lineRule="exact"/>
        <w:rPr>
          <w:rFonts w:ascii="Times New Roman" w:cs="Times New Roman" w:eastAsia="Times New Roman" w:hAnsi="Times New Roman"/>
          <w:sz w:val="18"/>
          <w:szCs w:val="18"/>
          <w:color w:val="auto"/>
        </w:rPr>
      </w:pPr>
    </w:p>
    <w:p>
      <w:pPr>
        <w:ind w:firstLine="445"/>
        <w:spacing w:after="0" w:line="282" w:lineRule="auto"/>
        <w:tabs>
          <w:tab w:leader="none" w:pos="62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to the Certificate of Incorporation set forth in paragraph 3 of this Certificate of Amendment was duly adopted in accordance with the provisions of Section 242 of the General Corporation Law of the State of Delaware (the “DGCL”).</w:t>
      </w:r>
    </w:p>
    <w:p>
      <w:pPr>
        <w:spacing w:after="0" w:line="53" w:lineRule="exact"/>
        <w:rPr>
          <w:rFonts w:ascii="Times New Roman" w:cs="Times New Roman" w:eastAsia="Times New Roman" w:hAnsi="Times New Roman"/>
          <w:sz w:val="18"/>
          <w:szCs w:val="18"/>
          <w:color w:val="auto"/>
        </w:rPr>
      </w:pPr>
    </w:p>
    <w:p>
      <w:pPr>
        <w:ind w:left="620" w:hanging="175"/>
        <w:spacing w:after="0"/>
        <w:tabs>
          <w:tab w:leader="none" w:pos="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is hereby amended by replacing the first paragraph of Article IV in its entirety to read as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total number of shares of capital stock which the Corporation shall have authority to issue is 220,000,000, of which (i) 215,000,000 shares shall be a class designated as common stock, par value $0.001 per share (the “Common Stock”), and (ii) 5,000,000 shares shall be a class designated as undesignated preferred stock, par value $0.001 per share (the “Undesignated Preferred Stock”).”</w:t>
      </w:r>
    </w:p>
    <w:p>
      <w:pPr>
        <w:sectPr>
          <w:pgSz w:w="11900" w:h="16838" w:orient="portrait"/>
          <w:cols w:equalWidth="0" w:num="1">
            <w:col w:w="9720"/>
          </w:cols>
          <w:pgMar w:left="1080" w:top="972" w:right="1099" w:bottom="1440" w:gutter="0" w:footer="0" w:header="0"/>
        </w:sect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right="60" w:hanging="628"/>
        <w:spacing w:after="0" w:line="282" w:lineRule="auto"/>
        <w:rPr>
          <w:sz w:val="20"/>
          <w:szCs w:val="20"/>
          <w:color w:val="auto"/>
        </w:rPr>
      </w:pPr>
      <w:r>
        <w:rPr>
          <w:rFonts w:ascii="Times New Roman" w:cs="Times New Roman" w:eastAsia="Times New Roman" w:hAnsi="Times New Roman"/>
          <w:sz w:val="18"/>
          <w:szCs w:val="18"/>
          <w:color w:val="auto"/>
        </w:rPr>
        <w:t>IN WITNESS WHEREOF, this Certificate of Amendment has been executed by a duly authorized officer of the Corporation on th day of , 2026.</w:t>
      </w:r>
    </w:p>
    <w:p>
      <w:pPr>
        <w:spacing w:after="0" w:line="200" w:lineRule="exact"/>
        <w:rPr>
          <w:sz w:val="20"/>
          <w:szCs w:val="20"/>
          <w:color w:val="auto"/>
        </w:rPr>
      </w:pPr>
    </w:p>
    <w:p>
      <w:pPr>
        <w:sectPr>
          <w:pgSz w:w="11900" w:h="16838" w:orient="portrait"/>
          <w:cols w:equalWidth="0" w:num="2">
            <w:col w:w="360" w:space="720"/>
            <w:col w:w="8640"/>
          </w:cols>
          <w:pgMar w:left="1080" w:top="972" w:right="1099" w:bottom="1440" w:gutter="0" w:footer="0" w:header="0"/>
          <w:type w:val="continuous"/>
        </w:sectPr>
      </w:pPr>
    </w:p>
    <w:p>
      <w:pPr>
        <w:spacing w:after="0" w:line="20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3937000</wp:posOffset>
            </wp:positionH>
            <wp:positionV relativeFrom="paragraph">
              <wp:posOffset>17145</wp:posOffset>
            </wp:positionV>
            <wp:extent cx="223710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Carole S. Ben-Maimon, M.D.</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495935</wp:posOffset>
            </wp:positionV>
            <wp:extent cx="703770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972" w:right="1099" w:bottom="1440" w:gutter="0" w:footer="0" w:header="0"/>
          <w:type w:val="continuous"/>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646430</wp:posOffset>
            </wp:positionV>
            <wp:extent cx="7037705" cy="85337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037705" cy="8533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774700</wp:posOffset>
            </wp:positionV>
            <wp:extent cx="7037705" cy="85337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037705" cy="8533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lvl w:ilvl="1">
      <w:lvlJc w:val="left"/>
      <w:lvlText w:val="•"/>
      <w:numFmt w:val="bullet"/>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lowerLetter"/>
      <w:start w:val="1"/>
    </w:lvl>
  </w:abstractNum>
  <w:abstractNum w:abstractNumId="21">
    <w:nsid w:val="B03E0C6"/>
    <w:multiLevelType w:val="hybridMultilevel"/>
    <w:lvl w:ilvl="0">
      <w:lvlJc w:val="left"/>
      <w:lvlText w:val="(%1)"/>
      <w:numFmt w:val="decimal"/>
      <w:start w:val="3"/>
    </w:lvl>
  </w:abstractNum>
  <w:abstractNum w:abstractNumId="22">
    <w:nsid w:val="189A769B"/>
    <w:multiLevelType w:val="hybridMultilevel"/>
    <w:lvl w:ilvl="0">
      <w:lvlJc w:val="left"/>
      <w:lvlText w:val="(%1)"/>
      <w:numFmt w:val="decimal"/>
      <w:start w:val="4"/>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1)"/>
      <w:numFmt w:val="decimal"/>
      <w:start w:val="5"/>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
      <w:numFmt w:val="bullet"/>
      <w:start w:val="1"/>
    </w:lvl>
    <w:lvl w:ilvl="1">
      <w:lvlJc w:val="left"/>
      <w:lvlText w:val="%2)"/>
      <w:numFmt w:val="decimal"/>
      <w:start w:val="1"/>
    </w:lvl>
  </w:abstractNum>
  <w:abstractNum w:abstractNumId="27">
    <w:nsid w:val="2901D82"/>
    <w:multiLevelType w:val="hybridMultilevel"/>
    <w:lvl w:ilvl="0">
      <w:lvlJc w:val="left"/>
      <w:lvlText w:val="%1)"/>
      <w:numFmt w:val="decimal"/>
      <w:start w:val="2"/>
    </w:lvl>
  </w:abstractNum>
  <w:abstractNum w:abstractNumId="28">
    <w:nsid w:val="3A95F874"/>
    <w:multiLevelType w:val="hybridMultilevel"/>
    <w:lvl w:ilvl="0">
      <w:lvlJc w:val="left"/>
      <w:lvlText w:val="%1)"/>
      <w:numFmt w:val="decimal"/>
      <w:start w:val="6"/>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2026-04-10T15:31:17Z</dcterms:created>
  <dcterms:modified xsi:type="dcterms:W3CDTF">2026-04-10T15:31:17Z</dcterms:modified>
</cp:coreProperties>
</file>