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
          <w:szCs w:val="4"/>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w:t>
      </w: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ind w:left="4260" w:right="3740" w:hanging="4243"/>
        <w:spacing w:after="0" w:line="279" w:lineRule="auto"/>
        <w:tabs>
          <w:tab w:leader="none" w:pos="45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jc w:val="center"/>
        <w:ind w:right="3420"/>
        <w:spacing w:after="0" w:line="186" w:lineRule="auto"/>
        <w:tabs>
          <w:tab w:leader="none" w:pos="30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001-36510</w:t>
      </w:r>
    </w:p>
    <w:p>
      <w:pPr>
        <w:spacing w:after="0" w:line="1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LARIMAR THERAPEUTICS, INC.</w:t>
      </w:r>
    </w:p>
    <w:p>
      <w:pPr>
        <w:spacing w:after="0" w:line="49"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980" w:type="dxa"/>
            <w:vAlign w:val="bottom"/>
            <w:vMerge w:val="restart"/>
          </w:tcPr>
          <w:p>
            <w:pPr>
              <w:jc w:val="center"/>
              <w:ind w:left="153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80" w:type="dxa"/>
            <w:vAlign w:val="bottom"/>
            <w:vMerge w:val="restart"/>
          </w:tcPr>
          <w:p>
            <w:pPr>
              <w:jc w:val="right"/>
              <w:ind w:right="2350"/>
              <w:spacing w:after="0"/>
              <w:rPr>
                <w:sz w:val="20"/>
                <w:szCs w:val="20"/>
                <w:color w:val="auto"/>
              </w:rPr>
            </w:pPr>
            <w:r>
              <w:rPr>
                <w:rFonts w:ascii="Times New Roman" w:cs="Times New Roman" w:eastAsia="Times New Roman" w:hAnsi="Times New Roman"/>
                <w:sz w:val="14"/>
                <w:szCs w:val="14"/>
                <w:b w:val="1"/>
                <w:bCs w:val="1"/>
                <w:color w:val="auto"/>
              </w:rPr>
              <w:t>20-3857670</w:t>
            </w:r>
          </w:p>
        </w:tc>
        <w:tc>
          <w:tcPr>
            <w:tcW w:w="0" w:type="dxa"/>
            <w:vAlign w:val="bottom"/>
          </w:tcPr>
          <w:p>
            <w:pPr>
              <w:spacing w:after="0"/>
              <w:rPr>
                <w:sz w:val="1"/>
                <w:szCs w:val="1"/>
                <w:color w:val="auto"/>
              </w:rPr>
            </w:pPr>
          </w:p>
        </w:tc>
      </w:tr>
      <w:tr>
        <w:trPr>
          <w:trHeight w:val="131"/>
        </w:trPr>
        <w:tc>
          <w:tcPr>
            <w:tcW w:w="398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80" w:type="dxa"/>
            <w:vAlign w:val="bottom"/>
          </w:tcPr>
          <w:p>
            <w:pPr>
              <w:jc w:val="center"/>
              <w:ind w:left="1531"/>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80" w:type="dxa"/>
            <w:vAlign w:val="bottom"/>
          </w:tcPr>
          <w:p>
            <w:pPr>
              <w:jc w:val="center"/>
              <w:ind w:right="1690"/>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980" w:type="dxa"/>
            <w:vAlign w:val="bottom"/>
          </w:tcPr>
          <w:p>
            <w:pPr>
              <w:jc w:val="center"/>
              <w:ind w:left="153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15"/>
        </w:trPr>
        <w:tc>
          <w:tcPr>
            <w:tcW w:w="3980" w:type="dxa"/>
            <w:vAlign w:val="bottom"/>
          </w:tcPr>
          <w:p>
            <w:pPr>
              <w:jc w:val="center"/>
              <w:ind w:left="1531"/>
              <w:spacing w:after="0"/>
              <w:rPr>
                <w:sz w:val="20"/>
                <w:szCs w:val="20"/>
                <w:color w:val="auto"/>
              </w:rPr>
            </w:pPr>
            <w:r>
              <w:rPr>
                <w:rFonts w:ascii="Times New Roman" w:cs="Times New Roman" w:eastAsia="Times New Roman" w:hAnsi="Times New Roman"/>
                <w:sz w:val="14"/>
                <w:szCs w:val="14"/>
                <w:b w:val="1"/>
                <w:bCs w:val="1"/>
                <w:color w:val="auto"/>
              </w:rPr>
              <w:t>Three Bala Plaza East, Suite 506</w:t>
            </w:r>
          </w:p>
        </w:tc>
        <w:tc>
          <w:tcPr>
            <w:tcW w:w="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80" w:type="dxa"/>
            <w:vAlign w:val="bottom"/>
            <w:vMerge w:val="restart"/>
          </w:tcPr>
          <w:p>
            <w:pPr>
              <w:jc w:val="right"/>
              <w:ind w:right="2530"/>
              <w:spacing w:after="0"/>
              <w:rPr>
                <w:sz w:val="20"/>
                <w:szCs w:val="20"/>
                <w:color w:val="auto"/>
              </w:rPr>
            </w:pPr>
            <w:r>
              <w:rPr>
                <w:rFonts w:ascii="Times New Roman" w:cs="Times New Roman" w:eastAsia="Times New Roman" w:hAnsi="Times New Roman"/>
                <w:sz w:val="14"/>
                <w:szCs w:val="14"/>
                <w:b w:val="1"/>
                <w:bCs w:val="1"/>
                <w:color w:val="auto"/>
              </w:rPr>
              <w:t>19004</w:t>
            </w:r>
          </w:p>
        </w:tc>
        <w:tc>
          <w:tcPr>
            <w:tcW w:w="0" w:type="dxa"/>
            <w:vAlign w:val="bottom"/>
          </w:tcPr>
          <w:p>
            <w:pPr>
              <w:spacing w:after="0"/>
              <w:rPr>
                <w:sz w:val="1"/>
                <w:szCs w:val="1"/>
                <w:color w:val="auto"/>
              </w:rPr>
            </w:pPr>
          </w:p>
        </w:tc>
      </w:tr>
      <w:tr>
        <w:trPr>
          <w:trHeight w:val="151"/>
        </w:trPr>
        <w:tc>
          <w:tcPr>
            <w:tcW w:w="3980" w:type="dxa"/>
            <w:vAlign w:val="bottom"/>
          </w:tcPr>
          <w:p>
            <w:pPr>
              <w:jc w:val="center"/>
              <w:ind w:left="1491"/>
              <w:spacing w:after="0" w:line="151" w:lineRule="exact"/>
              <w:rPr>
                <w:sz w:val="20"/>
                <w:szCs w:val="20"/>
                <w:color w:val="auto"/>
              </w:rPr>
            </w:pPr>
            <w:r>
              <w:rPr>
                <w:rFonts w:ascii="Times New Roman" w:cs="Times New Roman" w:eastAsia="Times New Roman" w:hAnsi="Times New Roman"/>
                <w:sz w:val="14"/>
                <w:szCs w:val="14"/>
                <w:b w:val="1"/>
                <w:bCs w:val="1"/>
                <w:color w:val="auto"/>
              </w:rPr>
              <w:t>Bala Cynwyd, Pennsylvania</w:t>
            </w:r>
          </w:p>
        </w:tc>
        <w:tc>
          <w:tcPr>
            <w:tcW w:w="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80" w:type="dxa"/>
            <w:vAlign w:val="bottom"/>
          </w:tcPr>
          <w:p>
            <w:pPr>
              <w:jc w:val="center"/>
              <w:ind w:left="153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80" w:type="dxa"/>
            <w:vAlign w:val="bottom"/>
            <w:gridSpan w:val="2"/>
            <w:vMerge w:val="restart"/>
          </w:tcPr>
          <w:p>
            <w:pPr>
              <w:jc w:val="center"/>
              <w:ind w:left="445"/>
              <w:spacing w:after="0"/>
              <w:rPr>
                <w:sz w:val="20"/>
                <w:szCs w:val="20"/>
                <w:color w:val="auto"/>
              </w:rPr>
            </w:pPr>
            <w:r>
              <w:rPr>
                <w:rFonts w:ascii="Times New Roman" w:cs="Times New Roman" w:eastAsia="Times New Roman" w:hAnsi="Times New Roman"/>
                <w:sz w:val="16"/>
                <w:szCs w:val="16"/>
                <w:b w:val="1"/>
                <w:bCs w:val="1"/>
                <w:color w:val="auto"/>
              </w:rPr>
              <w:t>(844) 511-9056</w:t>
            </w:r>
          </w:p>
        </w:tc>
        <w:tc>
          <w:tcPr>
            <w:tcW w:w="700" w:type="dxa"/>
            <w:vAlign w:val="bottom"/>
          </w:tcPr>
          <w:p>
            <w:pPr>
              <w:spacing w:after="0"/>
              <w:rPr>
                <w:sz w:val="16"/>
                <w:szCs w:val="16"/>
                <w:color w:val="auto"/>
              </w:rPr>
            </w:pPr>
          </w:p>
        </w:tc>
        <w:tc>
          <w:tcPr>
            <w:tcW w:w="3780" w:type="dxa"/>
            <w:vAlign w:val="bottom"/>
          </w:tcPr>
          <w:p>
            <w:pPr>
              <w:jc w:val="center"/>
              <w:ind w:right="173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3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9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980" w:type="dxa"/>
            <w:vAlign w:val="bottom"/>
            <w:tcBorders>
              <w:left w:val="single" w:sz="8" w:color="auto"/>
              <w:bottom w:val="single" w:sz="8" w:color="auto"/>
            </w:tcBorders>
          </w:tcPr>
          <w:p>
            <w:pPr>
              <w:jc w:val="center"/>
              <w:ind w:left="471"/>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52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00" w:type="dxa"/>
            <w:vAlign w:val="bottom"/>
            <w:tcBorders>
              <w:bottom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jc w:val="center"/>
              <w:ind w:right="650"/>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125"/>
        </w:trPr>
        <w:tc>
          <w:tcPr>
            <w:tcW w:w="3980" w:type="dxa"/>
            <w:vAlign w:val="bottom"/>
            <w:tcBorders>
              <w:left w:val="single" w:sz="8" w:color="auto"/>
              <w:bottom w:val="single" w:sz="8" w:color="auto"/>
            </w:tcBorders>
          </w:tcPr>
          <w:p>
            <w:pPr>
              <w:jc w:val="center"/>
              <w:ind w:left="451"/>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52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ind w:left="920"/>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00" w:type="dxa"/>
            <w:vAlign w:val="bottom"/>
            <w:tcBorders>
              <w:bottom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jc w:val="center"/>
              <w:ind w:right="650"/>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ind w:right="352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ind w:right="2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968" w:right="33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tabs>
          <w:tab w:leader="none" w:pos="3240" w:val="left"/>
          <w:tab w:leader="none" w:pos="78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31" w:lineRule="exact"/>
        <w:rPr>
          <w:sz w:val="24"/>
          <w:szCs w:val="24"/>
          <w:color w:val="auto"/>
        </w:rPr>
      </w:pPr>
    </w:p>
    <w:p>
      <w:pPr>
        <w:spacing w:after="0" w:line="161" w:lineRule="exact"/>
        <w:tabs>
          <w:tab w:leader="none" w:pos="3240" w:val="left"/>
          <w:tab w:leader="none" w:pos="786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5"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9" w:lineRule="exact"/>
        <w:rPr>
          <w:sz w:val="24"/>
          <w:szCs w:val="24"/>
          <w:color w:val="auto"/>
        </w:rPr>
      </w:pPr>
    </w:p>
    <w:p>
      <w:pPr>
        <w:sectPr>
          <w:pgSz w:w="11900" w:h="16838" w:orient="portrait"/>
          <w:cols w:equalWidth="0" w:num="2">
            <w:col w:w="10840" w:space="260"/>
            <w:col w:w="140"/>
          </w:cols>
          <w:pgMar w:left="320" w:top="968" w:right="339" w:bottom="1440" w:gutter="0" w:footer="0" w:header="0"/>
          <w:type w:val="continuous"/>
        </w:sect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8"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49"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340"/>
        <w:spacing w:after="0" w:line="245" w:lineRule="auto"/>
        <w:rPr>
          <w:sz w:val="20"/>
          <w:szCs w:val="20"/>
          <w:color w:val="auto"/>
        </w:rPr>
      </w:pPr>
      <w:r>
        <w:rPr>
          <w:rFonts w:ascii="Times New Roman" w:cs="Times New Roman" w:eastAsia="Times New Roman" w:hAnsi="Times New Roman"/>
          <w:sz w:val="14"/>
          <w:szCs w:val="14"/>
          <w:color w:val="auto"/>
        </w:rPr>
        <w:t>On the last business day of the most recently completed second fiscal quarter, the aggregate market value (based on the closing sale price of its common stock on that date) of the registrant's Common Stock held by non-affiliates of the registrant was $94,670,955.</w:t>
      </w:r>
    </w:p>
    <w:p>
      <w:pPr>
        <w:spacing w:after="0"/>
        <w:rPr>
          <w:sz w:val="20"/>
          <w:szCs w:val="20"/>
          <w:color w:val="auto"/>
        </w:rPr>
      </w:pPr>
      <w:r>
        <w:rPr>
          <w:rFonts w:ascii="Times New Roman" w:cs="Times New Roman" w:eastAsia="Times New Roman" w:hAnsi="Times New Roman"/>
          <w:sz w:val="14"/>
          <w:szCs w:val="14"/>
          <w:color w:val="auto"/>
        </w:rPr>
        <w:t>As of March 17, 2026, the registrant had 103,882,937 shares of Common Stock, $0.001 par value per share, outstanding.</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auto"/>
        </w:rPr>
        <w:t>Part III of this Annual Report on Form 10-K incorporates certain information by reference from the registrant’s definitive proxy statement for the 2026 annual meeting of stockholders to be filed no later than 120 days after the end of the registrant’s fiscal year ended December 31, 2025.</w:t>
      </w:r>
    </w:p>
    <w:p>
      <w:pPr>
        <w:ind w:left="760"/>
        <w:spacing w:after="0" w:line="224" w:lineRule="auto"/>
        <w:rPr>
          <w:sz w:val="20"/>
          <w:szCs w:val="20"/>
          <w:color w:val="auto"/>
        </w:rPr>
      </w:pPr>
      <w:r>
        <w:rPr>
          <w:rFonts w:ascii="Times New Roman" w:cs="Times New Roman" w:eastAsia="Times New Roman" w:hAnsi="Times New Roman"/>
          <w:sz w:val="4"/>
          <w:szCs w:val="4"/>
          <w:color w:val="auto"/>
        </w:rPr>
        <w: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360" w:type="dxa"/>
            <w:vAlign w:val="bottom"/>
          </w:tcPr>
          <w:p>
            <w:pPr>
              <w:spacing w:after="0"/>
              <w:rPr>
                <w:sz w:val="20"/>
                <w:szCs w:val="20"/>
                <w:color w:val="auto"/>
              </w:rPr>
            </w:pPr>
          </w:p>
        </w:tc>
      </w:tr>
      <w:tr>
        <w:trPr>
          <w:trHeight w:val="459"/>
        </w:trPr>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69"/>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80" w:type="dxa"/>
            <w:vAlign w:val="bottom"/>
            <w:gridSpan w:val="15"/>
          </w:tcPr>
          <w:p>
            <w:pPr>
              <w:jc w:val="center"/>
              <w:ind w:right="3980"/>
              <w:spacing w:after="0" w:line="169" w:lineRule="exact"/>
              <w:rPr>
                <w:sz w:val="20"/>
                <w:szCs w:val="20"/>
                <w:color w:val="auto"/>
              </w:rPr>
            </w:pPr>
            <w:r>
              <w:rPr>
                <w:rFonts w:ascii="Times New Roman" w:cs="Times New Roman" w:eastAsia="Times New Roman" w:hAnsi="Times New Roman"/>
                <w:sz w:val="18"/>
                <w:szCs w:val="18"/>
                <w:b w:val="1"/>
                <w:bCs w:val="1"/>
                <w:color w:val="0000EE"/>
                <w:w w:val="99"/>
              </w:rPr>
              <w:t>PART I</w:t>
            </w:r>
          </w:p>
        </w:tc>
        <w:tc>
          <w:tcPr>
            <w:tcW w:w="13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w:t>
            </w:r>
          </w:p>
        </w:tc>
        <w:tc>
          <w:tcPr>
            <w:tcW w:w="880" w:type="dxa"/>
            <w:vAlign w:val="bottom"/>
            <w:gridSpan w:val="6"/>
          </w:tcPr>
          <w:p>
            <w:pPr>
              <w:spacing w:after="0"/>
              <w:rPr>
                <w:sz w:val="17"/>
                <w:szCs w:val="17"/>
                <w:color w:val="auto"/>
              </w:rPr>
            </w:pPr>
          </w:p>
        </w:tc>
        <w:tc>
          <w:tcPr>
            <w:tcW w:w="3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600" w:type="dxa"/>
            <w:vAlign w:val="bottom"/>
            <w:tcBorders>
              <w:top w:val="single" w:sz="8" w:color="0000EE"/>
            </w:tcBorders>
            <w:gridSpan w:val="3"/>
          </w:tcPr>
          <w:p>
            <w:pPr>
              <w:spacing w:after="0"/>
              <w:rPr>
                <w:sz w:val="17"/>
                <w:szCs w:val="17"/>
                <w:color w:val="auto"/>
              </w:rPr>
            </w:pPr>
          </w:p>
        </w:tc>
        <w:tc>
          <w:tcPr>
            <w:tcW w:w="3980" w:type="dxa"/>
            <w:vAlign w:val="bottom"/>
            <w:gridSpan w:val="1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20" w:type="dxa"/>
            <w:vAlign w:val="bottom"/>
            <w:gridSpan w:val="2"/>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100" w:type="dxa"/>
            <w:vAlign w:val="bottom"/>
            <w:gridSpan w:val="2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w:t>
            </w:r>
          </w:p>
        </w:tc>
        <w:tc>
          <w:tcPr>
            <w:tcW w:w="740" w:type="dxa"/>
            <w:vAlign w:val="bottom"/>
            <w:gridSpan w:val="3"/>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520" w:type="dxa"/>
            <w:vAlign w:val="bottom"/>
            <w:gridSpan w:val="2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1C.</w:t>
            </w:r>
          </w:p>
        </w:tc>
        <w:tc>
          <w:tcPr>
            <w:tcW w:w="760" w:type="dxa"/>
            <w:vAlign w:val="bottom"/>
            <w:gridSpan w:val="4"/>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20" w:type="dxa"/>
            <w:vAlign w:val="bottom"/>
          </w:tcPr>
          <w:p>
            <w:pPr>
              <w:spacing w:after="0"/>
              <w:rPr>
                <w:sz w:val="17"/>
                <w:szCs w:val="17"/>
                <w:color w:val="auto"/>
              </w:rPr>
            </w:pPr>
          </w:p>
        </w:tc>
        <w:tc>
          <w:tcPr>
            <w:tcW w:w="620" w:type="dxa"/>
            <w:vAlign w:val="bottom"/>
            <w:tcBorders>
              <w:top w:val="single" w:sz="8" w:color="0000FF"/>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120" w:type="dxa"/>
            <w:vAlign w:val="bottom"/>
            <w:tcBorders>
              <w:top w:val="single" w:sz="8" w:color="0000FF"/>
            </w:tcBorders>
            <w:gridSpan w:val="2"/>
          </w:tcPr>
          <w:p>
            <w:pPr>
              <w:spacing w:after="0"/>
              <w:rPr>
                <w:sz w:val="17"/>
                <w:szCs w:val="17"/>
                <w:color w:val="auto"/>
              </w:rPr>
            </w:pPr>
          </w:p>
        </w:tc>
        <w:tc>
          <w:tcPr>
            <w:tcW w:w="760" w:type="dxa"/>
            <w:vAlign w:val="bottom"/>
            <w:gridSpan w:val="4"/>
          </w:tcPr>
          <w:p>
            <w:pPr>
              <w:spacing w:after="0"/>
              <w:rPr>
                <w:sz w:val="17"/>
                <w:szCs w:val="17"/>
                <w:color w:val="auto"/>
              </w:rPr>
            </w:pPr>
          </w:p>
        </w:tc>
        <w:tc>
          <w:tcPr>
            <w:tcW w:w="106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400" w:type="dxa"/>
            <w:vAlign w:val="bottom"/>
            <w:tcBorders>
              <w:top w:val="single" w:sz="8" w:color="0000FF"/>
            </w:tcBorders>
            <w:gridSpan w:val="4"/>
          </w:tcPr>
          <w:p>
            <w:pPr>
              <w:spacing w:after="0"/>
              <w:rPr>
                <w:sz w:val="17"/>
                <w:szCs w:val="17"/>
                <w:color w:val="auto"/>
              </w:rPr>
            </w:pPr>
          </w:p>
        </w:tc>
        <w:tc>
          <w:tcPr>
            <w:tcW w:w="6900" w:type="dxa"/>
            <w:vAlign w:val="bottom"/>
            <w:gridSpan w:val="2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880" w:type="dxa"/>
            <w:vAlign w:val="bottom"/>
            <w:gridSpan w:val="6"/>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880" w:type="dxa"/>
            <w:vAlign w:val="bottom"/>
            <w:gridSpan w:val="6"/>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412"/>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3940" w:type="dxa"/>
            <w:vAlign w:val="bottom"/>
            <w:gridSpan w:val="11"/>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w:t>
            </w: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36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800" w:type="dxa"/>
            <w:vAlign w:val="bottom"/>
            <w:gridSpan w:val="5"/>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2080" w:type="dxa"/>
            <w:vAlign w:val="bottom"/>
            <w:tcBorders>
              <w:top w:val="single" w:sz="8" w:color="0000EE"/>
            </w:tcBorders>
            <w:gridSpan w:val="13"/>
          </w:tcPr>
          <w:p>
            <w:pPr>
              <w:spacing w:after="0"/>
              <w:rPr>
                <w:sz w:val="17"/>
                <w:szCs w:val="17"/>
                <w:color w:val="auto"/>
              </w:rPr>
            </w:pPr>
          </w:p>
        </w:tc>
        <w:tc>
          <w:tcPr>
            <w:tcW w:w="5240" w:type="dxa"/>
            <w:vAlign w:val="bottom"/>
            <w:gridSpan w:val="1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880" w:type="dxa"/>
            <w:vAlign w:val="bottom"/>
            <w:gridSpan w:val="6"/>
          </w:tcPr>
          <w:p>
            <w:pPr>
              <w:spacing w:after="0"/>
              <w:rPr>
                <w:sz w:val="17"/>
                <w:szCs w:val="17"/>
                <w:color w:val="auto"/>
              </w:rPr>
            </w:pPr>
          </w:p>
        </w:tc>
        <w:tc>
          <w:tcPr>
            <w:tcW w:w="784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5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OPERATIONS</w:t>
            </w:r>
          </w:p>
        </w:tc>
        <w:tc>
          <w:tcPr>
            <w:tcW w:w="7240" w:type="dxa"/>
            <w:vAlign w:val="bottom"/>
            <w:gridSpan w:val="2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20" w:type="dxa"/>
            <w:vAlign w:val="bottom"/>
          </w:tcPr>
          <w:p>
            <w:pPr>
              <w:spacing w:after="0"/>
              <w:rPr>
                <w:sz w:val="17"/>
                <w:szCs w:val="17"/>
                <w:color w:val="auto"/>
              </w:rPr>
            </w:pPr>
          </w:p>
        </w:tc>
        <w:tc>
          <w:tcPr>
            <w:tcW w:w="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7A.</w:t>
            </w:r>
          </w:p>
        </w:tc>
        <w:tc>
          <w:tcPr>
            <w:tcW w:w="720" w:type="dxa"/>
            <w:vAlign w:val="bottom"/>
            <w:gridSpan w:val="2"/>
          </w:tcPr>
          <w:p>
            <w:pPr>
              <w:spacing w:after="0"/>
              <w:rPr>
                <w:sz w:val="17"/>
                <w:szCs w:val="17"/>
                <w:color w:val="auto"/>
              </w:rPr>
            </w:pPr>
          </w:p>
        </w:tc>
        <w:tc>
          <w:tcPr>
            <w:tcW w:w="62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880" w:type="dxa"/>
            <w:vAlign w:val="bottom"/>
            <w:gridSpan w:val="6"/>
          </w:tcPr>
          <w:p>
            <w:pPr>
              <w:spacing w:after="0"/>
              <w:rPr>
                <w:sz w:val="17"/>
                <w:szCs w:val="17"/>
                <w:color w:val="auto"/>
              </w:rPr>
            </w:pPr>
          </w:p>
        </w:tc>
        <w:tc>
          <w:tcPr>
            <w:tcW w:w="47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362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880" w:type="dxa"/>
            <w:vAlign w:val="bottom"/>
            <w:gridSpan w:val="6"/>
          </w:tcPr>
          <w:p>
            <w:pPr>
              <w:spacing w:after="0"/>
              <w:rPr>
                <w:sz w:val="17"/>
                <w:szCs w:val="17"/>
                <w:color w:val="auto"/>
              </w:rPr>
            </w:pPr>
          </w:p>
        </w:tc>
        <w:tc>
          <w:tcPr>
            <w:tcW w:w="79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w:t>
            </w:r>
          </w:p>
        </w:tc>
        <w:tc>
          <w:tcPr>
            <w:tcW w:w="38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DISCLOSURE</w:t>
            </w:r>
          </w:p>
        </w:tc>
        <w:tc>
          <w:tcPr>
            <w:tcW w:w="7260" w:type="dxa"/>
            <w:vAlign w:val="bottom"/>
            <w:gridSpan w:val="3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20" w:type="dxa"/>
            <w:vAlign w:val="bottom"/>
          </w:tcPr>
          <w:p>
            <w:pPr>
              <w:spacing w:after="0"/>
              <w:rPr>
                <w:sz w:val="17"/>
                <w:szCs w:val="17"/>
                <w:color w:val="auto"/>
              </w:rPr>
            </w:pPr>
          </w:p>
        </w:tc>
        <w:tc>
          <w:tcPr>
            <w:tcW w:w="7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9A.</w:t>
            </w:r>
          </w:p>
        </w:tc>
        <w:tc>
          <w:tcPr>
            <w:tcW w:w="720" w:type="dxa"/>
            <w:vAlign w:val="bottom"/>
            <w:gridSpan w:val="2"/>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ITEM 9B.</w:t>
            </w:r>
          </w:p>
        </w:tc>
        <w:tc>
          <w:tcPr>
            <w:tcW w:w="40" w:type="dxa"/>
            <w:vAlign w:val="bottom"/>
            <w:tcBorders>
              <w:top w:val="single" w:sz="8" w:color="0000EE"/>
            </w:tcBorders>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9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80" w:type="dxa"/>
            <w:vAlign w:val="bottom"/>
            <w:tcBorders>
              <w:top w:val="single" w:sz="8" w:color="0000EE"/>
            </w:tcBorders>
            <w:gridSpan w:val="4"/>
          </w:tcPr>
          <w:p>
            <w:pPr>
              <w:spacing w:after="0"/>
              <w:rPr>
                <w:sz w:val="17"/>
                <w:szCs w:val="17"/>
                <w:color w:val="auto"/>
              </w:rPr>
            </w:pPr>
          </w:p>
        </w:tc>
        <w:tc>
          <w:tcPr>
            <w:tcW w:w="5780" w:type="dxa"/>
            <w:vAlign w:val="bottom"/>
            <w:gridSpan w:val="2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9C</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412"/>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760" w:type="dxa"/>
            <w:vAlign w:val="bottom"/>
            <w:tcBorders>
              <w:top w:val="single" w:sz="8" w:color="0000FF"/>
              <w:bottom w:val="single" w:sz="8" w:color="0000EE"/>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2500" w:type="dxa"/>
            <w:vAlign w:val="bottom"/>
            <w:tcBorders>
              <w:top w:val="single" w:sz="8" w:color="0000FF"/>
            </w:tcBorders>
            <w:gridSpan w:val="4"/>
          </w:tcPr>
          <w:p>
            <w:pPr>
              <w:spacing w:after="0"/>
              <w:rPr>
                <w:sz w:val="24"/>
                <w:szCs w:val="24"/>
                <w:color w:val="auto"/>
              </w:rPr>
            </w:pPr>
          </w:p>
        </w:tc>
        <w:tc>
          <w:tcPr>
            <w:tcW w:w="140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10.</w:t>
            </w:r>
          </w:p>
        </w:tc>
        <w:tc>
          <w:tcPr>
            <w:tcW w:w="800" w:type="dxa"/>
            <w:vAlign w:val="bottom"/>
            <w:gridSpan w:val="5"/>
          </w:tcPr>
          <w:p>
            <w:pPr>
              <w:spacing w:after="0"/>
              <w:rPr>
                <w:sz w:val="17"/>
                <w:szCs w:val="17"/>
                <w:color w:val="auto"/>
              </w:rPr>
            </w:pP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800" w:type="dxa"/>
            <w:vAlign w:val="bottom"/>
            <w:gridSpan w:val="5"/>
          </w:tcPr>
          <w:p>
            <w:pPr>
              <w:spacing w:after="0"/>
              <w:rPr>
                <w:sz w:val="17"/>
                <w:szCs w:val="17"/>
                <w:color w:val="auto"/>
              </w:rPr>
            </w:pPr>
          </w:p>
        </w:tc>
        <w:tc>
          <w:tcPr>
            <w:tcW w:w="24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3340" w:type="dxa"/>
            <w:vAlign w:val="bottom"/>
            <w:tcBorders>
              <w:top w:val="single" w:sz="8" w:color="0000EE"/>
            </w:tcBorders>
            <w:gridSpan w:val="15"/>
          </w:tcPr>
          <w:p>
            <w:pPr>
              <w:spacing w:after="0"/>
              <w:rPr>
                <w:sz w:val="17"/>
                <w:szCs w:val="17"/>
                <w:color w:val="auto"/>
              </w:rPr>
            </w:pPr>
          </w:p>
        </w:tc>
        <w:tc>
          <w:tcPr>
            <w:tcW w:w="256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w:t>
            </w:r>
          </w:p>
        </w:tc>
        <w:tc>
          <w:tcPr>
            <w:tcW w:w="13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MATTERS</w:t>
            </w:r>
          </w:p>
        </w:tc>
        <w:tc>
          <w:tcPr>
            <w:tcW w:w="5880" w:type="dxa"/>
            <w:vAlign w:val="bottom"/>
            <w:tcBorders>
              <w:top w:val="single" w:sz="8" w:color="0000EE"/>
            </w:tcBorders>
            <w:gridSpan w:val="23"/>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13.</w:t>
            </w:r>
          </w:p>
        </w:tc>
        <w:tc>
          <w:tcPr>
            <w:tcW w:w="800" w:type="dxa"/>
            <w:vAlign w:val="bottom"/>
            <w:gridSpan w:val="5"/>
          </w:tcPr>
          <w:p>
            <w:pPr>
              <w:spacing w:after="0"/>
              <w:rPr>
                <w:sz w:val="17"/>
                <w:szCs w:val="17"/>
                <w:color w:val="auto"/>
              </w:rPr>
            </w:pPr>
          </w:p>
        </w:tc>
        <w:tc>
          <w:tcPr>
            <w:tcW w:w="77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600" w:type="dxa"/>
            <w:vAlign w:val="bottom"/>
            <w:gridSpan w:val="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7"/>
          </w:tcPr>
          <w:p>
            <w:pPr>
              <w:jc w:val="center"/>
              <w:ind w:right="392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1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15.</w:t>
            </w:r>
          </w:p>
        </w:tc>
        <w:tc>
          <w:tcPr>
            <w:tcW w:w="800" w:type="dxa"/>
            <w:vAlign w:val="bottom"/>
            <w:gridSpan w:val="5"/>
          </w:tcPr>
          <w:p>
            <w:pPr>
              <w:spacing w:after="0"/>
              <w:rPr>
                <w:sz w:val="17"/>
                <w:szCs w:val="17"/>
                <w:color w:val="auto"/>
              </w:rPr>
            </w:pPr>
          </w:p>
        </w:tc>
        <w:tc>
          <w:tcPr>
            <w:tcW w:w="43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4000" w:type="dxa"/>
            <w:vAlign w:val="bottom"/>
            <w:gridSpan w:val="1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20" w:type="dxa"/>
            <w:vAlign w:val="bottom"/>
          </w:tcPr>
          <w:p>
            <w:pPr>
              <w:spacing w:after="0"/>
              <w:rPr>
                <w:sz w:val="17"/>
                <w:szCs w:val="17"/>
                <w:color w:val="auto"/>
              </w:rPr>
            </w:pPr>
          </w:p>
        </w:tc>
        <w:tc>
          <w:tcPr>
            <w:tcW w:w="15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16.</w:t>
            </w:r>
          </w:p>
        </w:tc>
        <w:tc>
          <w:tcPr>
            <w:tcW w:w="83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1243"/>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760" w:hanging="378"/>
        <w:spacing w:after="0" w:line="281"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 obtaining successful non-clinical or clinical results that reliably and meaningfully demonstrate safety, tolerability and efficacy profiles that are satisfactory to the U.S. Food and Drug Administration (“FDA”), European Medicines Agency (“EMA”) and/or other comparable regulatory authorities for marketing approval for nomlabofusp (nomlabofusp is the International Nonproprietary Name and the United States Adopted Name for CTI-1601) or any other product candidates that we may develop in the future and unexpected costs that may result therefrom;</w:t>
      </w:r>
    </w:p>
    <w:p>
      <w:pPr>
        <w:spacing w:after="0" w:line="56" w:lineRule="exact"/>
        <w:rPr>
          <w:rFonts w:ascii="Times New Roman" w:cs="Times New Roman" w:eastAsia="Times New Roman" w:hAnsi="Times New Roman"/>
          <w:sz w:val="17"/>
          <w:szCs w:val="17"/>
          <w:color w:val="auto"/>
        </w:rPr>
      </w:pPr>
    </w:p>
    <w:p>
      <w:pPr>
        <w:ind w:left="760" w:right="18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the FDA approval of competitive products for the treatment of Friedreich's ataxia (“FA”), and/or the impact of other clinical trials of competitive products), delays as a result of clinical and non-clinical results and/or the FDA's request for additional information or studies (whether clinical or non-clinical), changes in clinical protocols, adverse events, regulatory restrictions, including additional clinical holds, and milestones for nomlabofusp;</w:t>
      </w:r>
    </w:p>
    <w:p>
      <w:pPr>
        <w:spacing w:after="0" w:line="71"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ongoing open label trial (“OL”) and our planned Phase 3 global registration study, including the timing of site initiations and the rate of patient enrollment;</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Support for Clinical Trials Advancing Rare Disease Therapeutics (“START”) pilot program for the development of nomlabofusp;</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the FDA’s Breakthrough Therapy Designation;</w:t>
      </w:r>
    </w:p>
    <w:p>
      <w:pPr>
        <w:spacing w:after="0" w:line="117"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 the United States and in other countries, including potential delays in the commencement, enrollment and completion of clinical trials, the timing of a potential Biologics License Application (“BLA”) submission to the FDA or similar applications to be submitted to other countries for accelerated approval, including our ability to supply to the FDA or to regulatory authorities in other countries all required data for the FDA to review and accept an accelerated application, or any other product candidates that we may develop in the future;</w:t>
      </w:r>
    </w:p>
    <w:p>
      <w:pPr>
        <w:spacing w:after="0" w:line="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our recent financing and from any future financings, if 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86" w:lineRule="exact"/>
        <w:rPr>
          <w:sz w:val="20"/>
          <w:szCs w:val="20"/>
          <w:color w:val="auto"/>
        </w:rPr>
      </w:pPr>
    </w:p>
    <w:p>
      <w:pPr>
        <w:ind w:left="380" w:hanging="378"/>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71" w:lineRule="exact"/>
        <w:rPr>
          <w:rFonts w:ascii="Times New Roman" w:cs="Times New Roman" w:eastAsia="Times New Roman" w:hAnsi="Times New Roman"/>
          <w:sz w:val="18"/>
          <w:szCs w:val="18"/>
          <w:color w:val="auto"/>
        </w:rPr>
      </w:pPr>
    </w:p>
    <w:p>
      <w:pPr>
        <w:ind w:left="380" w:right="40" w:hanging="378"/>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67" w:lineRule="exact"/>
        <w:rPr>
          <w:rFonts w:ascii="Times New Roman" w:cs="Times New Roman" w:eastAsia="Times New Roman" w:hAnsi="Times New Roman"/>
          <w:sz w:val="18"/>
          <w:szCs w:val="18"/>
          <w:color w:val="auto"/>
        </w:rPr>
      </w:pPr>
    </w:p>
    <w:p>
      <w:pPr>
        <w:ind w:left="380" w:right="180" w:hanging="378"/>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380" w:right="20" w:hanging="378"/>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candidates,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380" w:right="40" w:hanging="378"/>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both approved and competing therapies and products in non-clinical and clinical development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and maintain a strong market position before we are able to commercialize our products);</w:t>
      </w:r>
    </w:p>
    <w:p>
      <w:pPr>
        <w:spacing w:after="0" w:line="71"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jc w:val="both"/>
        <w:ind w:left="380" w:right="120" w:hanging="378"/>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contract manufacturing organizations (“CMOs”)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380" w:right="280" w:hanging="378"/>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380" w:hanging="378"/>
        <w:spacing w:after="0" w:line="25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w:t>
      </w:r>
    </w:p>
    <w:p>
      <w:pPr>
        <w:spacing w:after="0" w:line="79" w:lineRule="exact"/>
        <w:rPr>
          <w:rFonts w:ascii="Times New Roman" w:cs="Times New Roman" w:eastAsia="Times New Roman" w:hAnsi="Times New Roman"/>
          <w:sz w:val="18"/>
          <w:szCs w:val="18"/>
          <w:color w:val="auto"/>
        </w:rPr>
      </w:pPr>
    </w:p>
    <w:p>
      <w:pPr>
        <w:ind w:left="380" w:right="680" w:hanging="378"/>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regulatory developments in the U.S., including regulatory developments due to changes in the U.S. presidential administration healthcare reform in the United States, including the Inflation Reduction Act of 2022 (“IRA”),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included under the section titled “Risk Factors.”</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40" w:right="359" w:bottom="1440" w:gutter="0" w:footer="0" w:header="0"/>
        </w:sectPr>
      </w:pPr>
    </w:p>
    <w:bookmarkStart w:id="4" w:name="page5"/>
    <w:bookmarkEnd w:id="4"/>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2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commercial revenue and may never become profitable.</w:t>
      </w:r>
    </w:p>
    <w:p>
      <w:pPr>
        <w:spacing w:after="0" w:line="117" w:lineRule="exact"/>
        <w:rPr>
          <w:rFonts w:ascii="Times New Roman" w:cs="Times New Roman" w:eastAsia="Times New Roman" w:hAnsi="Times New Roman"/>
          <w:sz w:val="18"/>
          <w:szCs w:val="18"/>
          <w:color w:val="auto"/>
        </w:rPr>
      </w:pPr>
    </w:p>
    <w:p>
      <w:pPr>
        <w:ind w:left="760" w:right="6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had $136.9 million of cash, cash equivalents and marketable securities. Together with the $107.6 million in net proceeds from our recently completed February 2026 public offering, we expect this will fund operations into the second quarter of 2027. 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21" w:lineRule="exact"/>
        <w:rPr>
          <w:sz w:val="20"/>
          <w:szCs w:val="20"/>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currently dependent upon the success of our lead product candidate, nomlabofusp. We cannot be certain that we will ultimately be successful with our clinical development or that we will ever be able to obtain regulatory approval for nomlabofusp.</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the completion of our clinical trials could result in increased costs and could delay, prevent or limit our ability to generate revenue and continue our business.</w:t>
      </w:r>
    </w:p>
    <w:p>
      <w:pPr>
        <w:spacing w:after="0" w:line="53" w:lineRule="exact"/>
        <w:rPr>
          <w:rFonts w:ascii="Times New Roman" w:cs="Times New Roman" w:eastAsia="Times New Roman" w:hAnsi="Times New Roman"/>
          <w:sz w:val="18"/>
          <w:szCs w:val="18"/>
          <w:color w:val="auto"/>
        </w:rPr>
      </w:pPr>
    </w:p>
    <w:p>
      <w:pPr>
        <w:ind w:left="760" w:right="10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identifying and enrolling patients in our clinical trials given the limited number of patients who have the disease for which nomlabofusp is being studied or for any other product candidates we may study in the future. Difficulty in enrolling patients could delay or prevent clinical trials of nomlabofusp or any future product candidate. There is also a competing approved FA therapeutic, other competing studies and potentially other FA therapeutics that could be approved that may also limit the availability of prospective participants in nomlabofusp clinical trials.</w:t>
      </w:r>
    </w:p>
    <w:p>
      <w:pPr>
        <w:spacing w:after="0" w:line="75" w:lineRule="exact"/>
        <w:rPr>
          <w:rFonts w:ascii="Times New Roman" w:cs="Times New Roman" w:eastAsia="Times New Roman" w:hAnsi="Times New Roman"/>
          <w:sz w:val="18"/>
          <w:szCs w:val="18"/>
          <w:color w:val="auto"/>
        </w:rPr>
      </w:pPr>
    </w:p>
    <w:p>
      <w:pPr>
        <w:jc w:val="both"/>
        <w:ind w:left="760" w:right="1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spacing w:after="0" w:line="67" w:lineRule="exact"/>
        <w:rPr>
          <w:rFonts w:ascii="Times New Roman" w:cs="Times New Roman" w:eastAsia="Times New Roman" w:hAnsi="Times New Roman"/>
          <w:sz w:val="18"/>
          <w:szCs w:val="18"/>
          <w:color w:val="auto"/>
        </w:rPr>
      </w:pPr>
    </w:p>
    <w:p>
      <w:pPr>
        <w:ind w:left="760" w:right="220" w:hanging="378"/>
        <w:spacing w:after="0" w:line="25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pursue accelerated approval from the FDA for nomlabofusp for the treatment of FA,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75" w:lineRule="exact"/>
        <w:rPr>
          <w:rFonts w:ascii="Times New Roman" w:cs="Times New Roman" w:eastAsia="Times New Roman" w:hAnsi="Times New Roman"/>
          <w:sz w:val="18"/>
          <w:szCs w:val="18"/>
          <w:color w:val="auto"/>
        </w:rPr>
      </w:pPr>
    </w:p>
    <w:p>
      <w:pPr>
        <w:ind w:left="760" w:right="38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targeting to submit a BLA to the FDA in June 2026 for marketing approval of nomlabofusp using the accelerated approval pathway; however, there can be no assurance that the FDA will approve our BLA submission for accelerated approval. Moreover, if FDA grants accelerated approval of nomlabofusp, there is no assurance that the FDA ultimately will grant traditional approval or that the accelerated approval will not be withdrawn.</w:t>
      </w:r>
    </w:p>
    <w:p>
      <w:pPr>
        <w:spacing w:after="0" w:line="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6"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marketing approval for a product candidate, our product candidates will remain subject to regulatory oversight.</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nomlabofusp, if approved, we may not be able to generate any revenue.</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for nomlabofusp, we may not achieve broad market acceptance, which would limit the revenue that we generate from our sales.</w:t>
      </w:r>
    </w:p>
    <w:p>
      <w:pPr>
        <w:spacing w:after="0" w:line="53"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competing technologies could emerge, adversely affecting our opportunity to generate revenue from the sale of nomlabofusp, if approved.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760" w:right="2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expected growth in the scale and complexity of our operations, including attracting and hiring additional qualified management, our performance may suffer.</w:t>
      </w:r>
    </w:p>
    <w:p>
      <w:pPr>
        <w:spacing w:after="0" w:line="53" w:lineRule="exact"/>
        <w:rPr>
          <w:rFonts w:ascii="Times New Roman" w:cs="Times New Roman" w:eastAsia="Times New Roman" w:hAnsi="Times New Roman"/>
          <w:sz w:val="18"/>
          <w:szCs w:val="18"/>
          <w:color w:val="auto"/>
        </w:rPr>
      </w:pPr>
    </w:p>
    <w:p>
      <w:pPr>
        <w:ind w:left="760" w:right="18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and rules, contractual obligations, industry standards, policies and other obligations related to data privacy and security laws.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760" w:right="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conducting or supervising clinical trials and must outsource all clinical trials. As a result, many important aspects of our drug development programs are outside of our direct control.</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supply and manufacturing partners for drug supplies, for our research and development, non-clinical activities and clinical activities and will do the same for commercial supply of our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21" w:lineRule="exact"/>
        <w:rPr>
          <w:sz w:val="20"/>
          <w:szCs w:val="20"/>
          <w:color w:val="auto"/>
        </w:rPr>
      </w:pPr>
    </w:p>
    <w:p>
      <w:pPr>
        <w:ind w:left="760" w:right="14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key patent relating to nomlabofusp, which we license, will expire in 2040 and we will lose our ability to rely upon this patent to prevent competing products from entering the market, which may impair our ability to generate revenue.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be highly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common stock is highly concentrated, and it may prevent other stockholders from influencing significant corporate decisions.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is a subcutaneously administered, recombinant fusion protein intended to deliver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also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$136.9 million, which, together with the net proceeds of $107.6 million from our February 2026 public offering of common stock, we anticipate will fund operations into the second quarter of 2027.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Orphan Drug Designation, Fast Track Designation, Pediatric Rare Disease Designation and Breakthrough Therapy Designation from the FDA and have been granted Orphan Drug Designation and access to the European Medicines Agency’s (“EMA’s”) Priority Medicines Program (“PRIME”) scheme in the European Union (the “EU”). We have also received access in the United Kingdom (the “UK”) to the Medicines and Healthcare Regulatory Agency’s (“MHRA”) Innovative Licensing and Access Pathway (“ILAP”). These programs are designed to facilitate development of certain therapeutics such as those for rare and serious diseases, and those that have the potential to meet an unmet medical need.</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FDA’s Center for Drug Evaluation and Research selected nomlabofusp as one of a few drug development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engaged in multiple discussions and interactions with the FDA in connection with our clinical development of nomlabofusp and communications remain ongoing. We have also had numerous interactions with the EMA, the MHRA, and Canada’s Health Canada regarding the clinical development of nomlabofusp.</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completed four clinical studies: (i) two Phase 1 clinical studies in adults, (ii) a Phase 2 dose exploration study in adults and (iii) a Phase 1 pharmacokinetic (“PK”) run-in study in adolescents (12-17 years old). We currently have an ongoing open label ("OL") study (previously referred to as the Open Label Extension, (“OLE”) study) in adults and adolescents with FA. Approximately 8,000 doses of nomlabofusp have been administered to patients throughout the clinical development program.</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Recent significant developments are as follows:</w:t>
      </w:r>
    </w:p>
    <w:p>
      <w:pPr>
        <w:spacing w:after="0" w:line="117" w:lineRule="exact"/>
        <w:rPr>
          <w:sz w:val="20"/>
          <w:szCs w:val="20"/>
          <w:color w:val="auto"/>
        </w:rPr>
      </w:pPr>
    </w:p>
    <w:p>
      <w:pPr>
        <w:ind w:left="900" w:right="240" w:hanging="383"/>
        <w:spacing w:after="0" w:line="261"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reported initial data from our ongoing OL study. This data included safety, FXN levels, clinical and PK data in 14 participants administered 25 mg nomlabofusp daily for up to 260 days (mean 99 days). Tissue FXN levels increased and were maintained at day 90 and there were early trends towards improvement in clinical outcomes observed at day 90. The most common adverse events were injection site reactions and two participants experienced serious adverse events (one seizure and one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 w:name="page9"/>
    <w:bookmarkEnd w:id="8"/>
    <w:p>
      <w:pPr>
        <w:spacing w:after="0" w:line="86" w:lineRule="exact"/>
        <w:rPr>
          <w:sz w:val="20"/>
          <w:szCs w:val="20"/>
          <w:color w:val="auto"/>
        </w:rPr>
      </w:pPr>
    </w:p>
    <w:p>
      <w:pPr>
        <w:jc w:val="both"/>
        <w:ind w:left="383" w:right="40"/>
        <w:spacing w:after="0" w:line="261" w:lineRule="auto"/>
        <w:rPr>
          <w:sz w:val="20"/>
          <w:szCs w:val="20"/>
          <w:color w:val="auto"/>
        </w:rPr>
      </w:pPr>
      <w:r>
        <w:rPr>
          <w:rFonts w:ascii="Times New Roman" w:cs="Times New Roman" w:eastAsia="Times New Roman" w:hAnsi="Times New Roman"/>
          <w:sz w:val="18"/>
          <w:szCs w:val="18"/>
          <w:color w:val="auto"/>
        </w:rPr>
        <w:t>anaphylactic reaction) that resolved within 24 hours and they were withdrawn from the study. Also in December 2024, we announced that we were increasing the dose in the OL study to 50 mg of nomlabofusp daily for then currently enrolled participants and would be starting all new patients on 50 mg daily and in March 2025 we announced that all participants had transitioned to the 50 mg daily dose. In March 2025 we also announced that our Safety Monitoring Team had identified anaphylaxis as an adverse drug reaction likely associated with nomlabofusp.</w:t>
      </w:r>
    </w:p>
    <w:p>
      <w:pPr>
        <w:spacing w:after="0" w:line="72" w:lineRule="exact"/>
        <w:rPr>
          <w:sz w:val="20"/>
          <w:szCs w:val="20"/>
          <w:color w:val="auto"/>
        </w:rPr>
      </w:pPr>
    </w:p>
    <w:p>
      <w:pPr>
        <w:ind w:left="383" w:right="20" w:hanging="383"/>
        <w:spacing w:after="0" w:line="273" w:lineRule="auto"/>
        <w:tabs>
          <w:tab w:leader="none" w:pos="38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We completed dosing in 14 adolescents in March 2025. The PK and exposure data were similar to adults and the participants became eligible to enroll in the OL study. The PK results from the adolescent cohort also supported the predictive value of our exposure modeling and will facilitate direct enrollment of children (2-11 years old) into the OL study which would eliminate any pause in study drug administration between the PK study and the OL study. Therefore, it was not necessary to perform a cohort for children in the PK study and we terminated the study. We are now planning to initiate enrollment of children directly into the ongoing OL study.</w:t>
      </w:r>
    </w:p>
    <w:p>
      <w:pPr>
        <w:spacing w:after="0" w:line="63" w:lineRule="exact"/>
        <w:rPr>
          <w:rFonts w:ascii="Times New Roman" w:cs="Times New Roman" w:eastAsia="Times New Roman" w:hAnsi="Times New Roman"/>
          <w:sz w:val="17"/>
          <w:szCs w:val="17"/>
          <w:color w:val="auto"/>
        </w:rPr>
      </w:pPr>
    </w:p>
    <w:p>
      <w:pPr>
        <w:ind w:left="383" w:right="100" w:hanging="383"/>
        <w:spacing w:after="0" w:line="266"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FDA accepted the data supporting the comparability of the lyophilized drug product to the frozen solution and agreed with our plans to introduce the lyophilized product into our clinical development program. In July 2025, we began introducing the lyophilized product formulation into the OL study. This is the formulation intended for commercialization.</w:t>
      </w:r>
    </w:p>
    <w:p>
      <w:pPr>
        <w:spacing w:after="0" w:line="67" w:lineRule="exact"/>
        <w:rPr>
          <w:rFonts w:ascii="Times New Roman" w:cs="Times New Roman" w:eastAsia="Times New Roman" w:hAnsi="Times New Roman"/>
          <w:sz w:val="18"/>
          <w:szCs w:val="18"/>
          <w:color w:val="auto"/>
        </w:rPr>
      </w:pPr>
    </w:p>
    <w:p>
      <w:pPr>
        <w:ind w:left="383" w:right="20" w:hanging="383"/>
        <w:spacing w:after="0" w:line="272" w:lineRule="auto"/>
        <w:tabs>
          <w:tab w:leader="none" w:pos="38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2025, we announced that the FDA stated as part of the START pilot program, that it is open to considering the use of FXN concentration as a reasonably likely surrogate endpoint (“RLSE”) and the acceptability of FXN concentration as an RLSE to support accelerated approval will be a matter of review in a future marketing application. The FDA recommended focusing on assessments of skin FXN concentrations rather than buccal FXN concentrations due to more consistent sampling and less variability. The FDA acknowledged that data we submitted appeared to support a relationship between increased FXN concentrations in skin and relevant tissues such as the heart, dorsal root ganglion and skeletal muscle. The FDA also acknowledged that the nonclinical studies we submitted were performed at relevant human doses. The FDA also suggested that we consider exploring the relationship between increases in FXN in skin and changes in pharmacodynamic (“PD”) markers such as lipid profiles and/or clinical measures to provide additional support for the use of FXN as an RLSE.</w:t>
      </w:r>
    </w:p>
    <w:p>
      <w:pPr>
        <w:spacing w:after="0" w:line="63" w:lineRule="exact"/>
        <w:rPr>
          <w:rFonts w:ascii="Times New Roman" w:cs="Times New Roman" w:eastAsia="Times New Roman" w:hAnsi="Times New Roman"/>
          <w:sz w:val="17"/>
          <w:szCs w:val="17"/>
          <w:color w:val="auto"/>
        </w:rPr>
      </w:pPr>
    </w:p>
    <w:p>
      <w:pPr>
        <w:ind w:left="383" w:right="360" w:hanging="383"/>
        <w:spacing w:after="0" w:line="261"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FDA provided recommendations regarding the safety data set that might be needed to support a Biologics License Application (“BLA”)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w:t>
      </w:r>
    </w:p>
    <w:p>
      <w:pPr>
        <w:spacing w:after="0" w:line="71" w:lineRule="exact"/>
        <w:rPr>
          <w:rFonts w:ascii="Times New Roman" w:cs="Times New Roman" w:eastAsia="Times New Roman" w:hAnsi="Times New Roman"/>
          <w:sz w:val="18"/>
          <w:szCs w:val="18"/>
          <w:color w:val="auto"/>
        </w:rPr>
      </w:pPr>
    </w:p>
    <w:p>
      <w:pPr>
        <w:ind w:left="383" w:right="40" w:hanging="383"/>
        <w:spacing w:after="0" w:line="261"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publication of nonclinical data evaluating the mechanism of action, pharmacodynamics and pharmacology of nomlabofusp as a novel FXN protein replacement therapy designed to address the underlying cause of FA in two peer-reviewed articles. These data were included in the briefing package reviewed by the FDA in support of using skin FXN concentrations as a RLSE for our registrational program seeking accelerated approval for nomlabofusp.</w:t>
      </w:r>
    </w:p>
    <w:p>
      <w:pPr>
        <w:spacing w:after="0" w:line="71" w:lineRule="exact"/>
        <w:rPr>
          <w:rFonts w:ascii="Times New Roman" w:cs="Times New Roman" w:eastAsia="Times New Roman" w:hAnsi="Times New Roman"/>
          <w:sz w:val="18"/>
          <w:szCs w:val="18"/>
          <w:color w:val="auto"/>
        </w:rPr>
      </w:pPr>
    </w:p>
    <w:p>
      <w:pPr>
        <w:ind w:left="383" w:hanging="383"/>
        <w:spacing w:after="0" w:line="254"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positive 25 mg and 50 mg data from the OL study evaluating daily subcutaneous injections of nomlabofusp self-administered or administered by a caregiver in participants with FA. Ten out of 10 participants with data at six months achieved skin FXN levels that were higher than 50% of median levels in healthy volunteers and similar to levels expected in asymptomatic carriers. We also observed consistent directional improvements across four key clinical outcomes relative to a worsening in a Friedreich's Ataxia Clinical Outcomes Measure study (“FACOMS”) natural history study reference population. In participants receiving long term continuous treatment, including 14 participants on nomlabofusp for at least six months, eight of whom continued to be on nomlabofusp for over one year, daily administration of nomlabofusp was generally well-tolerated. Anaphylaxis was reported in seven participants, with most events occurring on the initial day of administration and all occurring within the first 6 weeks of dosing. As a result, we consulted experts and decided to modify the starting dose regimen</w:t>
      </w:r>
    </w:p>
    <w:p>
      <w:pPr>
        <w:spacing w:after="0" w:line="200" w:lineRule="exact"/>
        <w:rPr>
          <w:sz w:val="20"/>
          <w:szCs w:val="20"/>
          <w:color w:val="auto"/>
        </w:rPr>
      </w:pPr>
    </w:p>
    <w:p>
      <w:pPr>
        <w:spacing w:after="0" w:line="20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9" w:name="page10"/>
    <w:bookmarkEnd w:id="9"/>
    <w:p>
      <w:pPr>
        <w:spacing w:after="0" w:line="86" w:lineRule="exact"/>
        <w:rPr>
          <w:sz w:val="20"/>
          <w:szCs w:val="20"/>
          <w:color w:val="auto"/>
        </w:rPr>
      </w:pPr>
    </w:p>
    <w:p>
      <w:pPr>
        <w:ind w:left="900" w:right="200"/>
        <w:spacing w:after="0" w:line="282" w:lineRule="auto"/>
        <w:rPr>
          <w:sz w:val="20"/>
          <w:szCs w:val="20"/>
          <w:color w:val="auto"/>
        </w:rPr>
      </w:pPr>
      <w:r>
        <w:rPr>
          <w:rFonts w:ascii="Times New Roman" w:cs="Times New Roman" w:eastAsia="Times New Roman" w:hAnsi="Times New Roman"/>
          <w:sz w:val="18"/>
          <w:szCs w:val="18"/>
          <w:color w:val="auto"/>
        </w:rPr>
        <w:t>and the FDA agreed with our approach. The most common adverse events continued to be local injection site reactions that are mostly mild, brief in duration and self-limited.</w:t>
      </w:r>
    </w:p>
    <w:p>
      <w:pPr>
        <w:spacing w:after="0" w:line="54" w:lineRule="exact"/>
        <w:rPr>
          <w:sz w:val="20"/>
          <w:szCs w:val="20"/>
          <w:color w:val="auto"/>
        </w:rPr>
      </w:pPr>
    </w:p>
    <w:p>
      <w:pPr>
        <w:ind w:left="900" w:right="20" w:hanging="383"/>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also announced that we amended the previous OLE study protocol (which had only included participants from previous clinical trials of nomlabofusp) to include adolescent and adult patients who have not previously participated in a prior nomlabofusp study and the study is now being referred to as the OL study. In addition to risk mitigation measures against anaphylaxis that are already in place such as pre-medicating with antihistamines and supplying epinephrine auto-injectors to study participants, we introduced a new dosing regimen in which participants initially receive a 5 mg dose followed by a 25 mg dose one hour later under observation. Nomlabofusp 25 mg is then administered once daily through day 30 and then the dose is increased to 50 mg once daily.</w:t>
      </w:r>
    </w:p>
    <w:p>
      <w:pPr>
        <w:spacing w:after="0" w:line="79" w:lineRule="exact"/>
        <w:rPr>
          <w:rFonts w:ascii="Times New Roman" w:cs="Times New Roman" w:eastAsia="Times New Roman" w:hAnsi="Times New Roman"/>
          <w:sz w:val="18"/>
          <w:szCs w:val="18"/>
          <w:color w:val="auto"/>
        </w:rPr>
      </w:pPr>
    </w:p>
    <w:p>
      <w:pPr>
        <w:jc w:val="both"/>
        <w:ind w:left="900" w:right="120" w:hanging="383"/>
        <w:spacing w:after="0" w:line="289"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2026, the FDA granted the nomlabofusp program Breakthrough Therapy Designation (“BTD”). BTD is intended to expedite the development and regulatory review of a drug intended to treat a serious condition. A drug is eligible for BTD if preliminary clinical evidence indicates that the drug may demonstrate substantial improvement over available treatments in one or more clinically significant endpoints.</w:t>
      </w:r>
    </w:p>
    <w:p>
      <w:pPr>
        <w:spacing w:after="0" w:line="49" w:lineRule="exact"/>
        <w:rPr>
          <w:rFonts w:ascii="Times New Roman" w:cs="Times New Roman" w:eastAsia="Times New Roman" w:hAnsi="Times New Roman"/>
          <w:sz w:val="17"/>
          <w:szCs w:val="17"/>
          <w:color w:val="auto"/>
        </w:rPr>
      </w:pPr>
    </w:p>
    <w:p>
      <w:pPr>
        <w:ind w:left="900" w:right="60" w:hanging="383"/>
        <w:spacing w:after="0" w:line="25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 February 2026, as a result of a START pilot program meeting with the FDA, we announced continued alignment with the FDA to consider the use of skin FXN as a novel surrogate endpoint reasonably likely to predict clinical benefit to support a planned Biologics License Application (BLA) submission seeking accelerated approval and that the use of FXN as a novel surrogate endpoint to support accelerated approval. There was also agreement on the type of analyses required to support the exposure response relationships for the nomlabofusp program. The FDA stated that the adequacy of the safety database will be a matter of review at the time of BLA submission.</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targeting to provide topline study data from our OL study in the second quarter of 2026 and we plan to submit a BLA seeking accelerated approval in June 2026.</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our global confirmatory Phase 3 study, we are planning sites in the U.S., E.U., U.K., Canada and Australia. We have obtained feedback from both the FDA and the EMA on the study protocol. Our clinical trial application was recently approved by Health Canada Authorities and now will undergo Ethics Committee review. We have also filed our CTIS application with the EMA and it is currently under review. Submission to the U.K. regulatory authorities is expected to follow soon. We plan to initiate screening in the U.S.for the study in the second quarter of 2026, with dosing of the first patient expected in mid-2026.</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strategy is to become a leader in the treatment of rare diseases by leveraging our CPP technology platform and applying our management team’s know-how and expertise to the development of nomlabofusp and other future pipeline programs. Key elements of our strategy include:</w:t>
      </w:r>
    </w:p>
    <w:p>
      <w:pPr>
        <w:spacing w:after="0" w:line="50" w:lineRule="exact"/>
        <w:rPr>
          <w:sz w:val="20"/>
          <w:szCs w:val="20"/>
          <w:color w:val="auto"/>
        </w:rPr>
      </w:pPr>
    </w:p>
    <w:p>
      <w:pPr>
        <w:ind w:left="900" w:hanging="383"/>
        <w:spacing w:after="0" w:line="254"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nomlabofusp through clinical development and regulatory approval in the United States the European Union and other foreign jurisdictions. </w:t>
      </w:r>
      <w:r>
        <w:rPr>
          <w:rFonts w:ascii="Times New Roman" w:cs="Times New Roman" w:eastAsia="Times New Roman" w:hAnsi="Times New Roman"/>
          <w:sz w:val="18"/>
          <w:szCs w:val="18"/>
          <w:color w:val="auto"/>
        </w:rPr>
        <w:t>We have completed two Phase 1 clinical trials in adults along with a Phase 1 PK run-in study in adolescents and a Phase 2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exploration trial in adults with FA. We also have an ongoing OL study in adults and adolescents with FA in which participants receive 50 mg nomlabofusp daily. Enrollment in this study is now open to adolescents and adult patients regardless of whether they participated in a previous nomlabofusp trial. We are continuing to develop and execute a clinical development plan for regulatory approval of nomlabofusp in the United States, the European Union, the United Kingdom (“UK”), Australia, Canada and potentially other countries. We have obtained feedback from both FDA and EMA on the global Phase 3 confirmatory study protocol and continue to qualify sites in the U.S., E.U., U.K, Canada, and Australia and we plan to initiate screening in this Phase 3 study in the second quarter of 2026, with dosing of the first patient expected in mid-2026. We are targeting nomlabofusp BLA submission in June 2026 seeking accelerated approval using tissue FXN levels as a novel surrogate endpoint.</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 w:name="page11"/>
    <w:bookmarkEnd w:id="10"/>
    <w:p>
      <w:pPr>
        <w:spacing w:after="0" w:line="82" w:lineRule="exact"/>
        <w:rPr>
          <w:sz w:val="20"/>
          <w:szCs w:val="20"/>
          <w:color w:val="auto"/>
        </w:rPr>
      </w:pPr>
    </w:p>
    <w:p>
      <w:pPr>
        <w:ind w:left="900" w:right="220" w:hanging="383"/>
        <w:spacing w:after="0" w:line="257"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If nomlabofusp receives regulatory approval(s), we intend to commercialize nomlabofusp in the United States, the European Union, and other relevant countries independently or with third parties. </w:t>
      </w:r>
      <w:r>
        <w:rPr>
          <w:rFonts w:ascii="Times New Roman" w:cs="Times New Roman" w:eastAsia="Times New Roman" w:hAnsi="Times New Roman"/>
          <w:sz w:val="18"/>
          <w:szCs w:val="18"/>
          <w:color w:val="auto"/>
        </w:rPr>
        <w:t>We intend to evaluate commercialization options in the United States,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Union, the United Kingdom and in other foreign jurisdictions throughout the world where FA patients can benefit, if we are successful in obtaining regulatory approval for nomlabofusp. We may build our own internal sales force, partner with a contract sales organization, enter into a joint marketing partnership with another pharmaceutical or biotechnology company, or we may seek to out-license nomlabofusp.</w:t>
      </w:r>
    </w:p>
    <w:p>
      <w:pPr>
        <w:spacing w:after="0" w:line="74" w:lineRule="exact"/>
        <w:rPr>
          <w:rFonts w:ascii="Times New Roman" w:cs="Times New Roman" w:eastAsia="Times New Roman" w:hAnsi="Times New Roman"/>
          <w:sz w:val="18"/>
          <w:szCs w:val="18"/>
          <w:color w:val="auto"/>
        </w:rPr>
      </w:pPr>
    </w:p>
    <w:p>
      <w:pPr>
        <w:ind w:left="900" w:hanging="383"/>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product candidate pipeline to treat a variety of rare diseases. </w:t>
      </w:r>
      <w:r>
        <w:rPr>
          <w:rFonts w:ascii="Times New Roman" w:cs="Times New Roman" w:eastAsia="Times New Roman" w:hAnsi="Times New Roman"/>
          <w:sz w:val="18"/>
          <w:szCs w:val="18"/>
          <w:color w:val="auto"/>
        </w:rPr>
        <w:t>We intend to expand our pipeline to treat additional rare diseases.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68" w:lineRule="exact"/>
        <w:rPr>
          <w:rFonts w:ascii="Times New Roman" w:cs="Times New Roman" w:eastAsia="Times New Roman" w:hAnsi="Times New Roman"/>
          <w:sz w:val="18"/>
          <w:szCs w:val="18"/>
          <w:color w:val="auto"/>
        </w:rPr>
      </w:pPr>
    </w:p>
    <w:p>
      <w:pPr>
        <w:ind w:left="900" w:right="180" w:hanging="383"/>
        <w:spacing w:after="0" w:line="257"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improve our novel protein replacement therapy platform. </w:t>
      </w:r>
      <w:r>
        <w:rPr>
          <w:rFonts w:ascii="Times New Roman" w:cs="Times New Roman" w:eastAsia="Times New Roman" w:hAnsi="Times New Roman"/>
          <w:sz w:val="18"/>
          <w:szCs w:val="18"/>
          <w:color w:val="auto"/>
        </w:rPr>
        <w:t>We continue to improve the scientific understanding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and develop other therapeutics with potentially disease modifying therapeutic action. We also plan to continue to build our intellectual property portfolio to expand our protein replacement therapy platform.</w:t>
      </w:r>
    </w:p>
    <w:p>
      <w:pPr>
        <w:spacing w:after="0" w:line="74"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Opportunistically evaluate enabling, adjacent or potential competing technologies, and where advantageous, seek licenses or collaborations regarding those technologies, to advance our platform. </w:t>
      </w:r>
      <w:r>
        <w:rPr>
          <w:rFonts w:ascii="Times New Roman" w:cs="Times New Roman" w:eastAsia="Times New Roman" w:hAnsi="Times New Roman"/>
          <w:sz w:val="18"/>
          <w:szCs w:val="18"/>
          <w:color w:val="auto"/>
        </w:rPr>
        <w:t>We will continue to evaluate technologies that may enable or enhance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or our rare disease focus. To facilitate the advancement of our CPP platform, we periodically engage in partnering and licensing discussions with a range of biotechnology or pharmaceutical companies and academic institutions and maintain awareness of complementary technologies, synergistic opportunities and “tuck-in” options.</w:t>
      </w:r>
    </w:p>
    <w:p>
      <w:pPr>
        <w:spacing w:after="0" w:line="71" w:lineRule="exact"/>
        <w:rPr>
          <w:rFonts w:ascii="Times New Roman" w:cs="Times New Roman" w:eastAsia="Times New Roman" w:hAnsi="Times New Roman"/>
          <w:sz w:val="18"/>
          <w:szCs w:val="18"/>
          <w:color w:val="auto"/>
        </w:rPr>
      </w:pPr>
    </w:p>
    <w:p>
      <w:pPr>
        <w:ind w:left="900" w:right="100" w:hanging="383"/>
        <w:spacing w:after="0" w:line="254"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key relationships. </w:t>
      </w:r>
      <w:r>
        <w:rPr>
          <w:rFonts w:ascii="Times New Roman" w:cs="Times New Roman" w:eastAsia="Times New Roman" w:hAnsi="Times New Roman"/>
          <w:sz w:val="18"/>
          <w:szCs w:val="18"/>
          <w:color w:val="auto"/>
        </w:rPr>
        <w:t>We partner with experts in every aspect of development. We believe this expertise, along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Technology for Treatment of Rare Genetic Diseases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estimated to be over 9,500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platform and our bioengineering capabilities support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For the Treatment of Friedreich’s ataxia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Friedreich’s ataxia</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FA is a rare genetic disease that is the most commonly inherited ataxia in humans, with approximately 20,000 individuals living with Friedreich’s ataxia globally, and of these individuals, approximately 5,000 are in the United States and the majority of the remaining individuals are primarily in Europe. Friedreich’s ataxia results from a deficiency of the mitochondrial protein, frataxin, (“FXN”). FXN is an essential and phylogenetically conserved protein that is found in cells throughout the body, with higher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Omaveloxolone, the first drug approved for the treatment of FA, was approved by the FDA and the European Commission in February 2023 and February 2024,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Nomlabofusp</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Nomlabofusp, an investigational biologic fusion protein that is administered subcutaneously, consists of a CPP genetically fused to human FXN, and includes a mitochondrial targeting sequence. Using our proprietary peptide delivery technology, nomlabofusp is designed to carry the molecule from the intravascular space across the cell membrane and into the mitochondria where the CPP and the mitochondrial targeting sequence are cleaved off by the mitochondrial processing peptidase (“MPP”) enzyme to yield mature FXN. See Figure 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88265</wp:posOffset>
            </wp:positionV>
            <wp:extent cx="4320540" cy="1611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completed two Phase 1 clinical trials and a Phase 2 dose exploration trial in adults with FA, along with a Phase 1 PK run-in study in adolescents with FA (12-17 years old). We also have our ongoing Phase 2 OL trial in adults and adolescents with FA in which participants receive 50 mg nomlabofusp daily. Enrollment in this study is now open to adolescents and adult patients regardless of whether they participated in a previous nomlabofusp trial.</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8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Based on the results of our non-clinical development program as well as results from our Phase 2 clinical trials, we believe that administering nomlabofusp may increase FXN levels in the mitochondria of patients with Friedreich’s ataxia and they could potentially experience:</w:t>
      </w:r>
    </w:p>
    <w:p>
      <w:pPr>
        <w:spacing w:after="0" w:line="54"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cellular function;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positive impact on Friedreich’s ataxia symptoms;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slowing of progression of the disease, potentially prolonging life.</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our Phase 1 clinical trials, nomlabofusp appeared to increase FXN levels in the peripheral tissues that were tested (buccal cells, skin biopsies and platelets) and data from our Phase 2 dose exploration study demonstrated dose dependent increases in FXN levels in all evaluated tissues (skin and buccal cells) after daily dosing of 14 days followed by every other day dosing until day 28 in the 25 mg and 50 mg cohorts. Data from the ongoing OL study showed increases in skin FXN levels in 10 of 10 participants with data at six months. These skin FXN levels were higher than 50% of median levels in healthy volunteers similar to levels expected in asymptomatic carriers. We also observed consistent directional improvement across four key clinical outcomes after one year of nomlabofusp treatment relative to a worsening observed in a FACOMS natural history study reference population. The most common adverse events were mild/moderate injection site reactions and we have identified anaphylaxis as an adverse event likely associated with nomlabofusp administration and have implemented several risk mitigation measures.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nomlabofusp to improve mitochondrial function in other rare diseases that demonstrate evidence of mitochondrial dysfunction is also being explored.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Nomlabofusp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Non-clinical Pharmacology</w:t>
      </w:r>
    </w:p>
    <w:p>
      <w:pPr>
        <w:spacing w:after="0" w:line="117"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Following nomlabofusp dosing in multiple non-clinical studies in rodents and non-human primates (“NHPs”), human FXN was found to be distributed into all tissues tested, as shown in Figure 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Observed hFXN across all tissue and cell types tested:</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284"/>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Brain</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Spinal Cord</w:t>
            </w:r>
          </w:p>
        </w:tc>
        <w:tc>
          <w:tcPr>
            <w:tcW w:w="11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Skin</w:t>
            </w:r>
          </w:p>
        </w:tc>
      </w:t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Heart</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Cardiac Mitochondria</w:t>
            </w:r>
          </w:p>
        </w:tc>
        <w:tc>
          <w:tcPr>
            <w:tcW w:w="11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Buccal Cells</w:t>
            </w:r>
          </w:p>
        </w:tc>
      </w:tr>
      <w:tr>
        <w:trPr>
          <w:trHeight w:val="283"/>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Liver</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CSF (Cerebrospinal Fluid)</w:t>
            </w:r>
          </w:p>
        </w:tc>
        <w:tc>
          <w:tcPr>
            <w:tcW w:w="11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Platelets</w:t>
            </w:r>
          </w:p>
        </w:tc>
      </w:tr>
      <w:tr>
        <w:trPr>
          <w:trHeight w:val="316"/>
        </w:trPr>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Dorsal Root Ganglia</w:t>
            </w:r>
          </w:p>
        </w:tc>
        <w:tc>
          <w:tcPr>
            <w:tcW w:w="9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Skeletal Muscle</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1" w:lineRule="exact"/>
        <w:rPr>
          <w:sz w:val="20"/>
          <w:szCs w:val="20"/>
          <w:color w:val="auto"/>
        </w:rPr>
      </w:pPr>
    </w:p>
    <w:p>
      <w:pPr>
        <w:ind w:right="20" w:firstLine="509"/>
        <w:spacing w:after="0" w:line="226" w:lineRule="exact"/>
        <w:rPr>
          <w:sz w:val="20"/>
          <w:szCs w:val="20"/>
          <w:color w:val="auto"/>
        </w:rPr>
      </w:pPr>
      <w:r>
        <w:rPr>
          <w:rFonts w:ascii="Times New Roman" w:cs="Times New Roman" w:eastAsia="Times New Roman" w:hAnsi="Times New Roman"/>
          <w:sz w:val="17"/>
          <w:szCs w:val="17"/>
          <w:color w:val="auto"/>
        </w:rPr>
        <w:t>In a study in Sprague Dawley rats in which nomlabofusp was administered daily via SC injection for 7 days, a dose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dependent increase in hFXN was observed in skin and disease-related target tissues (heart, dorsal root ganglion and skeletal muscle). Furthermore, increases in rat skin hFXN after administration of nomlabofusp were correlated with increases in hFXN in these tissues. These results demonstrate that changes in skin FXN concentrations can be used to predict changes in FXN concentrations of other tissues following administration of nomlabofusp. Correlations were observed not only with skin, but also between tissues, corroborating that hFXN measurements in one tissue are indicative of concentrations in other tissues (De Toni, F., Ragaglia, V., Schecter, D. et al. Pharmacokinetics and Pharmacodynamics of Nomlabofusp in Non-clinical Studies of Friedreich’s Ataxia. AAPS J 27, 112 (2025)).</w:t>
      </w:r>
    </w:p>
    <w:p>
      <w:pPr>
        <w:spacing w:after="0" w:line="9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Nomlabofusp was demonstrated to prolong the life of knock-out (“KO”) mice whose heart and skeletal muscles were deficient in FXN. These mice, when untreated, develop a severe hypertrophic cardiomyopathy similar to patients with Friedreich’s ataxia and, like many Friedreich’s ataxia patients, die early in life. In non-clinical studies of nomlabofusp, the median survival in animals treated with vehicle of 98 days was extended to a median survival of 166 days in animals treated with nomlabofusp subcutaneously three times per week (p=0.0001).</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Furthermore, 87.5% of mice treated with nomlabofusp survived beyond the mean age of death in the vehicle treated group (107.5 days) whereas only 33% of vehicle treated animals survived. Results are reflected in Figure 3.</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88265</wp:posOffset>
            </wp:positionV>
            <wp:extent cx="2486025" cy="1731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4 and 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88265</wp:posOffset>
            </wp:positionV>
            <wp:extent cx="2400300" cy="1568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88265</wp:posOffset>
            </wp:positionV>
            <wp:extent cx="2245995" cy="1457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Another study, also performed at an independent laboratory, demonstrated the maintenance of cardiac function when the same KO mouse model was studied. These mice were treated with nomlabofusp at doses of 10 mg/kg every other day for 6 weeks. Echocardiograms were performed prior to initiating dosing and after 4 weeks of dosing. When compared to vehicle, mice treated with nomlabofusp maintained their left ventricular volume and ejection fraction while vehicle treated mice deteriorated over the same 4-week period. See Figures 6 and 7.</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88265</wp:posOffset>
            </wp:positionV>
            <wp:extent cx="4371975" cy="165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197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88265</wp:posOffset>
            </wp:positionV>
            <wp:extent cx="4243070" cy="1697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Using a neurologic mouse model, treatment with nomlabofusp prevented the development of ataxia in mice whose nervous system was deficient in FXN compared to those treated with placebo.</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other non-clinical pharmacology studies it was demonstrated that SC administration of nomlabofusp distributed in a dose-dependent manner to several organs known to be predominantly affected in FA, including the dorsal root ganglion, heart, and skeletal muscle, as well as to other tissues, including skin. Plasma nomlabofusp concentrations correlated with levels of human FXN delivered by nomlabofusp into tissues, and the increases in frataxin were correlated amongst tissues, especially with skin. In KO mice, the pharmacokinetics and processing of nomlabofusp were comparable with wild type animals and treatment with nomlabofusp halted the progression of cardiac dysfunction and significantly increased survival. Together, the findings from these non-clinical studies demonstrate that nomlabofusp exposure increased hFXN in FA-relevant tissues and provide evidence of pharmacologic effects. (De Toni, F., Ragaglia, V., Schecter, D. et al. Pharmacokinetics and Pharmacodynamics of Nomlabofusp in Non-clinical Studies of Friedreich’s Ataxia. AAPS J 27, 112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Non-Human Primate and Rat Toxicology Studies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previously conducted 28-day and 13-week GLP toxicology studies of nomlabofusp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w:t>
      </w:r>
    </w:p>
    <w:p>
      <w:pPr>
        <w:spacing w:after="0" w:line="6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To support extended dosing of patients with nomlabofusp, we conducted a 26-week NHP toxicology study in 2021. In May 2021, we notified the FDA of certain mortalities which occurred at the two highest dose levels in the then-ongoing study. On May 25, 2021, the FDA placed a clinical hold on the nomlabofusp clinical program. In the clinical hold letter, the FDA stated that it needed to review a full study report from the then-ongoing NHP study and 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 After additional interactions and submission of additional information requested by FDA, in September 2022, the FDA lifted its full clinical hold on the nomlabofusp clinical development program and imposed a partial clinical hold. Following additional interactions and submission of clinical data, in May 2024, the FDA removed the partial clinical hold on the development of nomlabofusp.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Non-Interventional Study</w:t>
      </w:r>
    </w:p>
    <w:p>
      <w:pPr>
        <w:spacing w:after="0" w:line="11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In 2021, we conducted a non-interventional study that enrolled 60 healthy adults to examine the range of tissue FXN concentrations in individuals who are homozygous for the normal FXN gene. Tissue samples in these studies were collected using the same sampling techniques and proprietary assay used in the interventional studies. Enrollment in this study was completed in 2022 and data has been used for comparison purposes in the Phase 2 clinical study described below. See Figure 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88265</wp:posOffset>
            </wp:positionV>
            <wp:extent cx="5349240" cy="2597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FXN concentrations were measured in skin and buccal cells from 60 homozygous healthy volunteers utilizing the same sampling technique and assay as clinical trials of nomlabofusp; FXN levels measured via detection of peptide derived from mature FXN; FXN concentrations normalized to total cellular protein content in each sample. 1. E.C. Deutsch et al. Molecular Genetics and Metabolism 101 (2010) 238–245. 2. Friedreich’s Ataxia Research Alliance.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Trials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Completed Phase 1 and Phase 2 Clinical Studies in Adults with Friedreich’s Ataxia</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2019, we submitted our Investigational New Drug application (“IND”) application for nomlabofusp and began Phase 1 clinical trials in 2019 in patients with FA. We have completed three clinical studies in adult patients, with FA; a Phase 1 SAD study (completed in 2020), a Phase 1 MAD study (completed in 2021), and a Phase 2 Dose Exploration study (completed in 2023). The primary objective for the phase 1 SAD and MAD studies was to assess the tolerability of nomlabofusp at doses ranging from 25 mg to 100 mg administered via SC injection. The secondary objectives were to establish the PK of nomlabofusp administration in humans and to explore the PD of nomlabofusp administration by measuring tissue FXN concentrations in accessible tissues, namely buccal and skin cells, and in platelets. In the MAD study,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Administration of nomlabofusp via SC injection appeared to be well tolerated up to doses of 100 mg administered daily for up to 13 days. No SAEs were reported in either study. The most common treatment emergent adverse events (“TEAEs”) were injection site reactions (“ISRs”) that were generally mild, self-limited, and usually resolved within approximately 1 hour. There was rapid uptake of nomlabofusp into the circulation following subcutaneous injection, and exposure appeared to be proportional to dose. Increased FXN concentrations were observed in buccal cells, skin, and platelets, with higher and more frequent nomlabofusp administration.</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Phase 2 randomized, double-blind, placebo-controlled dose exploration study evaluated the safety, tolerability, PK and PD of two doses of nomlabofusp. Cohort 1 evaluated 25 mg and Cohort 2 evaluated 50 mg. Participants in either the 25 mg or 50 mg cohorts were randomized 2:1 to receive daily SC injections of either nomlabofusp or placebo for 14 days, and then every other day for an additional 14 days for a total 28-day dosing period.</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Substantial increases in tissue FXN concentrations were observed after daily SC administration of both the 25 mg and 50 mg doses. The majority of treated patients in both cohorts with quantifiable levels of frataxin at baseline and day 14 achieved at least a 100% increase in tissue frataxin in skin cells, and at least a 30% increase in tissue frataxin levels in buccal cells. Participants treated with 50 mg for 14 days daily had frataxin levels in skin cells increase from less than 17% at baseline relative to healthy volunteers, to 33% to 59% of healthy volunteers after 14 days of treatment. Patients treated with placebo showed no increase in their frataxin levels during this period. Increases in skin and buccal FXN concentrations were dose-dependent and the increases were not maintained when the dosing regimen was changed to alternate day dosing. Abnormal lipid profiles were identified in adults with FA at baseline with directional dose-dependent normalization observed post nomlabofusp treatment.</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Nineteen adults with FA received nomlabofusp in the Phase 2 study and 9 received placebo. There were no serious adverse events reported. There was one allergic reaction which was considered to be a severe adverse event in the 25 mg cohort that resolved with standard treatment. This participant withdrew from the trial. The most common adverse events reported were mild and moderate injection site reactions which resolved without any intervention and there were no study discontinuations due to injection site reactions. Consistent with findings in our Phase 1 study, nomlabofusp demonstrated quick absorption after SC administration and had dose proportional increases in exposure.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Completed Phase 1 PK Run-In Study in Adolescents (12-17 years old) with FA</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2025, we initiated dosing of adolescents (12-17 years old) in a PK run-in study for pediatric patients with FA. Study participants in the PK run-in study were randomized 2:1 to receive either nomlabofusp at a weight-based dose expected to match the PK of adults receiving the 50 mg dose, or placebo, daily for seven days. We completed dosing in 14 adolescents in March 2025. The PK and exposure data were similar to adults and the participants became eligible to enroll in the OL study. The PK results from the adolescent cohort also supported the predictive value of our exposure modeling and thus the planned dosing of a cohort of children (2-11 years of age) will facilitate direct enrollment of children (2-11 years old) was cancelled and will now be enrolled directly into the OL study, This eliminates any pause in study drug administration between the PK study and the open label study.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Open Label Study</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January 2024, we initiated the OL trial evaluating daily SC injections of 25 mg of nomlabofusp self-administered or administered by a caregiver, with the first patient dosed in March 2024. Participants who completed treatment in the Phase 2 dose exploration study, or who previously completed a prior clinical trial of nomlabofusp, were eligible to screen for the OL study. Subjects were allowed to take omaveloxolone during the trial. The OL study is evaluating the safety and tolerability, PK, and FXN levels in peripheral tissues as well as other exploratory PD markers (lipid profiles and gene expression data) following long-term subcutaneous administration of nomlabofusp. In addition, clinical assessments collected during the study will be compared to data from a matched control arm derived from participants in the FACOMS database.</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we reported positive initial data from our ongoing OLE study. This data included safety, FXN levels, clinical, PK data and dose escalation:</w:t>
      </w:r>
    </w:p>
    <w:p>
      <w:pPr>
        <w:spacing w:after="0" w:line="54" w:lineRule="exact"/>
        <w:rPr>
          <w:sz w:val="20"/>
          <w:szCs w:val="20"/>
          <w:color w:val="auto"/>
        </w:rPr>
      </w:pPr>
    </w:p>
    <w:p>
      <w:pPr>
        <w:ind w:left="900" w:right="10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Nomlabofusp was generally well tolerated for up to 260 days in subjects. The most common adverse events were injection site reactions, with most being mild, brief in duration, and self-limited. Two participants had serious adverse events (one seizure and one anaphylactic reaction) that resolved within 24 hours and these participants withdrew from the study;</w:t>
      </w:r>
    </w:p>
    <w:p>
      <w:pPr>
        <w:spacing w:after="0" w:line="6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25 mg tissue FXN levels showed positive mean change from baseline of 1.32 pg/μg in buccal cells and 9.28 pg/μg in skin cells at Day 90 and that 25 mg of nomlabofusp increased and maintained tissue FXN levels over time, increasing from a mean level of 15% of HV at baseline to 30% in buccal cells and from 16% to 72% in skin cells at Day 90;</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FXN levels appear to reach steady-state levels by Day 30 in buccal cells;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clinical data showed trends toward improvement across a number of clinical outcomes for long-term 25 mg daily nomlabofusp including:</w:t>
      </w:r>
    </w:p>
    <w:p>
      <w:pPr>
        <w:spacing w:after="0" w:line="38" w:lineRule="exact"/>
        <w:rPr>
          <w:rFonts w:ascii="Times New Roman" w:cs="Times New Roman" w:eastAsia="Times New Roman" w:hAnsi="Times New Roman"/>
          <w:sz w:val="17"/>
          <w:szCs w:val="17"/>
          <w:color w:val="auto"/>
        </w:rPr>
      </w:pPr>
    </w:p>
    <w:p>
      <w:pPr>
        <w:ind w:left="900" w:right="2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decreased values indicating early trends towards improvement in the Modified Friedreich Ataxia Rating Scale (mFARS) and the FARS-Activities of Daily Living (“ADL”), Modified Fatigue Impact Scale and nine hole peg test at 90 days relative to baseline;</w:t>
      </w:r>
    </w:p>
    <w:p>
      <w:pPr>
        <w:spacing w:after="0" w:line="73" w:lineRule="exact"/>
        <w:rPr>
          <w:rFonts w:ascii="Times New Roman" w:cs="Times New Roman" w:eastAsia="Times New Roman" w:hAnsi="Times New Roman"/>
          <w:sz w:val="17"/>
          <w:szCs w:val="17"/>
          <w:color w:val="auto"/>
        </w:rPr>
      </w:pPr>
    </w:p>
    <w:p>
      <w:pPr>
        <w:ind w:left="900" w:right="48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PK data showed rapid absorption after SC administration with exposure appearing to reach steady state in plasma by day 30 with no further accumulation, which is consistent with data from our Phase 1 and Phase 2 studies.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Also in December 2024, we announced that we were increasing the dose in the OL study to 50 mg of nomlabofusp daily for then currently enrolled and all future study participants. In March 2025, we announced that our Safety Monitoring Team has deemed anaphylaxis as an adverse drug reaction likely associated with nomlabofusp. To reduce the risk of allergic reactions, including anaphylaxis, we amended the OL study protocol to administer premedication for the first month of dosing.</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June 2025, the FDA provided recommendations regarding the safety data that might be needed to support a Biologics License Application. (“BLA”)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July 2025, we announced the publication of two peer-reviewed articles highlighting nonclinical data on the therapeutic potential, pharmacology, and mechanism of action of nomlabofusp as a novel FXN protein replacement therapy designed to address the underlying cause of FA. These data were included in the briefing package reviewed by the FDA in support of potentially using skin FXN concentrations as a RLSE for Larimar’s registrational program seeking accelerated approval for nomlabofusp.</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2025, we announced additional data from the ongoing OL study:</w:t>
      </w:r>
    </w:p>
    <w:p>
      <w:pPr>
        <w:spacing w:after="0" w:line="117"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4 completed studies and the ongoing OL study, 65 participants received at least 1 dose of nomlabofusp.</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65 participants receiving at least one dose of nomlabofusp, 39 have been dosed as part of the open label study, with 14 on treatment for at least 6 months and 8 for over 1 year in the OL study.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86" w:lineRule="exact"/>
        <w:rPr>
          <w:sz w:val="20"/>
          <w:szCs w:val="20"/>
          <w:color w:val="auto"/>
        </w:rPr>
      </w:pPr>
    </w:p>
    <w:p>
      <w:pPr>
        <w:ind w:left="900" w:right="52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directional improvement was observed across 4 key clinical outcomes (mFARS, FARS-ADL, 9-HPT, MFIS) after 1 year of nomlabofusp treatment relative to a worsening in a FACOMS natural history study reference population. See Figure 8.</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 participants with data at 6 months achieved skin FXN levels over 50% of median levels in healthy volunteers (which is similar to levels in asymptomatic carriers). See Figure 9.</w:t>
      </w:r>
    </w:p>
    <w:p>
      <w:pPr>
        <w:spacing w:after="0" w:line="53" w:lineRule="exact"/>
        <w:rPr>
          <w:rFonts w:ascii="Times New Roman" w:cs="Times New Roman" w:eastAsia="Times New Roman" w:hAnsi="Times New Roman"/>
          <w:sz w:val="18"/>
          <w:szCs w:val="18"/>
          <w:color w:val="auto"/>
        </w:rPr>
      </w:pPr>
    </w:p>
    <w:p>
      <w:pPr>
        <w:ind w:left="900" w:right="280" w:hanging="383"/>
        <w:spacing w:after="0" w:line="261"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39 participants in the OL study (and of 65 total participants who received at least 1 dose in all nomlabofusp studies), 7 experienced anaphylaxis in the first 6 weeks of dosing and returned to their usual state of health after standard treatment. In the OL study, of the 10 participants who had not had prior exposure to nomlabofusp, only 1 experienced anaphylaxis. Excluding these events, long term dosing of nomlabofusp was generally well tolerated, including 14 on treatment for at least 6 months and 8 on treatment for over 1 year.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19685</wp:posOffset>
            </wp:positionV>
            <wp:extent cx="5349240" cy="256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IQR = interquartile range</w:t>
      </w:r>
    </w:p>
    <w:p>
      <w:pPr>
        <w:spacing w:after="0" w:line="226" w:lineRule="auto"/>
        <w:rPr>
          <w:sz w:val="20"/>
          <w:szCs w:val="20"/>
          <w:color w:val="auto"/>
        </w:rPr>
      </w:pPr>
      <w:r>
        <w:rPr>
          <w:rFonts w:ascii="Times New Roman" w:cs="Times New Roman" w:eastAsia="Times New Roman" w:hAnsi="Times New Roman"/>
          <w:sz w:val="14"/>
          <w:szCs w:val="14"/>
          <w:color w:val="auto"/>
        </w:rPr>
        <w:t>1 - Based on the range of baseline characteristics of participants in the OL study, Larimar identified patients from the FACOMS dataset with similar characteristics using data recorded over the</w:t>
      </w:r>
    </w:p>
    <w:p>
      <w:pPr>
        <w:spacing w:after="0" w:line="222" w:lineRule="auto"/>
        <w:rPr>
          <w:sz w:val="20"/>
          <w:szCs w:val="20"/>
          <w:color w:val="auto"/>
        </w:rPr>
      </w:pPr>
      <w:r>
        <w:rPr>
          <w:rFonts w:ascii="Times New Roman" w:cs="Times New Roman" w:eastAsia="Times New Roman" w:hAnsi="Times New Roman"/>
          <w:sz w:val="14"/>
          <w:szCs w:val="14"/>
          <w:color w:val="auto"/>
        </w:rPr>
        <w:t>last 4 years for each patient.</w:t>
      </w:r>
    </w:p>
    <w:p>
      <w:pPr>
        <w:spacing w:after="0" w:line="221" w:lineRule="auto"/>
        <w:rPr>
          <w:sz w:val="20"/>
          <w:szCs w:val="20"/>
          <w:color w:val="auto"/>
        </w:rPr>
      </w:pPr>
      <w:r>
        <w:rPr>
          <w:rFonts w:ascii="Times New Roman" w:cs="Times New Roman" w:eastAsia="Times New Roman" w:hAnsi="Times New Roman"/>
          <w:sz w:val="14"/>
          <w:szCs w:val="14"/>
          <w:color w:val="auto"/>
        </w:rPr>
        <w:t>2 - Modified Fatigue scale presented here is at Month 24 because it was not assessed at Month 12.</w:t>
      </w:r>
    </w:p>
    <w:p>
      <w:pPr>
        <w:spacing w:after="0"/>
        <w:rPr>
          <w:sz w:val="20"/>
          <w:szCs w:val="20"/>
          <w:color w:val="auto"/>
        </w:rPr>
      </w:pPr>
      <w:r>
        <w:rPr>
          <w:rFonts w:ascii="Times New Roman" w:cs="Times New Roman" w:eastAsia="Times New Roman" w:hAnsi="Times New Roman"/>
          <w:sz w:val="14"/>
          <w:szCs w:val="14"/>
          <w:color w:val="auto"/>
        </w:rPr>
        <w:t>Note: Data presented is based on the September 2025 data release.</w:t>
      </w: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9" w:name="page20"/>
    <w:bookmarkEnd w:id="1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19685</wp:posOffset>
            </wp:positionV>
            <wp:extent cx="5349240" cy="2529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*Data include all participants with quantifiable levels at each measurement point who had received 25 mg, 50 mg or had the dose increased from 25 mg to 50 mg.</w:t>
      </w:r>
    </w:p>
    <w:p>
      <w:pPr>
        <w:spacing w:after="0" w:line="226" w:lineRule="auto"/>
        <w:rPr>
          <w:sz w:val="20"/>
          <w:szCs w:val="20"/>
          <w:color w:val="auto"/>
        </w:rPr>
      </w:pPr>
      <w:r>
        <w:rPr>
          <w:rFonts w:ascii="Times New Roman" w:cs="Times New Roman" w:eastAsia="Times New Roman" w:hAnsi="Times New Roman"/>
          <w:sz w:val="14"/>
          <w:szCs w:val="14"/>
          <w:color w:val="auto"/>
        </w:rPr>
        <w:t>**8.2 pg/µg represents 50% of the average FXN concentration average FXN concentration of healthy volunteers.</w:t>
      </w:r>
    </w:p>
    <w:p>
      <w:pPr>
        <w:spacing w:after="0"/>
        <w:rPr>
          <w:sz w:val="20"/>
          <w:szCs w:val="20"/>
          <w:color w:val="auto"/>
        </w:rPr>
      </w:pPr>
      <w:r>
        <w:rPr>
          <w:rFonts w:ascii="Times New Roman" w:cs="Times New Roman" w:eastAsia="Times New Roman" w:hAnsi="Times New Roman"/>
          <w:sz w:val="14"/>
          <w:szCs w:val="14"/>
          <w:color w:val="auto"/>
        </w:rPr>
        <w:t>Note: Data presented is based on the September 2025 data release.</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these data, as well as the improvement in abnormal lipid profiles observed in prior completed studies, provide support that nomlabofusp increases FXN in patients with FA and that the strategy of FXN replacement has the potential to result in a clinical benefit. Changes observed in skin FXN levels, and clinical outcomes after nomlabofusp administration across diverse participants with FA including individuals with advanced disease, are all directionally consistent and suggest a potential treatment effect.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risk mitigation measures for anaphylaxis already in place such as pre-medicating with antihistamines and supplying epinephrine auto-injectors to study participants, we have introduced a new dosing regimen in which participants initially receive a 5 mg dose followed by a 25 mg dose 1 hour later under observation. Nomlabofusp 25 mg is then administered once daily through Day 30 and then the dose is increased to 50 mg once daily.</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amended the open label extension (“OLE”) study protocol to include adolescent and adult patients who have not previously participated in a prior nomlabofusp study and the study is now being referred to as the open label (“OL”) study. We are also making plans to enroll children (2 to 11 years old) directly into the OL study.</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February 2026, we announced that the FDA granted Breakthrough Therapy Designation to nomlabofusp for the treatment of adults and children with FA. Additionally, following a START pilot program meeting with FDA, we announced continued alignment with the FDA to consider the use of skin FXN concentration as a novel surrogate endpoint reasonably likely to predict clinical benefit to support a planned BLA, seeking accelerated approval. The FDA stated that the adequacy of the safety data base will be a matter of review at the time of the BLA submission, which is targeted for June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market and data exclusivities,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also prevent them from bringing the proprietary rights of third parties to us. In addition, we require confidentiality or service agreements from third parties that receive our confidential information or materials.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March 17, 2026, our intellectual property portfolio was composed of numerous international Patent Cooperation Treaty (“PCT”), foreign, United States non-provisional patent applications, issued United States patents, one EU patent and United States provisional patent applications that we own or co-own, and four issued United States patents and additional non-provisional patent applications in the United States and in certain foreign jurisdictions that we license from academic institutions. The issued patents in the United States and the E.U. licensed by us, which include issued patents covering the composition of matter for nomlabofusp and methods for treating FA, have expiration dates between 2033 and 2040 without taking potential patent term extension into consideration. The international and the United States non-provisional patent applications licensed by us relate to composition of matter and methods of use for nomlabofusp.</w:t>
      </w:r>
    </w:p>
    <w:p>
      <w:pPr>
        <w:spacing w:after="0" w:line="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additional patent applications we own or co-own, which include PCT, foreign and United States non-provisional patent applications, United States patents, and United States provisional patent applications are related to the development of nomlabofusp, including methods of use of nomlabofusp, and to our peptide-delivery platform technology.</w:t>
      </w:r>
    </w:p>
    <w:p>
      <w:pPr>
        <w:spacing w:after="0" w:line="68"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2046, without taking potential patent term adjustment or patent term extension into consideration.</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Nomlabofusp is covered by licensed issued patents (composition of matter and methods of use) in the United States and the E.U., which, if properly maintained, will expire in 2040, excluding any patent term extensions that might be available following the grant of marketing authorizations. We also possess an exclusive license to non-provisional applications in the United States and certain countries outside the United States for nomlabofusp (composition of matter and methods of use). If these patent applications in the United States and other countries result in issued patents, those patents would be expected to expire in 2040. This estimated expiration excludes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8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also use other forms of protection besides patent protection and market and data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nomlabofusp, where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 Agreements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are party to a License Agreement dated November 30, 2016, as amended, with Indiana University (“IU”). Such agreements provide for a transferable, worldwide license to certain patent rights regarding technology used by us with respect to the development of nomlabofusp.</w:t>
      </w:r>
    </w:p>
    <w:p>
      <w:pPr>
        <w:spacing w:after="0" w:line="54"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we will pay IU a royalty of a low single digit percentage of net sales of licensed products depending on whether there is a valid patent covering such products. As additional consideration for this agreement, we are obligated to pay IU certain milestone payments of up to $2.0 million in the aggregate upon the achievement of certain developmental milestones, commencing on the enrollment of the first patient in a Phase 1 clinical trial. We will also pay IU sublicensing fees ranging up to a low double-digit percentage of sublicense consideration depending on our achievement of certain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regulatory milestones as of the time of receipt of the sublicense consideration. We are also obligated to reimburse IU for patent-related expenses. In the event that we dispute the validity of any of the licensed patents, the royalty rate would be tripled during such dispute. We are also obligated to pay to IU a minimum annual royalty of less than $0.1 million per annum starting in the 2020 calendar year for the term of the agreement.</w:t>
      </w:r>
    </w:p>
    <w:p>
      <w:pPr>
        <w:spacing w:after="0" w:line="68"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We were previously a party to License Agreement dated November 30, 2016, with Wake Forest University Health Sciences (“WFUHS”), which licensed certain patent rights regarding technology used by us with respect to the development of nomlabofusp in consideration for an obligation to pay WFUHS a royalty of a low single digit percentage of net sales of licensed products, certain milestones, and certain sublicensing revenue. The WFUHS license expired in December 2025 with the last to expire licensed patent.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 We expect to compete with Biogen’s SKYCLARYS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(omaveloxolone), which was approved for the treatment of FA in adults and adolescents aged 16 and older by the FDA and the European Commission in February 2023 and February 2024, respectively. Other competitors currently developing therapeutics to treat FA include, but are not limited to Design Therapeutics, Lexeo Therapeutics, Neurocrine Biosciences/Voyager Therapeutics, Solid Biosciences and PTC Therapeutics ("PTC"). On August 19, 2025, PTC received a complete response letter and was not approved by the FDA. PTC had a Type C meeting with the FDA in December, 2025 and were advised that an additional study (open label or single arm study with natural history control) would be necessary to support NDA resubmission. Many of our competitors have significantly greater name recognition, longer operating histories and financial, technical manufacturing, marketing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Nomlabofusp is a biologic fusion protein that is produced in E. coli. We have worked with contract manufacturers and research organizations to develop, in accordance with current Good Manufacturing Practices (“cGMP”) a manufacturing process and analytical methods for drug substance and drug product to support clinical trials. We also use third party manufacturers for the clinical packaging, storage and distribution of nomlabofusp. We rely on third parties to store the nomlabofusp master cell bank and working cell bank, each stored at a different location. We continue to advance the manufacturing of nomlabofusp, obtain stability data, and produce drug product for future clinical trials. We are continually trying to optimize our manufacturing process to increase yields, decrease costs and increase reliability in supply chains. We are currently at full scale for the US launch and filing but will need to scale up one more time to have adequate supply for the expansion into other territories.</w:t>
      </w:r>
    </w:p>
    <w:p>
      <w:pPr>
        <w:spacing w:after="0" w:line="8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drug substance which is in frozen liquid form for nomlabofusp is currently manufactured for us by KBI Biopharma, Inc. (“KBI”). We are party to a Master Services Agreement, as amended, with KBI, pursuant to which KBI provides biological development and clinical manufacturing services with respect to nomlabofusp. We are producing a lyophilized version of the drug product from the same KBI drug substance at another supplier. The drug product previously used in our clinical studies has been in a frozen solution dosage form. In February 2025, FDA accepted the data supporting the comparability of a lyophilized drug product to the frozen solution and we are currently integrating the lyophilized formulation into the OL study. The lyophilized drug product is the formulation that we intend for the long-term commercialization of nomlabofusp, if approved. Process performance qualification (PPQ) of the commercial scale drug substance and drug product manufacturing is nearing completion in preparation for the BLA submission and these batches are planned to support the U.S. commercial launch demand, if nomlabofusp is approved.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intend to further scale up our manufacturing process to support potential worldwide commercial demand, if nomlabofusp is approved. We have selected Lonza to support this scale-up effort. We have completed tech transferring and scale-up of the process to Lonza. We are party to a Master Services Agreement with Lonza, pursuant to w</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8"/>
          <w:szCs w:val="18"/>
          <w:color w:val="auto"/>
        </w:rPr>
        <w:t>ich Lonza provides manufacturing services with respect to nomlabofusp. Additional comparability of the drug substance manufactured by Lonza will need to be performed and reviewed by the FDA and other regulatory authorities in order to use the Lonza-manufactured drug substance in clinical and commercial activities.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received concurrence from the FDA that our proposed potency control strategy appears reasonable, pending review of the BLA.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Employees and Compensation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71 full-time employees in the United States, of which 55 are directly engaged in research and development with the rest providing administrative, business, commercial and operations support. None of our employees are represented by a labor organization or under any collective-bargaining arrangements. We consider our employee relations to be good.</w:t>
      </w:r>
    </w:p>
    <w:p>
      <w:pPr>
        <w:spacing w:after="0" w:line="68"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scientific advisors are set forth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8020" w:type="dxa"/>
            <w:vAlign w:val="bottom"/>
            <w:tcBorders>
              <w:bottom w:val="single" w:sz="8" w:color="auto"/>
            </w:tcBorders>
          </w:tcPr>
          <w:p>
            <w:pPr>
              <w:jc w:val="right"/>
              <w:ind w:right="375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r>
      <w:tr>
        <w:trPr>
          <w:trHeight w:val="191"/>
        </w:trPr>
        <w:tc>
          <w:tcPr>
            <w:tcW w:w="2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Marni Joy Falk, MD</w:t>
            </w:r>
          </w:p>
        </w:tc>
        <w:tc>
          <w:tcPr>
            <w:tcW w:w="8340" w:type="dxa"/>
            <w:vAlign w:val="bottom"/>
            <w:gridSpan w:val="3"/>
            <w:shd w:val="clear" w:color="auto" w:fill="CFF0FC"/>
          </w:tcPr>
          <w:p>
            <w:pPr>
              <w:ind w:left="220"/>
              <w:spacing w:after="0" w:line="191" w:lineRule="exact"/>
              <w:rPr>
                <w:sz w:val="20"/>
                <w:szCs w:val="20"/>
                <w:color w:val="auto"/>
              </w:rPr>
            </w:pPr>
            <w:r>
              <w:rPr>
                <w:rFonts w:ascii="Times New Roman" w:cs="Times New Roman" w:eastAsia="Times New Roman" w:hAnsi="Times New Roman"/>
                <w:sz w:val="18"/>
                <w:szCs w:val="18"/>
                <w:color w:val="auto"/>
              </w:rPr>
              <w:t>Executive Director, Mitochondrial Medicine Frontier Program at Children’s Hospital of Philadelphia;</w:t>
            </w:r>
          </w:p>
        </w:tc>
      </w:tr>
      <w:tr>
        <w:trPr>
          <w:trHeight w:val="216"/>
        </w:trPr>
        <w:tc>
          <w:tcPr>
            <w:tcW w:w="2900" w:type="dxa"/>
            <w:vAlign w:val="bottom"/>
            <w:shd w:val="clear" w:color="auto" w:fill="CFF0FC"/>
          </w:tcPr>
          <w:p>
            <w:pPr>
              <w:spacing w:after="0"/>
              <w:rPr>
                <w:sz w:val="18"/>
                <w:szCs w:val="18"/>
                <w:color w:val="auto"/>
              </w:rPr>
            </w:pPr>
          </w:p>
        </w:tc>
        <w:tc>
          <w:tcPr>
            <w:tcW w:w="8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Professor, Department of Human Genetics and Department of Pediatrics, University of Pennsylvania Perelman</w:t>
            </w:r>
          </w:p>
        </w:tc>
      </w:tr>
      <w:tr>
        <w:trPr>
          <w:trHeight w:val="234"/>
        </w:trPr>
        <w:tc>
          <w:tcPr>
            <w:tcW w:w="2900" w:type="dxa"/>
            <w:vAlign w:val="bottom"/>
            <w:shd w:val="clear" w:color="auto" w:fill="CFF0FC"/>
          </w:tcPr>
          <w:p>
            <w:pPr>
              <w:spacing w:after="0"/>
              <w:rPr>
                <w:sz w:val="20"/>
                <w:szCs w:val="20"/>
                <w:color w:val="auto"/>
              </w:rPr>
            </w:pPr>
          </w:p>
        </w:tc>
        <w:tc>
          <w:tcPr>
            <w:tcW w:w="8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School of Medicine</w:t>
            </w: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Giovanni Manfredi, MD, PhD</w:t>
            </w:r>
          </w:p>
        </w:tc>
        <w:tc>
          <w:tcPr>
            <w:tcW w:w="834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Finbar and Marianne Kenny Professor of Clinical and Research Neurology, Weill Cornell Medicine; Professor</w:t>
            </w:r>
          </w:p>
        </w:tc>
      </w:tr>
      <w:tr>
        <w:trPr>
          <w:trHeight w:val="234"/>
        </w:trPr>
        <w:tc>
          <w:tcPr>
            <w:tcW w:w="2900" w:type="dxa"/>
            <w:vAlign w:val="bottom"/>
          </w:tcPr>
          <w:p>
            <w:pPr>
              <w:spacing w:after="0"/>
              <w:rPr>
                <w:sz w:val="20"/>
                <w:szCs w:val="20"/>
                <w:color w:val="auto"/>
              </w:rPr>
            </w:pPr>
          </w:p>
        </w:tc>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Neuroscience, Weil Cornell Medicine</w:t>
            </w:r>
          </w:p>
        </w:tc>
      </w:tr>
      <w:tr>
        <w:trPr>
          <w:trHeight w:val="198"/>
        </w:trPr>
        <w:tc>
          <w:tcPr>
            <w:tcW w:w="2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Jill Ostrem, MD</w:t>
            </w:r>
          </w:p>
        </w:tc>
        <w:tc>
          <w:tcPr>
            <w:tcW w:w="8340" w:type="dxa"/>
            <w:vAlign w:val="bottom"/>
            <w:gridSpan w:val="3"/>
            <w:shd w:val="clear" w:color="auto" w:fill="CFF0FC"/>
          </w:tcPr>
          <w:p>
            <w:pPr>
              <w:ind w:left="220"/>
              <w:spacing w:after="0" w:line="198" w:lineRule="exact"/>
              <w:rPr>
                <w:sz w:val="20"/>
                <w:szCs w:val="20"/>
                <w:color w:val="auto"/>
              </w:rPr>
            </w:pPr>
            <w:r>
              <w:rPr>
                <w:rFonts w:ascii="Times New Roman" w:cs="Times New Roman" w:eastAsia="Times New Roman" w:hAnsi="Times New Roman"/>
                <w:sz w:val="18"/>
                <w:szCs w:val="18"/>
                <w:color w:val="auto"/>
              </w:rPr>
              <w:t>Medical director and division chief of University of California San Francisco (UCSF) Movement Disorders</w:t>
            </w:r>
          </w:p>
        </w:tc>
      </w:tr>
      <w:tr>
        <w:trPr>
          <w:trHeight w:val="234"/>
        </w:trPr>
        <w:tc>
          <w:tcPr>
            <w:tcW w:w="2900" w:type="dxa"/>
            <w:vAlign w:val="bottom"/>
            <w:shd w:val="clear" w:color="auto" w:fill="CFF0FC"/>
          </w:tcPr>
          <w:p>
            <w:pPr>
              <w:spacing w:after="0"/>
              <w:rPr>
                <w:sz w:val="20"/>
                <w:szCs w:val="20"/>
                <w:color w:val="auto"/>
              </w:rPr>
            </w:pPr>
          </w:p>
        </w:tc>
        <w:tc>
          <w:tcPr>
            <w:tcW w:w="8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and Neuromodulation Center. Carlin and Ellen Wiegner Endowed Professor of Neurology.</w:t>
            </w:r>
          </w:p>
        </w:tc>
      </w:tr>
      <w:tr>
        <w:trPr>
          <w:trHeight w:val="648"/>
        </w:trPr>
        <w:tc>
          <w:tcPr>
            <w:tcW w:w="2900" w:type="dxa"/>
            <w:vAlign w:val="bottom"/>
          </w:tcPr>
          <w:p>
            <w:pPr>
              <w:spacing w:after="0"/>
              <w:rPr>
                <w:sz w:val="24"/>
                <w:szCs w:val="24"/>
                <w:color w:val="auto"/>
              </w:rPr>
            </w:pPr>
          </w:p>
        </w:tc>
        <w:tc>
          <w:tcPr>
            <w:tcW w:w="8240" w:type="dxa"/>
            <w:vAlign w:val="bottom"/>
            <w:gridSpan w:val="2"/>
          </w:tcPr>
          <w:p>
            <w:pPr>
              <w:jc w:val="right"/>
              <w:ind w:right="53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tabs>
          <w:tab w:leader="none" w:pos="3100" w:val="left"/>
        </w:tabs>
        <w:rPr>
          <w:sz w:val="20"/>
          <w:szCs w:val="20"/>
          <w:color w:val="auto"/>
        </w:rPr>
      </w:pPr>
      <w:r>
        <w:rPr>
          <w:rFonts w:ascii="Times New Roman" w:cs="Times New Roman" w:eastAsia="Times New Roman" w:hAnsi="Times New Roman"/>
          <w:sz w:val="18"/>
          <w:szCs w:val="18"/>
          <w:color w:val="auto"/>
        </w:rPr>
        <w:t>Mark Payne, MD</w:t>
      </w:r>
      <w:r>
        <w:rPr>
          <w:sz w:val="20"/>
          <w:szCs w:val="20"/>
          <w:color w:val="auto"/>
        </w:rPr>
        <w:tab/>
      </w:r>
      <w:r>
        <w:rPr>
          <w:rFonts w:ascii="Times New Roman" w:cs="Times New Roman" w:eastAsia="Times New Roman" w:hAnsi="Times New Roman"/>
          <w:sz w:val="18"/>
          <w:szCs w:val="18"/>
          <w:color w:val="auto"/>
        </w:rPr>
        <w:t>Professor of Pediatrics, Indiana University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currently lease office and laboratory space, which consists of approximately 8,000 square feet and 4,000 square feet located in Bala Cynwyd, PA and King of Prussia, PA, respectively. On November 24, 2025, we entered into a lease for an additional 7,100 square feet of office space through January 31, 2030 in our Bala Cynwyd PA location and extended the term of all our other Bala Cynwyd space through January 31, 2030. We expect to occupy the additional 7,100 of additional office space when renovations are complete, which is expected to be around April 1, 2026. </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part of the Merger (as defined below) with Zafgen, Inc (“Zafgen”),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code of ethics, other corporate policies and procedures, and the charters of our Audit Committee, Compensation Committee and Nominating and Corporate Governance Committee are available through our website at www.larimartx.com. We intend to post information regarding any amendments to, or waivers from, our code of ethics on our website.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Government Regulation</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drug and biologic products are subject to extensive regulation by the FDA. The Federal Food, Drug, and Cosmetic Act (“FDCA”) and other federal and state statutes and regulations, govern, among other things, the research, development, testing, manufacture, storage, record keeping, approval, labeling, promotion and marketing, distribution, post-approval monitoring and reporting, sampling, and import and export of pharmaceutical products. Biological products used for the prevention, treatment, or cure of a disease or condition of a human being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 w:name="page25"/>
    <w:bookmarkEnd w:id="24"/>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are subject to regulation under the FDCA, with the exception that the section of the FDCA that governs the approval of drugs via new drug applications (“NDAs”), does not apply to the approval of biologics. In contrast, biologics are approved for marketing under provisions of the Public Health Service Act (“PHS Act”), via a Biologics License Application (“BLA”). However, the application process and requirements for approval of BLAs are very similar to those for NDAs. FDA approval or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Process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 product may be marketed in the United States generally involves the following:</w:t>
      </w:r>
    </w:p>
    <w:p>
      <w:pPr>
        <w:spacing w:after="0" w:line="117" w:lineRule="exact"/>
        <w:rPr>
          <w:sz w:val="20"/>
          <w:szCs w:val="20"/>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(“GLPs”),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clinical trial material in accordance with cGMPs;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w:t>
      </w:r>
    </w:p>
    <w:p>
      <w:pPr>
        <w:spacing w:after="0" w:line="6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BLA for marketing approval that includes evidence of safety, purity, potency, and efficacy from results of non-clinical testing and clinical trials;</w:t>
      </w:r>
    </w:p>
    <w:p>
      <w:pPr>
        <w:spacing w:after="0" w:line="5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prior to NDA or BLA approval of the manufacturing facility or facilities where the drug or biological product is produced to assess compliance with cGMPs, to assure that the facilities, methods and controls are adequate to preserve the biological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audits of the non-clinical and clinical study sites that generated the data in support of the NDA or BLA and of the application sponsor’s oversight of the studies and sites;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and including a vote by external committee members;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NDA or BLA, and payment of associated user fees, when applicable;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 approval requirements, including the potential requirement to implement a Risk Evaluation and Mitigation Strategies (“REMS”) and the potential requirement to conduct post approval studies.</w:t>
      </w:r>
    </w:p>
    <w:p>
      <w:pPr>
        <w:spacing w:after="0" w:line="5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enters the non-clinical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places the clinical trial on a clinical hold within that 30-day time period. In such a case, the IND sponsor must resolve any deficiencies to the satisfaction of the FDA, and the FDA must lift the clinical hold before the clinical trial can begin. The FDA may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ind w:left="900" w:right="140" w:hanging="383"/>
        <w:spacing w:after="0" w:line="28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drug or biological product is initially introduced into healthy human subjects and tested for safety. In the case of some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rare diseases, the initial human testing is often conducted in patients.</w:t>
      </w:r>
    </w:p>
    <w:p>
      <w:pPr>
        <w:spacing w:after="0" w:line="46" w:lineRule="exact"/>
        <w:rPr>
          <w:rFonts w:ascii="Times New Roman" w:cs="Times New Roman" w:eastAsia="Times New Roman" w:hAnsi="Times New Roman"/>
          <w:sz w:val="18"/>
          <w:szCs w:val="18"/>
          <w:color w:val="auto"/>
        </w:rPr>
      </w:pPr>
    </w:p>
    <w:p>
      <w:pPr>
        <w:ind w:left="900" w:right="140" w:hanging="383"/>
        <w:spacing w:after="0" w:line="268"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drug or biological product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color w:val="auto"/>
        </w:rPr>
      </w:pPr>
    </w:p>
    <w:p>
      <w:pPr>
        <w:ind w:left="900" w:right="40" w:hanging="383"/>
        <w:spacing w:after="0" w:line="254"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potency and safety in an expanded patient population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geographically dispersed clinical trial sites. These clinical trials are intended to establish the overall risk/benefit ratio of the product and provide an adequate basis for product labeling. In most cases, the FDA requires two adequate and well-controlled Phase 3 clinical trials to demonstrate the safety and efficacy of the drug or biologic.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confirmatory evidence. In drugs and biologics for rare diseases where patient populations are small, Phase 3 trials might not be required if substantial evidence of effectiveness and an acceptable risk/benefit profile can be demonstrated from Phase 2 trials.</w:t>
      </w:r>
    </w:p>
    <w:p>
      <w:pPr>
        <w:spacing w:after="0" w:line="84"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An OL study may also be conducted. An OL study typically enrolls participants from previous clinical trials or patients who would otherwise not qualify for other clinical studies such as a Phase 3 study and is designed to gather the long-term safety and tolerability data on a potential new medicine beyond the time period of the original studies.</w:t>
      </w:r>
    </w:p>
    <w:p>
      <w:pPr>
        <w:spacing w:after="0" w:line="68"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 In certain instances, the FDA may mandate the performance of Phase 4 clinical trials as a condition of approval of an NDA or BLA.</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2" w:lineRule="exact"/>
        <w:rPr>
          <w:sz w:val="20"/>
          <w:szCs w:val="20"/>
          <w:color w:val="auto"/>
        </w:rPr>
      </w:pPr>
    </w:p>
    <w:p>
      <w:pPr>
        <w:ind w:right="260" w:firstLine="509"/>
        <w:spacing w:after="0" w:line="274" w:lineRule="auto"/>
        <w:rPr>
          <w:sz w:val="20"/>
          <w:szCs w:val="20"/>
          <w:color w:val="auto"/>
        </w:rPr>
      </w:pPr>
      <w:r>
        <w:rPr>
          <w:rFonts w:ascii="Times New Roman" w:cs="Times New Roman" w:eastAsia="Times New Roman" w:hAnsi="Times New Roman"/>
          <w:sz w:val="17"/>
          <w:szCs w:val="17"/>
          <w:color w:val="auto"/>
        </w:rPr>
        <w:t>Information about certain clinical trials must be submitted within specific timeframes to the NIH for public dissemination on its clinicaltrials.gov website.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public notifications of noncompliance, civil monetary penalties, and also prevent the non-compliant party from receiving future grant funds from the federal government.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Processes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as amended (“PDUFA”), each NDA or BLA may be accompanied by a significant application fee. The applicant for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an NDA or BLA submitted to determine if it is substantially complete before the agency files it.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files it. Once the submission is filed, the FDA begins an in-depth substantive review of the NDA or BLA. The FDA reviews the NDA or BLA to determine, among other things, whether the proposed product is safe and effective (for drugs) or safe, potent, and effective (for biologics), for its intended use, and has an acceptable purity profile, and whether the product is being manufactured in accordance with cGMPs to assure and preserve the product’s identity, safety, strength, quality, potency and purity. One of the performance goals agreed to by the FDA under the PDUFA is to review standard NDAs or BLAs in ten months from filing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priority NDAs or BLAs in six months from filing, whereupon a review decision is to be made. The review process may be extended by three months if the FDA classifies a response to an FDA request for additional information or clarification as a major amendment.</w:t>
      </w:r>
    </w:p>
    <w:p>
      <w:pPr>
        <w:spacing w:after="0" w:line="5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review, the FDA will also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Before approving an NDA or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and may inspect the sponsor to ensure appropriate oversight and documentation related to the clinical trials. To assure cGMP and GCP compliance, an applicant must incur significant expenditure of time, money and effort in the areas of training, record keeping, production, and quality control.</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 In September 2025, the FDA began publishing complete response letters soon after issuing them to the respective sponsors, breaking with long standing agency tradition of publishing complete response letters with approval documentation after the product is approved.</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Following approval, the manufacturing facilities are subject to periodic inspections by the FDA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products, include reporting of cGMP deviations that may affect the identity, potency, purity and overall safety of a distributed product, registration and listing, record-keeping requirements, reporting of adverse events, reporting updated safety and efficacy information, and complying with electronic record and signature requirements. In addition, the Drug Supply Chain Security Act, or DSCSA, was enacted in 2013 with the aim of building an electronic system to identify and trace certain prescription drugs and biologics distributed in the United States. The stabilization period for building and validating interoperable electronic tracing systems has ended and trading partners who have not achieved compliance with these requirements must secure an exemption from the FDA.</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products with approved REMS, manufacturers must submit periodic assessment reports to the FDA to demonstrate that the goals of the REMS are being met. FDA reviews the REMS assessment reports, determines if the REMS assessment report is complete, if the REMS is meeting its goals, and if the REMS goals, elements, tools or assessment plan should be modified.</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Manufacturers must also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8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Additionally, new learnings related to the safety profile of a product that occur post-approval, whether from post-marketing reports or ongoing clinical research, may prompt label updates and revisions, including to modify or add safety or risk information. For products approved without a boxed warning, serious safety risks discovered post-approval could lead to the addition of a boxed warning on approved product labeling.</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(“ODD”) to a drug or biologic product intended to treat a rare disease or condition, which is generally a disease or condition that affects fewer than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drug or biological product for the same approved use or indication for seven years, except in limited circumstances, such as showing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approved use or indication or the same product for a different approved use or indication but that could be used off-label in the orphan indication. Orphan drug exclusivity also could block the approval of a product for seven years if a competitor obtains approval first for the same product as defined by the FDA for the same approved use or indication, or if the second product is determined to be encompassed within the competitor’s scope of exclusivity. If a company pursues marketing approval for an indication broader than the orphan drug designation it has received, it may not be entitled to orphan drug exclusivity.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Review and Approval Programs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may give a priority review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drug and biological products studied for their safety and effectiveness in treating serious or life-threatening illnesses and that provide meaningful therapeutic benefit over existing treatments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with due diligence to verify and describe the predicted effect on irreversible morbidity or mortality or other clinical endpoint, and the drug or biological product may be subject to accelerated withdrawal procedures.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FDA is authorized to require a post-approval study to be underway prior to approval or within a specified time period following approval and the FDA is required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The FDA may use expedited procedures to withdraw approval of a drug or biologic or indication approved under accelerated approval if, for example, the confirmatory trial fails to verify the predicted clinical benefit of the product. The FDA may initiate enforcement actions for the failure to conduct with due diligence a required post-approval study, including a failure to meet any required conditions specified by the FDA or to submit timely reports. In addition, the FDA generally requires, unless otherwise informed by the agency, pre-approval of promotional materials, which could adversely impact the timing of the commercial launch of the product.</w:t>
      </w:r>
    </w:p>
    <w:p>
      <w:pPr>
        <w:spacing w:after="0" w:line="80"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Moreover,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w:t>
      </w:r>
    </w:p>
    <w:p>
      <w:pPr>
        <w:spacing w:after="0" w:line="6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Pediatric Disease Vouchers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Rare Pediatric Disease Voucher Program is intended to encourage development of new drug and biological products for prevention and treatment of certain rare pediatric diseases. Although there are existing incentive programs to encourage the development and study of drugs and biologics for rare diseases, pediatric populations, and unmet medical needs, this program provides an additional incentive for the development of drugs and biologics for rare pediatric diseases, which may be used alone or in combination with other incentive programs. A rare pediatric disease is defined as a disease that is a serious or life-threatening disease in which the serious or life-threatening manifestations primarily affect individuals aged from birth to 18 years, including age groups often called neonates, infants, children, and adolescents; and is a rare disease or condition as defined in the FDCA, which includes diseases and conditions that affect fewer than 200,000 persons in the United States and diseases and conditions that affect a larger number of persons and for which there is no reasonable expectation that the costs of developing and making available the product in the United States can be recovered from sales of the product in the United States.</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sponsor of an application for a drug product that obtains rare pediatric disease designation may be eligible for a voucher that can be used or sold to obtain a priority review for a subsequent application submitted under section 505(b)(1) of the FDCA or section 351 of the PHS Act. A rare pediatric disease drug product must meet certain eligibility requirements for a priority voucher at the time the sponsor seeks approval. On February 3, 2026, the FDA's priority voucher program which was set to expire on September 30, 2026 was extended through September 30, 2029.</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Pediatric Information and Pediatric Exclusivity</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Best Pharmaceuticals for Children Act (“BPCA”), a drug or biologic product can also obtain pediatric market exclusivity in the United States. Pediatric exclusivity, if granted, adds six months to existing exclusivity periods for all formulations, dosage forms, and indications of the active moiety and to patent terms for drugs; for biologic products, pediatric exclusivity adds six months only to exclusivity periods for all formulations, dosage forms, and indications. This six-month exclusivity, may be granted based on the voluntary completion of a pediatric study in accordance with an FDA-issued “Written Request” for such a study, provided that at the time pediatric exclusivity is granted there is not less than nine months of term of the patent or exclusivity remaining at the time of approval.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Biosimilars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that are demonstrated to be “biosimilar” or “interchangeable” with an FDA-licensed reference biological product. Biosimilarity requires that the proposed biological product be highly similar to the reference product not withstanding minor differences in clinically inactive components; that there be no differences in route of administration, dosage form, and strength; and that no clinically meaningful differences between the product and the reference product in terms of safety, purity, and potency as shown through analytical studies and animal studies with the possibility of a clinical trial or trials. In order to meet the higher hurdle of interchangeability, a sponsor must demonstrate that the biosimilar product can be expected to produce the same clinical results as the reference product, and for a product that is administered more than once, that the safety and efficacy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BPCIA, a reference biologic is granted 12 years of exclusivity from the time of first licensure or BLA approval, of the reference product during which FDA cannot approve an application for a biosimilar or interchangeable product relying on the reference product. Additionally, no application for a biosimilar can be submitted for four years from the date of licensure of the reference product. During the 12-year period of exclusivity, another company may still market a competing version of the reference product if the FDA approves a BLA for the competing product that does not rely on the reference product; the BLA must be based on the sponsor’s own preclinical data and data from adequate and well-controlled clinical trials to demonstrate the safety, purity, and potency of the other company’s product. Finally, the first biologic product submitted under the biosimilar abbreviated approval pathway that is determined to be interchangeable with the reference product may obtain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 is approved if a patent lawsuit is ongoing within the 42-month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Regulation Outside of the United States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made to the national competent authority and an independent ethics committee in each country in which we intend to conduct clinical trials, much like the FDA and IRB, respectively. Under the Clinical Trials Regulation (EU) No 536/2014, which replaced the Clinical Trials Directive 2001/20/EC on January 31, 2022, a single application is now made through the Clinical Trials Information System (“CTIS”), for clinical trial authorization in up to 30 European Union/European Economic Area countries at the same time and with a single set of documentation.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 w:name="page33"/>
    <w:bookmarkEnd w:id="32"/>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Reporting Member State. Part II is assessed separately by each Member State concerned. The role of the relevant ethics committees in the assessment procedure is governed by the national law of the Member State concerned, however overall related timelines are defined by the Clinical Trials Regulation. The Clinical Trials Regulation also provides for simplified reporting procedures for clinical trial sponsors.</w:t>
      </w:r>
    </w:p>
    <w:p>
      <w:pPr>
        <w:spacing w:after="0" w:line="79"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7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To obtain regulatory approval of a product under the European Union's regulatory system, we are required to submit a marketing authorization application (“MAA”), to be assessed through the centralized procedure or, as applicable, national, decentralized or mutual recognition procedures. The centralized procedure allows applicants to obtain a marketing authorization (“MA”) that is valid throughout the European Union and the additional countries of the European Economic Area (Iceland, Liechtenstein and Norway) (“EEA”). It is compulsory for medicinal products manufactured using biotechnological processes, for orphan medicinal products, for advanced therapy medicinal products (gene-therapy, somatic cell-therapy or tissue-engineered medicines) and for medicinal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public health at the European Union level.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 requirements, and whether the product has a positive risk/benefit profile.</w:t>
      </w:r>
    </w:p>
    <w:p>
      <w:pPr>
        <w:spacing w:after="0" w:line="7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time limit for the evaluation procedure by the CHMP is 210 days (excluding clock stops, when additional written or oral information is to be provided by the applicant in response to questions asked by the CHMP). The EMA then has fifteen days to forward the CHMP opinion to the European Commission, which will make a binding decision on the grant of an MA within 67 days of the receipt of the CHMP opinion.</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are two other procedures in the European Union for the grant of an MA in multiple European Union Member States, where a product does not fall within the mandatory scope of the centralized procedure. If a product has already been authorized for marketing in a European Union Member State, this national MA can be recognized in another European Union Member State through the mutual recognition procedure. If the product has not received a national MA in any European Union Member State at the time of application, it can be approved simultaneously in various Member States through the decentralized procedure.</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European Union,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such conditions have been fulfilled, the conditional MA can be converted into a traditional MA. However, if the conditions are not fulfilled within the timeframe set by the EMA and approved by the European Commission, the MA will cease to be renewed.</w:t>
      </w:r>
    </w:p>
    <w:p>
      <w:pPr>
        <w:spacing w:after="0" w:line="84" w:lineRule="exact"/>
        <w:rPr>
          <w:sz w:val="20"/>
          <w:szCs w:val="20"/>
          <w:color w:val="auto"/>
        </w:rPr>
      </w:pPr>
    </w:p>
    <w:p>
      <w:pPr>
        <w:jc w:val="both"/>
        <w:ind w:right="220" w:firstLine="576"/>
        <w:spacing w:after="0" w:line="266"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79"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Regulation (EC) No. 141/2000 provides that a medicinal product may be designated as an orphan medicinal product by the European Commission, following an opinion of the EMA's Committee for Orphan Medicinal Products, if its sponsor can establish that it is intended for the diagnosis, prevention, or treatment of a life-threatening or chronically debilitating condition that affects not more than 5 in 10,000 persons in the European Union when the application is made. In addition, orphan designation can be granted if the product is intended for a life-threatening, seriously debilitating or serious and chronic condition in the European Union and where, without the incentives derived from orphan designation, it is unlikely that sales of the product in the European Union would be sufficient to justify the necessary investment in its development. Orphan designation is only available if there is no other satisfactory method authorized for marketing in the European Union for diagnosing, preventing or treating the condition, or if such a method exists, the proposed orphan product will be of significant benefit to patients over the existing options. We have obtained orphan designation in the European Union for nomlabofusp.</w:t>
      </w:r>
    </w:p>
    <w:p>
      <w:pPr>
        <w:spacing w:after="0" w:line="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Orphan designation provides opportunities for fee reductions, protocol assistance and access to the centralized procedure in the European Union. Small and medium enterprises are typically eligible for the most significant fee reductions. In addition, if a product which has an orphan designation subsequently receives a centralized MA for the indication for which it has such designation, the product is entitled to orphan market exclusivity, which means the regulatory authorities in the European Union may not approve any other application to market a “similar medicinal product” for the same indication as the authorized orphan product for a period of 10 years from authorization of the orphan product (subject to certain exceptions).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determined that the designation criteria are no longer met, including where it is shown that the product is sufficiently profitable not to justify maintenance of market exclusivity. Additionally, an MA may be granted to a similar medicinal product for the same indication as an authorized orphan product if:</w:t>
      </w:r>
    </w:p>
    <w:p>
      <w:pPr>
        <w:spacing w:after="0" w:line="80" w:lineRule="exact"/>
        <w:rPr>
          <w:sz w:val="20"/>
          <w:szCs w:val="20"/>
          <w:color w:val="auto"/>
        </w:rPr>
      </w:pPr>
    </w:p>
    <w:p>
      <w:pPr>
        <w:ind w:left="900" w:right="4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to the authorized orphan product,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orphan product consents to a second medicinal product application;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orphan product cannot supply sufficient quantities of the orphan medicinal product.</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EMA offers a scheme to facilitate development of product candidates in indications, often rare, for which few or no therapies currently exist. The PRIority MEdicines, or PRIME, scheme is intended to encourage drug development in areas of unmet medical need and to reinforce early dialogue with, and regulatory support from, the EMA in order to stimulate innovation, optimize development and support accelerated assessment, where eligible, of such product candidates. It is intended to build upon the scientific advice scheme and accelerated assessment procedure offered by the EMA. The scheme is voluntary and eligibility criteria must be met for a medicine to qualify for PRIME.</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enterprises) may submit an eligibility request at an earlier stage of development if compelling non-clinical data in a relevant model provide early evidence of promising activity to establish proof of principle, and first in man studies indicate adequate exposure for the desired pharmacotherapeutic effects and tolerability.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the EMA:</w:t>
      </w:r>
    </w:p>
    <w:p>
      <w:pPr>
        <w:spacing w:after="0" w:line="117" w:lineRule="exact"/>
        <w:rPr>
          <w:sz w:val="20"/>
          <w:szCs w:val="20"/>
          <w:color w:val="auto"/>
        </w:rPr>
      </w:pPr>
    </w:p>
    <w:p>
      <w:pPr>
        <w:ind w:left="900" w:right="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Committee for Advanced Therapies (“CAT”) to provide continuous support and to build up knowledge of the medicine in advance of the filing of an MAA;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 Provides a dedicated EMA contact person; and</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4"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3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must include either the results of studies conducted in compliance with an agreed PIP or evidence of a waiver or deferral, as applicable. This requirement also applies when a marketing authorization holder seeks to add a new indication, pharmaceutical form or route of administration for a medicine that is already authorized. Several rewards and incentives for the development of pediatric medicines are available in the EU. Medicines with the results of studies from an agreed PIP appropriately reflected in the product information are eligible for a six-month extension of their supplementary protection certificate (“SPC”), provided the applicable requirements are met and the extension request is filed within the applicable deadlines (including, for SPCs already granted, generally no later than two years before SPC expiry). This is the case even when the studies’ results are negative. For orphan medicines, this may extend the orphan market exclusivity period by an additional two years. Certain pediatric regulatory procedures (including PDCO assessments of PIPs, waivers, deferrals and compliance) are free of charge.</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aforementioned European Union rules are generally applicable in the EEA.</w:t>
      </w:r>
    </w:p>
    <w:p>
      <w:pPr>
        <w:spacing w:after="0" w:line="11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European Union for all medicines (including those for rare diseases and for children). In April 2024, the European Parliament adopted its position on the legislative proposals and, in June 2024, the Council of the European Union adopted its position. A common position on the text has been agreed upon on December 11, 2024, in the context of subsequent inter-institutional trilogue negotiations. The proposed revisions remain to be adopted, and are not expected to become applicable before 2028.</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Following Brexit the UK is not generally subject to EU laws in respect of medicines. EU laws that have been transposed into UK law through secondary legislation remain applicable in the UK, however new EU legislation is not applicable in the UK. As of January 1, 2021, the Medicines and Healthcare products Regulatory Agency (“MHRA”) became the UK's standalone medicines and medical devices regulator. On January 1, 2025, a new arrangement called the “Windsor Framework” came into effect and reintegrated Northern Ireland under the regulatory authority of the MHRA with respect to the regulation of medicinal products. The Windsor Framework removes EU licensing processes and EU labeling and serialization requirements relation to and introduces a UK-wide licensing process for medicines. A single UK-wide MA is granted by the MHRA for all novel medicinal products to be sold in the UK, enabling products to be sold in a single pack and under a single authorization throughout the UK. In addition, the new arrangements require all medicines placed on the UK market to be labeled “UK only” indicating they are not for sale in the EU.</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a new international recognition framework came into effect in the UK under which the MHRA may have regard to decisions on the approval of MAs made by the EMA and certain other regulators when determining an application for a new UK MA.</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is no pre-marketing authorization orphan designation in the UK. Instead, the MHRA will review applications for orphan designation in parallel to the corresponding MA application. The criteria are essentially the same, but have been tailored for the UK market, i.e. the prevalence of the condition in the UK (rather than the EU) must not be more than 5 in 10,000. Should an orphan designation be granted, the period of market exclusivity will be set from the date of first approval of the product in the UK.</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2024, we received access to the MHRA’s Innovative Licensing and Access Pathway (“ILAP”) for the treatment of adults and children with FA. This Scheme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Healthcare Laws and Regulations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to a substantial degree. Factors payors consider in determining reimbursement are based on whether the product is a covered benefit under its health plan; safe, effective and medically necessary; appropriate for the specific patient; cost-effective; and neither experimental nor investigational. Increasingly, third-party payors are requiring that drug companies provide them with predetermined discounts from list prices and are challenging the prices charged for medical products.</w:t>
      </w:r>
    </w:p>
    <w:p>
      <w:pPr>
        <w:spacing w:after="0" w:line="8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We cannot be sure that reimbursement will be available for any of our product candidates that we commercialize and, if reimbursement is available, the level of reimbursement.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In the U.S., the healthcare laws and regulations that may affect our ability to operate include the following:</w:t>
      </w:r>
    </w:p>
    <w:p>
      <w:pPr>
        <w:spacing w:after="0" w:line="68" w:lineRule="exact"/>
        <w:rPr>
          <w:sz w:val="20"/>
          <w:szCs w:val="20"/>
          <w:color w:val="auto"/>
        </w:rPr>
      </w:pPr>
    </w:p>
    <w:p>
      <w:pPr>
        <w:ind w:left="900" w:right="160" w:hanging="383"/>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knowingly and willfully, directly or indirectly, soliciting, receiving, offering, or paying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71"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w:t>
      </w:r>
    </w:p>
    <w:p>
      <w:pPr>
        <w:spacing w:after="0" w:line="67" w:lineRule="exact"/>
        <w:rPr>
          <w:rFonts w:ascii="Times New Roman" w:cs="Times New Roman" w:eastAsia="Times New Roman" w:hAnsi="Times New Roman"/>
          <w:sz w:val="18"/>
          <w:szCs w:val="18"/>
          <w:color w:val="auto"/>
        </w:rPr>
      </w:pPr>
    </w:p>
    <w:p>
      <w:pPr>
        <w:ind w:left="900" w:right="120" w:hanging="383"/>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The ACA amended the federal Anti-Kickback Statute such that a violation of that statute can serve as a basis for liability under the federal civil False Claims Act;</w:t>
      </w:r>
    </w:p>
    <w:p>
      <w:pPr>
        <w:spacing w:after="0" w:line="71" w:lineRule="exact"/>
        <w:rPr>
          <w:rFonts w:ascii="Times New Roman" w:cs="Times New Roman" w:eastAsia="Times New Roman" w:hAnsi="Times New Roman"/>
          <w:sz w:val="18"/>
          <w:szCs w:val="18"/>
          <w:color w:val="auto"/>
        </w:rPr>
      </w:pPr>
    </w:p>
    <w:p>
      <w:pPr>
        <w:ind w:left="900" w:right="260" w:hanging="383"/>
        <w:spacing w:after="0" w:line="261"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1"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implementing regulations, impose obligations on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900" w:right="60" w:hanging="383"/>
        <w:spacing w:after="0" w:line="254"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enacted as part of the ACA, and its implementing regulations requires certain manufacturers of approved drugs, devices, biologics and medical supplies for which payment is available under Medicare, Medicaid or the Children’s Health Insurance Program, with specific exceptions, to collect and report annually to the Centers for Medicare and Medicaid Services, the agency that administers the Medicare and Medicaid programs (“CMS”) information related to payments or other transfers of value made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and</w:t>
      </w:r>
    </w:p>
    <w:p>
      <w:pPr>
        <w:spacing w:after="0" w:line="8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Certain states and local jurisdictions also require the registration of pharmaceutical sales representatives. Further, certain states require the posting of information relating to clinical studies and their outcomes. A growing number of states require the reporting of certain drug pricing information, including information pertaining to and justifying price increases and the price set for newly launched drugs, or to prohibit prescription drug price gouging. We may also be subject to state and foreign laws governing the privacy and security of health information, many of which differ from each other in significant ways and often are not preempted by HIPAA.</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At the state level, numerous states have or are in the process of enacting or considering comprehensive state-level data privacy and security laws, rules and regulations while other states have focused on more narrow aspects of privacy. In the state of Washington, for example, the My Health My Data Act will require regulated entities to obtain consent to collect health information, grant consumers certain rights, including to request deletion of their information, and provide for robust enforcement mechanisms, including enforcement by the Washington state attorney-general and a private right of action for consumer claims. Other states have also enacted, proposed, or are considering proposing, data privacy laws, which could further complicate compliance efforts, increase our potential liability and adversely affect our business. Additionally, to the extent that our product is sold in a foreign country, we may be subject to similar foreign laws, such as the EU General Data Protection Regulation ("EU GDPR"), the UK General Data Protection Regulation ("UK GDPR"), Canada’s Personal Information Protection and Electronic Documents Act, and Australia’s Privacy Act, and any other applicable country, state and/or territory health privacy legislation and regulation.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CMS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although private payors have their own methods and approval process apart from Medicare determinations, any reduction in reimbursement that results from federal legislation or regulation may result in a similar reduction in payments from private payors.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Affordable Care Act substantially changed the way healthcare is financed by both governmental and private insurers, included provisions that affected the pharmaceutical industry. Among other things, the Affordable Care Act expanded manufacturers’ rebate liability under the Medicaid Drug Rebate Program, expanded the 340B program, and increased the amount of Medicaid drug rebates manufacturers are required to pay to states. Since that time, there have been multiple healthcare reform measures, including the Inflation Reduction Act of 2022 (“IRA”)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small molecule drugs) can be selected by CMS for negotiation, with the negotiated price taking effect two years after the selection year. To date, CMS has selected and negotiated prices for 25 Medicare Part D drugs for the initial years 2026 and 2027. For 2028, an additional 15 drugs, which may be covered under either Medicare Part B or Part D, will be selected, and for 2029 and subsequent years, 20 Part B or Part D drugs will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selected. A drug or biological product that has one or more orphan drug designations will be excluded from the IRA’s price negotiation requirements, but will lose that exclusion if it receives approvals from FDA for an indication that is not for a rare disease or condition. The IRA also imposes rebates on Medicare Part B and Part D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w:t>
      </w:r>
    </w:p>
    <w:p>
      <w:pPr>
        <w:spacing w:after="0" w:line="8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 addition, on July 4, 2025, Public Law 119-21 became effective and imposes significant reductions in Medicaid funding, additional work requirements for Medicaid recipients, and more frequent reenrollment requirements, which are expected to place substantial pressure on state Medicaid budgets, reduce enrollment, and limit covered services, which could decrease utilization of, and reimbursement for, prescription drug products.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costs of prescription drug products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May 12, 2025, the President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 federal, state and foreign healthcare reform measures may be adopted in the future, any of which could limit the amounts that federal and state governments will pay for healthcare products and services, which could result in limited coverage and reimbursement and reduced demand for prescription drug products, once approved, or additional pricing pressures.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 Analysis of Financial Condition and Results of Operation.” If any of the following risks occur, our business, financial condition and results of operations 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incur continued losses for the foreseeable future.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the development of nomlabofusp. We have incurred significant losses in each year of operation since our inception in 2016. For the years ended December 31, 2025 and 2024, we had net losses of $165.7 million and $80.6 million, respectively, and, as of December 31, 2025, we had an accumulated deficit of $434.8 million and we expect to continue to incur significant expenses and net operating losses (“NOLs”) for the foreseeable future.</w:t>
      </w:r>
    </w:p>
    <w:p>
      <w:pPr>
        <w:spacing w:after="0" w:line="7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nomlabofusp.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expenses will increase substantially if and as we:</w:t>
      </w:r>
    </w:p>
    <w:p>
      <w:pPr>
        <w:spacing w:after="0" w:line="117"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development efforts for nomlabofusp;</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in the United States and in foreign jurisdictions for our product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and other commercial infrastructure to commercialize various products for which we may obtain marketing approval,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for the manufacture of larger quantities of product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hire and retain additional personnel, such as clinical, manufacturing, quality control, regulatory and finance personnel;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117"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sales, marketing or medical affairs infrastructure and have no experience in the sales, marketing, or distribution of pharmaceutical products. Assuming nomlabofusp ultimately is approved for marketing in the US and elsewhere, we will need to establish commercial capabilities as well as customer service and support, logistics, and other related functions, or make arrangements with third parties to perform these services.</w:t>
      </w:r>
    </w:p>
    <w:p>
      <w:pPr>
        <w:spacing w:after="0" w:line="7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Net losses and negative cash flows have had, and will continue to have, an adverse effect on our liquidity and potentially the ability for us to raise capital due to our unfavorable operating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commercial revenue and may never become profitable.</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commercial revenue. Our ability to generate revenue and become profitable depends upon our ability to obtain regulatory approval for, and to successfully commercialize, nomlabofusp or other product candidates that we may develop, in-license or acquire in the future.</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This will require success in a range of challenging activities, including completing numerous clinical trials of nomlabofusp or any future product candidates, obtaining marketing approval for nomlabofusp and any future product candidates, manufacturing, marketing and selling those products for which we, or any future collaborators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 partners, may obtain marketing approval, satisfying any post-marketing requirements and obtaining reimbursement for our products from private insurance and/or government payors. Even if we are able to successfully achieve the above, we do not know what the reimbursement status of nomlabofusp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nomlabofusp and any future product candidates.</w:t>
      </w:r>
    </w:p>
    <w:p>
      <w:pPr>
        <w:spacing w:after="0" w:line="7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ability to generate revenue from nomlabofusp or any future product candidates also depends on a number of additional factors, including our ability to:</w:t>
      </w:r>
    </w:p>
    <w:p>
      <w:pPr>
        <w:spacing w:after="0" w:line="54"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non-clinical studies and planned clinical trials for our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BLAs to the FDA and MAAs to the EMA and obtain regulatory approval for indications for which there is a commercial market;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other foreign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any approved products in commercial quantities and on commercially reasonable terms;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or find suitable partners, to market, sell and distribute approved products in the markets in which we have retained commercialization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among patients, clinicians and advocacy groups for any products we develop;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payors;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any products for which we may receive approval.</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nomlabofusp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80"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p>
    <w:p>
      <w:pPr>
        <w:spacing w:after="0" w:line="6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our existing cash, cash equivalents and marketable securities were $136.9 million. Together with the $107.6 million in net proceeds from our recently completed February 2026 public offering, we expect this will fund operations into the second quarter of 2027.</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spend substantial and increasing amounts to conduct clinical trials of nomlabofusp and further research and development activities for nomlabofusp, and for any additional product candidates that we may develop, in-license or acquire in the future. In addition, raising funds in the current economic environment may present substantial challenges, for example, any sustained disruption in the capital markets from adverse macroeconomic conditions, such as the disruption and uncertainty caused by inflationary pressures, rising interest rates, banking instability, monetary policy changes, changes in trade policies, (including tariffs or other trade protection measures that have been or may in the future be imposed by the U.S. or other countries), economic slowdowns or recessions, could negatively impact our ability to raise capital and we cannot predict the extent or duration of such macroeconomic disruptions. Additionally our expenses will increase as we expand, through development, in-license or acquisition, our pipeline of product candidates. If we obtain marketing approval for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product candidates, we will likely incur significant commercialization expenses related to product sales, marketing, manufacturing and distribution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such sales, marketing, manufacturing and distribution are not the responsibility of a future collaborator. Accordingly, we will need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additional funding in connection with our continuing operations. Our current cash, cash equivalents and marketable securities augmented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$107.6 million of net proceeds from our February 2026 public offering of our common stock may not be sufficient to completely fund all of the efforts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undertake or to fund the completion of the development and commercialization of nomlabofusp. Accordingly, we may be required to obtain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funding through public or private equity offerings, debt financings, collaborations and licensing arrangements or other sources. The incurrence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would result in increased fixed payment obligations and we may be required to agree to certain restrictive covenants, such as limitations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incur additional debt, limitations on our ability to acquire, sell or license intellectual property rights and other operating restrictions that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impact our ability to conduct our business. Any additional fundraising efforts may divert our management from their day-to-day activities,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adversely affect our ability to develop and commercialize our product candidates.</w:t>
      </w:r>
    </w:p>
    <w:p>
      <w:pPr>
        <w:spacing w:after="0" w:line="9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additional capital is needed to complete the development and commercialization of nomlabofusp, 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financial condition and prospects. In addition, geopolitical tension including, for example, the broader impact of the current conflict between the United States, the ongoing conflicts between Russia and Ukraine and the continuing conflict in the Middle East (including any further escalation or expansion), and the impact of a future pandemic, epidemic or outbreak of an infectious disease or liquidity constraints, failures and instability in U.S. and international financial banking systems on the global financial markets may reduce our ability to access capital, which could negatively affect our liquidity.</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additional capital is needed to complete the development and commercialization of nomlabofusp, and 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nomlabofusp or other product candidates that we may develop, in-license or acquire in the future.</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strategic partnerships and alliances and licensing arrangements with third parties, we may have to relinquish valuable rights, including future revenue streams, to nomlabofusp or other product candidates that we may develop, in-license or acquire in the future, or grant licenses on terms that are not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NOLs and certain other tax attributes may be limited.</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2025 we had NOL carryforwards that expire for U.S. federal income tax purposes of </w:t>
      </w:r>
      <w:r>
        <w:rPr>
          <w:rFonts w:ascii="Times New Roman" w:cs="Times New Roman" w:eastAsia="Times New Roman" w:hAnsi="Times New Roman"/>
          <w:sz w:val="18"/>
          <w:szCs w:val="18"/>
          <w:color w:val="333333"/>
        </w:rPr>
        <w:t>$349.9</w:t>
      </w:r>
      <w:r>
        <w:rPr>
          <w:rFonts w:ascii="Times New Roman" w:cs="Times New Roman" w:eastAsia="Times New Roman" w:hAnsi="Times New Roman"/>
          <w:sz w:val="18"/>
          <w:szCs w:val="18"/>
          <w:color w:val="auto"/>
        </w:rPr>
        <w:t xml:space="preserve"> million, a portion of which begin to expire in 2026. 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As of December 31, 2025, the Company had federal net operating loss carryforwards that were generated after December 31, 2017 of $343.9 million that do not expire; however, these carryforwards are limited to 80% of the taxable income in any one tax period.</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Internal Revenue Code (the “Code”) if a corporation undergoes an “ownership change,” generally defined as a greater than 50% change (by value) in its equity ownership over a three-year period, the corporation’s ability to use its pre-change NOLs and other pre-change tax attributes (such as capitalized research and development costs and research tax credits) to offset its post-change income may be limited. We believe that as a result of our merger with Zafgen, our ability to utilize NOLs acquired in the transaction and our other NOLs is expected to be severely limited by Section 382 of the Code. Additionally, our equity transactions executed between 2021 and 2026 through February 28, 2026 could also limit our ability to utilize NOLs in the future.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may have a material adverse effect on our business, financial condition and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under Section 174 of the code, in taxable years beginning after December 31, 2021, expenses that are incurred for research and development in the U.S. are capitalized and amortized, which may have an adverse effect on our cash flow.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Approvals</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currently dependent upon the success of our lead product candidate, nomlabofusp. We cannot be certain that we will ultimately be successful with our clinical development or that we will ever be able to obtain regulatory approval for nomlabofusp.</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drug products for sale and our business is currently wholly dependent on our successful clinical development, regulatory approval and commercialization of nomlabofusp, our lead product candidate and our only product candidate in clinical development, for which we have completed four clinical studies in patients with FA: (i) two Phase 1 clinical studies in adults with FA, (ii) a Phase 2 dose exploration study in adults with FA and (iii) a PK run-in study in adolescents (12-17 years old) with FA. We have an ongoing Phase 2 OL trial in adults and adolescents with FA.</w:t>
      </w:r>
    </w:p>
    <w:p>
      <w:pPr>
        <w:spacing w:after="0" w:line="7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regulatory and manufacturing hurdles faced by our product candidate, the administration of a protein such as nomlabofusp may cause an immune response, resulting in the development of antibodies directed against the protein. These anti-drug antibodies can have no effect, may cause allergic reactions or may neutralize the effectiveness of the protein, or may require that different doses be used to obtain a therapeutic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Additionally, while nomlabofusp was selected by the FDA for participation in its Support for clinical Trials Advancing Rare disease Therapeutics (START) Pilot Program and while nomlabofusp was awarded Breakthrough Therapy designation, it is unknown whether participation in either or both of these programs will accelerate the development of nomlabofusp and whether the FDA will continue investing its resources in the START program. If our efforts to develop and commercialize nomlabofusp for the treatment of FA are unsuccessful, or we experience significant delays in doing so, our business could also be substantially harmed. The success of nomlabofusp will depend on several factors, including the following:</w:t>
      </w:r>
    </w:p>
    <w:p>
      <w:pPr>
        <w:spacing w:after="0" w:line="75" w:lineRule="exact"/>
        <w:rPr>
          <w:sz w:val="20"/>
          <w:szCs w:val="20"/>
          <w:color w:val="auto"/>
        </w:rPr>
      </w:pPr>
    </w:p>
    <w:p>
      <w:pPr>
        <w:ind w:left="900" w:right="28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IND with the FDA in order to continue to conduct clinical trials in the United States and similarly maintaining clinical trial applications to conduct clinical trials in other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submitting a BLA as well as foreign marketing authorization applications;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recruiting, enrolling and retaining patients in and completing any clinical trials, if allowed to continue, including trials in pediatric patients;</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long-term chronic daily dosing safety, tolerability and efficacy profiles that are satisfactory to the FDA, EMA and other comparable regulatory authorities for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all necessary toxicology studies to support clinical development and regulatory approval for nomlabofusp;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extent and cost of any required post-marketing approval commitments to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arrangements with third-party manufacturers for nomlabofusp, including developing, validating and maintaining a commercially viable manufacturing process that is compliant with cGMPs;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validating and implementing a potency control strategy acceptable to the FDA, EMA and other comparable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our product candidates and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protecting our patents, trade secrets and regulatory exclusivity in the United States and other countries;</w:t>
      </w:r>
    </w:p>
    <w:p>
      <w:pPr>
        <w:spacing w:after="0" w:line="117" w:lineRule="exact"/>
        <w:rPr>
          <w:rFonts w:ascii="Times New Roman" w:cs="Times New Roman" w:eastAsia="Times New Roman" w:hAnsi="Times New Roman"/>
          <w:sz w:val="18"/>
          <w:szCs w:val="18"/>
          <w:color w:val="auto"/>
        </w:rPr>
      </w:pPr>
    </w:p>
    <w:p>
      <w:pPr>
        <w:ind w:left="900" w:right="84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following any marketing approval, including establishing a specialty sales organization, or successfully partnering with another organization, if applicable;</w:t>
      </w:r>
    </w:p>
    <w:p>
      <w:pPr>
        <w:spacing w:after="0" w:line="53"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commercial acceptance of our product candidates, if approved, by patients, the medical community and third-party payors and obtaining and maintaining healthcare coverage and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following any marketing approval;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other therapies.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nomlabofusp for sale and marketing, and even if nomlabofusp is ultimately approved, regulatory approval may be delayed or limited in the United States or in other jurisdictions. Even if we are authorized to sell and market nomlabofusp in one or more markets, there is no assurance that we will be able to successfully market nomlabofusp or that nomlabofusp will achieve market acceptance sufficient to generate profits. If we are unable to successfully develop and commercialize nomlabofusp due to failure to obtain regulatory approval for nomlabofusp, to successfully market nomlabofusp, to generate profits from the sale of nomlabofusp, or due to other risk factors outlined in this report, it would have material adverse effects on our business, financial condition, and results of operations as nomlabofusp is currently our sole product candidate.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8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cannot provide assurance that the findings from such non-clinical studies or any ongoing or future clinical trials will not adversely affect the clinical development of product candidate. For the foregoing reasons, we cannot be certain that our non-clinical studies and clinical trials will be successful. If non-clinical studies or clinical trials for nomlabofusp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know whether any ongoing or future clinical trials for nomlabofusp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IRBs or ethics committees, an independent data monitoring committee, or safety review committee, overseeing the clinical trial at issue or other regulatory authorities due to a number of factors, including, among others:</w:t>
      </w:r>
    </w:p>
    <w:p>
      <w:pPr>
        <w:spacing w:after="0" w:line="75"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17" w:lineRule="exact"/>
        <w:rPr>
          <w:rFonts w:ascii="Times New Roman" w:cs="Times New Roman" w:eastAsia="Times New Roman" w:hAnsi="Times New Roman"/>
          <w:sz w:val="18"/>
          <w:szCs w:val="18"/>
          <w:color w:val="auto"/>
        </w:rPr>
      </w:pPr>
    </w:p>
    <w:p>
      <w:pPr>
        <w:ind w:left="900" w:right="100" w:hanging="383"/>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prior or future toxicology studies, adverse events or lack of effectiveness;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FDA-approved therapeutics for FA and other clinical trial programs for similar indications;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or recruiting clinical investigators in our ongoing or future clinical trials;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serious or unexpected drug-related adverse events experienced by patients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negative effects of chronic long-term daily patient dosing;</w:t>
      </w:r>
    </w:p>
    <w:p>
      <w:pPr>
        <w:spacing w:after="0" w:line="117" w:lineRule="exact"/>
        <w:rPr>
          <w:rFonts w:ascii="Times New Roman" w:cs="Times New Roman" w:eastAsia="Times New Roman" w:hAnsi="Times New Roman"/>
          <w:sz w:val="18"/>
          <w:szCs w:val="18"/>
          <w:color w:val="auto"/>
        </w:rPr>
      </w:pPr>
    </w:p>
    <w:p>
      <w:pPr>
        <w:ind w:left="900" w:right="440" w:hanging="383"/>
        <w:spacing w:after="0" w:line="312"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subjects may deviate from trial protocol or drop out of a trial;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studies or clinical testing of other therapies that raise safety or efficacy concerns.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our lead product candidate nomlabofusp, we have completed four clinical studies in patients with FA: (i) two Phase 1 clinical studies in adults,</w:t>
      </w:r>
    </w:p>
    <w:p>
      <w:pPr>
        <w:spacing w:after="0" w:line="27" w:lineRule="exact"/>
        <w:rPr>
          <w:sz w:val="20"/>
          <w:szCs w:val="20"/>
          <w:color w:val="auto"/>
        </w:rPr>
      </w:pPr>
    </w:p>
    <w:p>
      <w:pPr>
        <w:ind w:right="60" w:firstLine="8"/>
        <w:spacing w:after="0" w:line="253"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 dose exploration study in adults and (iii) a PK run-in study in adolescents (12-17 years old). Our clinical trials may be delayed or terminated as a result of safety issues in non-clinical or clinical trials, ambiguous or negative interim results or events outside of our control. If future clinical trials of nomlabofusp fail or further delays occur in the United States and or other countries, we may not be able to develop and commercialize nomlabofusp and could fail to realize the potential advantages of doing so, and it could materially adversely affect our business, financial condition and results of operations.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disruptions caused by future pandemic, epidemic or outbreak of an infectious disease, may increase the likelihood that we encounter such difficulties or delays in initiating, enrolling, conducting or completing our planned and ongoing clinical trials. Further, FA is a rare disease and as a result, there are a limited number of patients in close proximity to clinical trial sites and clinical trial participants may need to travel from other countries to the clinical trial sites in order to participate. In addition, given the limited number of FA patients, the approval of a competing therapy for the treatment of FA may make patients less likely to enroll in our clinical trials or less likely to be eligible for our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w:t>
      </w:r>
    </w:p>
    <w:p>
      <w:pPr>
        <w:spacing w:after="0" w:line="84"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discover or acquire additional product candidates.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currently only have one product candidate nomlabofusp in clinical development, although we have other product candidates in pre-clinical development.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which we may not have access to.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marketed proprietary products and have not yet advanced a product candidate beyond Phase 2 clinical trials, which makes it difficult to assess our ability to develop nomlabofusp or any future product candidates and commercialize any resulting products independently.</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little experience in later stage clinical development, and conducting global trials as well as related regulatory requirements or the commercialization of products. As a result, we have not yet demonstrated our ability to independently and repeatedly conduct clinical development after Phase 2,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pacing w:after="0" w:line="79"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clinical development plans for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in each jurisdiction in which we will seek to commercialize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appropriate sales, distribution and marketing capabilities;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including reimbursement, for our future products, if any;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 activities.</w:t>
      </w:r>
    </w:p>
    <w:p>
      <w:pPr>
        <w:spacing w:after="0" w:line="11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successfully complete clinical trials for nomlabofusp or any other product candidates.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7"/>
          <w:szCs w:val="17"/>
          <w:color w:val="auto"/>
        </w:rPr>
        <w:t>We have advanced only one product candidate into clinical development, nomlabofusp. Our business currently depends primarily on nomlabofusp’s successful clinical development, regulatory approval and commercialization. We submitted our IND and it was accepted, permitting the conduct of clinical trials. We have completed four clinical studies in patients with FA: (i) two Phase 1 clinical studies in adults, (ii) a Phase 2 dose exploration study in adults and (iii) a Phase 1 PK run-in study in adolescents (12-17 years old). We have an ongoing Phase 2 OL trial in adults and adolescents.</w:t>
      </w:r>
    </w:p>
    <w:p>
      <w:pPr>
        <w:spacing w:after="0" w:line="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trials do not necessarily predict success in those or future clinical trials. Success in adult clinical trials may not predict the outcome of pediatric clinical trials.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Published clinical data or case reports from third parties or early clinical trial data of nomlabofusp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nomlabofusp is a novel protein replacement therapy platform and therefore non-clinical studies may not be adequate to predict efficacy in a clinical trial.</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nomlabofusp, the development timeline and regulatory approval and commercialization prospects for nomlabofusp, and, correspondingly, our business, financial prospects and results of operation would be negatively impacted.</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nomlabofusp or any future product candidates may not be approved even if they achieve their primary endpoint in clinical trials. The FDA, EMA or other foreign regulatory authorities may disagree with our trial design and our interpretation of data from non-clinical studies and clinical trials. In addition, FDA, EMA or other foreign regulatory authorities may disagree with the extent of population exposure to assess clinical safety.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nomlabofusp or any future product candidates for a narrower indication than we may request or may grant approval contingent on the performance of costly post-marketing clinical trials. The FDA and other comparable foreign authorities have substantial discretion in the approval process and determining when or whether regulatory approval will be granted for any product candidate that we develop and may decide that our data are insufficient for approval or require additional non-clinical, clinical, or other data.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identifying and enrolling patients in our clinical trials given the number of ongoing trials being conducted and the limited number of patients who have the disease for which nomlabofusp is being studied or for any other product candidate we may study in the future. Difficulty in enrolling patients could delay or prevent clinical trials of nomlabofusp or any future product candidate. There are also competing FA therapeutics, other competing studies and potentially other FA therapeutics that could be approved that may also limit the availability of prospective participants in nomlabofusp clinical trials.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nomlabofusp is critical to our success. The timing of our clinical trials depends in part on the speed at which we can recruit patients to participate in testing nomlabofusp, and we may experience delays in our clinical trials if we encounter difficulties in enrollment, such as difficulties with enrollment in pediatric clinical trials.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conditions for which we are planning to evaluate nomlabofusp and any product candidates we may evaluate in the future, are rare genetic diseases. Accordingly, there are limited patient pools from which to draw for clinical trials and multiple developers competing for access to conduct their research in those same limited patient pools with the same experienced investigators or research sites. Accordingly, arranging for investigative sites and recruiting patients for clinical trials in this disease may be very difficult. Current and future approvals of products for the treatment of FA may impact our ability to enroll patients in our clinical trials as patients using other FA treatments may be excluded from participation in our nomlabofusp studies or may be less likely to participate in our nomlabofusp clinical trials due to the availability of another FA therapy. If other companies are studying their investigational products in FA and/or if other companies have their products approved for the treatment of FA, it may be more difficult to identify available study sites and investigators to enroll eligible patients into our clinical trials. Competing priorities at sites and participation of subjects in other studies may limit our ability to execute clinical trials in a timely fashion, if at all.</w:t>
      </w:r>
    </w:p>
    <w:p>
      <w:pPr>
        <w:spacing w:after="0" w:line="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rarity of FA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approved and competing therapies and clinical trials can also adversely impact enrollment. Furthermore, our inability to enroll</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nomlabofusp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nomlabofusp, which could cause the value of our company to decline and limit our ability to obtain additional financing, if needed. Any of these occurrences may harm our business, financial condition, and prospects significantly.</w:t>
      </w:r>
    </w:p>
    <w:p>
      <w:pPr>
        <w:spacing w:after="0" w:line="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 has no FDA-approved therapies that address frataxin deficiency, which is the underlying cause of the disease, and clinical endpoints required to obtain approval are not well defined.</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are currently no FDA-approved products to treat FA that are designed to increase frataxin levels. We have concentrated our research and development efforts on developing a novel, FA therapy designed to address frataxin deficiency, which is the underlying cause of the disease,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Regulatory authorities in the United States, the United Kingdom and the European Union have not issued definitive guidance as to how to measure and achieve efficacy in treatments for FA. As a result, the design and conduct of clinical trials of nomlabofusp may take longer, be more costly or be less effective as part of the novelty of development in FA. The FDA may not accept that the supportive PD and clinical information, and safety data from the OL study, along with additional non-clinical pharmacology data we ultimately submit in our BLA, adequately supports the use of FXN levels as a novel surrogate endpoint. Even if the FDA supports the use of FXN levels as a novel surrogate endpoint, the FDA may not agree with the adequacy of the design of clinical trials intended to assess this novel surrogate endpoint.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Even if applicable regulatory authorities do not object to our proposed endpoints in an earlier stage clinical trial, such regulatory authorities may require evaluation of additional or different clinical endpoints in later-stage clinical trials. Furthermore, if FDA grants accelerated approval of nomlabofusp based on FXN as a novel surrogate endpoint, we will be required to conduct a confirmatory study to verify and describe the clinical benefit of nomlabofusp, which may not be completed or which may fail to verify and describe the clinical benefit of nomlabofusp. If the confirmatory study is not successful or if the FDA determines that it does not verify or describe the clinical benefit of nomlabofusp, the FDA may not grant traditional approval and/or the accelerated approval may be withdrawn.</w:t>
      </w:r>
    </w:p>
    <w:p>
      <w:pPr>
        <w:spacing w:after="0" w:line="7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adverse events or undesirable side effects caused by, or other unexpected properties of, nomlabofusp in non-clinical or clinical studies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It is possible that as we progress nomlabofusp through clinical trials and toxicology studies, or as the use of nomlabofusp becomes more widespread if it receives regulatory approval, illnesses, injuries, discomforts and other adverse events that were not observed in earlier trials, as well as conditions that did not occur or went undetected in previous trials, may be reported by patients. For example, anaphylaxis is an adverse drug reaction associated with nomlabofusp. To reduce the risk of allergic reactions, including anaphylaxis, we have implemented risk mitigation measures in the OL study protocol and the Phase 3 confirmatory study protocol, including modifying the starting dose regimen and supplying epinephrine autoinjectors. Such side effects could cause regulatory authorities to impose additional requirements for drug approval labeling and marketing. If such side effects become known or their incidence increases later in development or after approval, other such findings may harm our business, financial condition and prospects significantly. Further, if a serious safety issue is identified in connection with the use of nomlabofusp commercially or in third-party clinical trials elsewhere, such issues may adversely affect the development potential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nomlabofusp elsewhere or result in regulatory authorities restricting our ability to develop or commercialize nomlabofusp, if approved.</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 if nomlabofusp were to receive marketing approval and we or others identify undesirable side effects caused by the product (or any other product) after the approval, a number of potentially significant negative consequences could result, including:</w:t>
      </w:r>
    </w:p>
    <w:p>
      <w:pPr>
        <w:spacing w:after="0" w:line="54" w:lineRule="exact"/>
        <w:rPr>
          <w:sz w:val="20"/>
          <w:szCs w:val="20"/>
          <w:color w:val="auto"/>
        </w:rPr>
      </w:pPr>
    </w:p>
    <w:p>
      <w:pPr>
        <w:ind w:left="900" w:right="3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recall or withdraw the product from the market or may limit the approval of the product through labeling or other means;</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or a precaution, or additional labeling restrictions or REMS requirements based on patient population;</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remove the product from the marketplace;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or held liable for injury caused to individuals exposed to or taking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conduct expensive post-marketing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lose our commercial market opportunity and our revenues could decrease substantially;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public perception of the safety of nomlabofusp;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physicians or patients might be less likely to use our product or may refer patients to products produced by our competitors.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 In addition, the patient populations under investigation with nomlabofusp have many co-morbidities that may cause severe illness or death unrelated to our product candidate, which may be attributed to nomlabofusp in a manner that negatively affects the safety profile of our product candidate.</w:t>
      </w:r>
    </w:p>
    <w:p>
      <w:pPr>
        <w:spacing w:after="0" w:line="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preliminary or “top-line” results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interim, preliminary or “top-line” data and final data could significantly harm our business, financial condition, results of operations and prospects.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discover and develop fusion proteins for delivering proteins is novel and may never lead to marketable products.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Nomlabofusp uses a novel and unproven approach and mechanism to treat FA and therefore its efficacy and safety are difficult to predict, and there is no guarantee that nomlabofusp will be approved by the FDA, the EMA, or any other regulatory authorities.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8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If nomlabofusp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6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51"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The manufacture of fusion proteins, such as nomlabofusp and any fusion protein candidates, is technically complex and necessitates substantial expertise and capital investment. Production difficulties caused by unforeseen events may delay the availability of material for clinical trials and commercial products for nomlabofusp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80"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28"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FDA's Fast track Designation and its Breakthrough Therapy Designation or any future expedited program designations may not lead to a faster development, regulatory review or approval process and it does not increase the likelihood that any of our product candidates will receive marketing approval.</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received Fast Track Designation and Breakthrough Therapy Designation for nomlabofusp for the treatment of FA. We may, in the future, apply for other expedited program designations from the FDA for nomlabofusp or future product candidates. Designation for these programs is within the discretion of the FDA. Accordingly, even if we believe nomlabofusp or a future product candidate meets the criteria for designation, the FDA may disagree. The receipt of a designation may not result in a faster development process, review or approval compared to products considered for approval without these expedited program designations and, in any event, does not assure ultimate approval by the FDA. In addition, even though nomlabofusp has obtained Fast Track Designation and Breakthrough Therapy Designation, the FDA may later decide that it no longer meets the criteria for designation and revoke it. Approval of other therapies for the treatment of FA could negatively impact our continued Fast Track Designation or Breakthrough Therapy Designation for nomlabofusp for the treatment of FA. In addition, if we apply to the FDA for other designations for nomlabofusp or future product candidates, the FDA</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might not grant such designations. If we have or apply for any similar programs in foreign countries for nomlabofusp or future product candidates, those designations also might not be granted by the regulatory authorities of those countries, and also could be revoked if circumstances change. Any of the above could adversely affect our business, financial condition and results of operations.</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intend to pursue accelerated approval from FDA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intend to pursue an accelerated approval from FDA for nomlabofusp for the treatment of FA using FXN concentrations as a surrogate endpoint, supportive pharmacodynamic and clinical information and safety data from the OL study, along with non-clinical pharmacology information needed to support our surrogate biomarker approach.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FDA stated in written correspondence associated with a meeting through the START pilot program that they are open to considering the use of FXN concentration as an RLSE and the acceptability of FXN’s use as an RLSE would ultimately be a matter of review of the data.</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Approval of other therapies for the treatment of FA, including the approval of omaveloxolone for the treatment of FA, could negatively impact our ability to utilize the accelerated approval pathway, and/or get approval for nomlabofusp.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the FDA may withdraw approval of any product candidate approved under the accelerated approval pathway if, for example:</w:t>
      </w:r>
    </w:p>
    <w:p>
      <w:pPr>
        <w:spacing w:after="0" w:line="117" w:lineRule="exact"/>
        <w:rPr>
          <w:sz w:val="20"/>
          <w:szCs w:val="20"/>
          <w:color w:val="auto"/>
        </w:rPr>
      </w:pPr>
    </w:p>
    <w:p>
      <w:pPr>
        <w:ind w:left="900" w:right="500" w:hanging="383"/>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the product candidate fail to verify such benefit or do not demonstrate sufficient clinical benefit to justify the risks associated with such product;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the product candidate is not shown to be safe or effective under the conditions of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the Food and Drug Omnibus Reform Act (“FDORA”), included provisions related to the accelerated approval pathway. Pursuant to FDORA, the FDA is authorized to require, as appropriate, that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also gives the FDA increased authority to withdraw approval of a drug or biologic granted accelerated approval on an expedited basis if the sponsor fails to verify the drug or biologic’s predicted clinical benefit. FDORA enables the FDA to initiate enforcement action for a sponsor's failure to conduct with due diligence a required post-approval study, including a failure to meet any required conditions specified by the FDA or to submit timely reports.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targeting to submit a BLA to the FDA in June 2026 for marketing approval of nomlabofusp using the accelerated approval pathway; however, there can be no assurance FDA will approve our BLA submission for accelerated approval. Moreover, if FDA grants accelerated approval of nomlabofusp, there is no assurance that the FDA will grant traditional approval or that the accelerated approval will not be withdrawn.</w:t>
      </w:r>
    </w:p>
    <w:p>
      <w:pPr>
        <w:spacing w:after="0" w:line="6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targeting to submit a BLA to the FDA in June 2026 to request marketing approval of nomlabofusp. We may not be able to obtain, and there can be no assurance that the FDA will agree that the data submitted in any BLA is adequate to support approval, including accelerated approval. Further, the FDA stated that the adequacy of the safety database will be a matter of review at the time of BLA submission. In particular, the FDA may refuse to accept our planned BLA for substantive review (thereby issuing a “refuse to file” letter) or may conclude after review of our data that our application is insufficient to obtain regulatory approval (thereby issuing a “complete response” letter).</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If the FDA does not accept or approve our planned BLA, the agency may require that we conduct additional clinical, non-clinical or manufacturing studies before it will reconsider our application. Depending on the extent of these or any other studies required by the FDA, approval of a BLA may be significantly delayed or we may be unable to obtain approval of a BLA because such studies may require us to expend more resources than we have available. It is also possible that additional studies, if performed and completed, may not be considered sufficient by the FDA. For example, if the FDA does accept our BLA for filing, the FDA could determine after review of our BLA that the increases in FXN shown in our clinical trials are not reasonably likely to predict clinical benefit, that the nomlabofusp safety database was not of sufficient size to demonstrate the safety of nomlabofusp or that we otherwise failed to provide information sufficient to approve the nomlabofusp BLA. Moreover, if FDA grants accelerated approval of nomlabofusp, we will be required to conduct a confirmatory study to verify and describe the clinical benefit of nomlabofusp, which may not be completed or which may fail to verify and describe the clinical benefit of nomlabofusp. If the confirmatory study is not successful or if the FDA determines that it does not verify or describe the clinical benefit of nomlabofusp, the FDA may not grant traditional approval and/or the accelerated approval may be withdrawn. If any of these outcomes occurs, we may be forced to abandon our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BLA, which will materially adversely affect our business and could potentially cause us to cease</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operations. Furthermore, the FDA may approve nomlabofusp for a narrower indication or population than we request or may grant approval contingent on the performance of costly post-marketing commitments beyond our planned confirmatory study. We face similar regulatory risks in foreign jurisdictions.</w:t>
      </w:r>
    </w:p>
    <w:p>
      <w:pPr>
        <w:spacing w:after="0" w:line="6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orphan drug designation or other regulatory exclusivity for nomlabofusp or obtain such exclusivity for any of our other product candidates in the future, our competitive position would be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received orphan drug designation from the FDA for nomlabofusp for the treatment of FA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or BLA, to market the same drug for the same disease or condition for seven years, except in limited circumstances, including if the FDA concludes that the later drug is clinically superior to the approved drug. A drug is clinically superior if it is safer, more effective, or makes a major contribution to patient care. In the case of a biological product, whether a drug is the same drug is based on the principal molecular structural features of the product. Orphan drug designation neither shortens the development time or regulatory review time of a drug nor gives the drug any advantage in the regulatory review or approval process.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Further, even after an orphan drug is approved, the FDA or comparable foreign regulatory authority can subsequently approve another drug for the same condition if such regulatory authority concludes that the later drug is clinically superior, which means that it is shown to be safer, more effective or makes a major contribution to patient care.</w:t>
      </w:r>
    </w:p>
    <w:p>
      <w:pPr>
        <w:spacing w:after="0" w:line="75"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have also received orphan designation for nomlabofusp in the European Union. In the European Union, the European Commission may grant orphan designation, following an opinion from the EMA's Committee for Orphan Medicinal Products (COMP), for products intended for the diagnosis, prevention or treatment of a life-threatening or chronically debilitating condition affecting not more than five in 10,000 persons in the European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4" w:name="page55"/>
    <w:bookmarkEnd w:id="54"/>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Union. Alternatively, designation may be granted for products intended for the diagnosis, prevention or treatment of a life-threatening, seriously debilitating or serious and chronic condition and where, without incentives, it is unlikely that sales of the drug in the European Union would be sufficient to justify the necessary investment in developing the drug. In each case, orphan designation is only available if there is no other satisfactory method authorized for marketing in the European Union for diagnosing, preventing or treating the condition, or if such a method exists, the proposed orphan product will be of significant benefit to patients over existing options. In the European Union, orphan designation also entitles a party to financial incentives such as reduction of fees and ten years of market exclusivity following the grant of marketing authorization. This period may be reduced to six years if it is determined at the end of the fifth year that the orphan designation criteria are no longer met, including where it is shown that the product is sufficiently profitable such that maintenance of market exclusivity is no longer justified. Loss of orphan drug designation for nomlabofusp or the failure to obtain such designation in other countries or for any future product candidates could adversely affect our business, financial condition and results of operations.</w:t>
      </w:r>
    </w:p>
    <w:p>
      <w:pPr>
        <w:spacing w:after="0" w:line="86"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If another product has received approval in the indications for which we have received orphan drug designation, we may still receive approval in that indication if we can demonstrate that our product candidate is clinically superior to the existing orphan product. This demonstration of clinical superiority may be done at the time of initial approval or in post-approval studies, depending on the type of marketing authorization granted. Having to comply with these additional requirements to obtain orphan drug exclusivity could adversely affect our business, financial condition and results of operation.</w:t>
      </w:r>
    </w:p>
    <w:p>
      <w:pPr>
        <w:spacing w:after="0" w:line="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rare pediatric disease designation for nomlabofusp, we may not be eligible to receive a priority review voucher in the event the FDA determines we no longer meet the criteria for designation, revokes the designation or FDA approval does not occur prior to September 30, 2026.</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sponsor of an application for a rare pediatric disease drug product may be eligible for a voucher that can be used or sold to obtain a priority review for a subsequent application submitted under section 505(b)(1) of the FDCA or section 351 of the PHS Act. The rare pediatric disease priority review voucher program was reauthorized by Congress. Under current law, after September 30, 2029, the FDA may not award any rare pediatric disease priority review vouchers although the FDA's authority to do so could be extended by Congress in the future. We received rare pediatric disease designation from the FDA for nomlabofusp in 2019. We may, in the future, apply for rare pediatric disease designation from the FDA for future product candidates that may qualify for designation. Vouchers for rare pediatric disease drugs are awarded for qualifying applications if properly requested when the drug receives approval.</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Although nomlabofusp has received rare pediatric disease designation, nomlabofusp may not receive a priority review voucher for a number of reasons: nomlabofusp may not receive approval; nomlabofusp may receive approval in adults, but not pediatric patients; nomlabofusp may not meet the eligibility requirements for a priority voucher at the time we seek approval for nomlabofusp; or we may not meet the current deadline for receiving a priority review voucher (September 30, 2029), in which case we would not be able to obtain a voucher unless Congress further reauthorizes the program in the future. Finally, a rare pediatric disease designation does not necessarily lead to faster development or regulatory review of the product or increase the likelihood that it will receive marketing approval. If the program is reauthorized and we apply for designation for future product candidates as drugs for rare pediatric diseases, the FDA may not find that those candidates meet the criteria for designation and may not grant the designation. The failure to maintain rare pediatric disease designation for nomlabofusp or if FDA approval does not occur prior to September 30, 2029 could result in the inability to receive a priority review voucher which could adversely affect our business, financial condition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PRIME designation in the European Union for nomlabofusp, our competitive position could be harmed.</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PRIME scheme is open to medicines under development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in comparison to existing therapies) and they must demonstrate the potential to address the unmet medical need by introducing new methods of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may submit an eligibility request at an earlier stage of development if compelling non-clinical data in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relevant model provide early evidence of promising activity to establish proof of principle, and first-in-human studies indicate adequate exposure for the desired pharmacotherapeutic effects and tolerability.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medicine is selected for the PRIME scheme, the EMA:</w:t>
      </w:r>
    </w:p>
    <w:p>
      <w:pPr>
        <w:spacing w:after="0" w:line="117" w:lineRule="exact"/>
        <w:rPr>
          <w:sz w:val="20"/>
          <w:szCs w:val="20"/>
          <w:color w:val="auto"/>
        </w:rPr>
      </w:pPr>
    </w:p>
    <w:p>
      <w:pPr>
        <w:ind w:left="9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CAT to provide continuous support and to build up knowledge of the medicine in advance of the filing of an MAA;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 contact person; and</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54"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3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or if a medicine granted early access to the PRIME scheme cannot later demonstrate proof of concept, support under the PRIME scheme may be withdrawn. Approval of other therapies for the treatment of FA, including the approval of omaveloxolone could negatively impact our continued access to this and similar programs. Loss of PRIME designation for nomlabofusp or the failure to obtain such designation for any future product candidates could adversely affect our business, financial condition and results of operations.</w:t>
      </w:r>
    </w:p>
    <w:p>
      <w:pPr>
        <w:spacing w:after="0" w:line="75"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spacing w:after="0" w:line="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Changes in regulatory requirements, FDA guidance or guidance from EMA or unanticipated events during our non-clinical or clinical trials may force us to terminate or adjust our clinical programs. The FDA, or other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or non-clinical studies and/or post-market studies, the commercial prospects for nomlabofusp or any other potential product candidates may be harmed and our ability to generate product revenue will be delayed or eliminated, and it would materially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must comply with numerous and varying regulatory requirements of other countries regarding drug development and commercialization. The approval processes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nomlabofusp in the United States, we may never receive regulatory approval to market nomlabofusp outside of the United States.</w:t>
      </w:r>
    </w:p>
    <w:p>
      <w:pPr>
        <w:spacing w:after="0" w:line="7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patent offices in the United States and abroad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current administration is focused on reducing costs of the federal government generally, including significantly reducing the number of government employees. Without appropriation of additional funding to federal agencies, our business operations related to our product development activities for the U.S. market could be impacted. The ability of the FDA or comparable foreign regulatory authorities to review and approve new products can be affected by a variety of factors, including government budget and funding levels, ability to hire and retain key personnel, and accept the payment of user fees, statutory, regulatory and policy changes. In addition, government funding of other government agencies or comparable foreign regulatory authorities on which our operations may rely, including those that fund research and development activities is subject to the political process, which is inherently fluid and unpredictable.</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other agencies or comparable foreign regulatory authorities may also slow the time necessary for new drugs to be reviewed and/or approved by necessary government agencies,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Similar consequences would also result in the event of another significant shutdown of the federal government. As an example, over the last several years, the U.S. government has shut down several times and certain regulatory agencies, such as the FDA and the SEC have had to furlough critical employees and stop critical activities.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a prolonged government shutdown occurs, such as the one that occurred in October 2025, including as a result of reaching the debt ceiling, if the FDA or SEC experiences significant decreases in funding or personnel it could significantly impact the ability of the FDA or other regulatory authorities to timely review and process our regulatory submissions, which could have a material adverse effect on our business and our timelines. Further, government shutdowns could impact our ability to access the public markets and obtain additional capital in the future.</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Regulatory requirements governing biologic drug products are evolving and may continue to change in the future. As a result, it is difficult to determine how long it will take or how much it will cost to obtain regulatory approvals for nomlabofusp for the treatment of FA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Delays, failure or unexpected costs in obtaining, the regulatory approval necessary to bring our product candidates to market could have a material adverse effect on our business, results of operations, financial condition and prospects.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6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clinical trials of nomlabofusp and any future product candidates are, and the manufacturing and marketing of nomlabofusp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candidates.</w:t>
      </w:r>
    </w:p>
    <w:p>
      <w:pPr>
        <w:spacing w:after="0" w:line="67"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nomlabofusp, and it is possible that this product candidate or any product candidates we may seek to develop in the future will never obtain regulatory approval. If marketing approval is obtained, it will likely include post-marketing studies, and other post-marketing requirements, and could include surveillance such as REMS which will require the expenditure of substantial resources beyond the proceeds we currently have on hand.</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we are not permitted to market nomlabofusp in the United States, or the European Union until we receive approval of a BLA from the FDA or the grant of an MA from the European Commission, or in any other foreign countries until we receive the requisite marketing approval from such countries. The development of drugs for FA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Development and/or regulatory programs for nomlabofusp in countries (such as a MAA to the EMA) are in earlier stages than in the United States and may require substantial further development in those countries prior to regulatory submissions seeking regulatory approval for marketing.</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FDA and certain European regulatory authorities may delay, limit or deny testing or approval of nomlabofusp for many reasons, including, among others:</w:t>
      </w:r>
    </w:p>
    <w:p>
      <w:pPr>
        <w:spacing w:after="0" w:line="54"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nomlabofusp is safe and effective to the satisfaction of the FDA or the EMA;</w:t>
      </w:r>
    </w:p>
    <w:p>
      <w:pPr>
        <w:spacing w:after="0" w:line="11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the EMA for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the number, design, size, duration, conduct or implementation of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require that we conduct additional non-clinical studies and/or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approve the formulation, manufacturing, labeling or specifications of nomlabofusp;</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our clinical trials may take actions outside of our control that materially adversely impact our clinical trials;</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the data from non-clinical studies and clinical trials insufficient to demonstrate that nomlabofusp’s clinical and other benefits outweigh its safety risks;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86"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disagree with our interpretation of data from our non-clinical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not accept data generated at our clinical trial sites;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67" w:lineRule="exact"/>
        <w:rPr>
          <w:rFonts w:ascii="Times New Roman" w:cs="Times New Roman" w:eastAsia="Times New Roman" w:hAnsi="Times New Roman"/>
          <w:sz w:val="18"/>
          <w:szCs w:val="18"/>
          <w:color w:val="auto"/>
        </w:rPr>
      </w:pPr>
    </w:p>
    <w:p>
      <w:pPr>
        <w:ind w:left="760" w:right="3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could require development of a REMS as a condition of approval or post-approval, or may not agree with our proposed REMS, or may impose additional requirements, including requirements that limit the promotion, advertising, distribution, or sales of nomlabofusp;</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find deficiencies with or not approve the manufacturing processes or facilities of third-party manufacturers with which we contract; 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EMA may change their approval policies or adopt new regulations rendering our clinical data insufficient for approval.</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and/or maintain regulatory approval for and successfully market nomlabofusp.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ensure that nomlabofusp, or any other of our potential product candidates will be successfully developed or commercialized.</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nomlabofusp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nomlabofusp or potential product candidates, if we obtain marketing approval. In addition, we may be subject to patient privacy regulation by both the federal government and the states or other countries in which we conduct our business. For more information, see the section of this report titled “Business – Healthcare Laws and Regulations – Other Healthcare Laws.”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which could have a material adverse effect on our business, results of operations,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The pharmaceutical industry has been a particular focus of these efforts and has been significantly affected by major legislative initiatives. Previously, in March 2010, the ACA was enacted, which was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Healthcare reform initiatives culminated in the enactment of the IRA, which, among other things, allows HHS to directly negotiate the ceiling price of a statutorily specified number of drugs and biologic each year that CMS reimburses under Medicare Part B and Part D, requires the payment of rebates on Medicare Part B and Part D drugs whose prices have increased at a rate faster than the rate of inflation, and redesign the Medicare Part D cost sharing structure, including revising manufacturer financial liability for covered products. For more information, see the section of this report titled “Business – Healthcare Laws and Regulations – Healthcare Reform.” Moreover, 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 The effect of these healthcare reform initiatives on our business and the pharmaceutical industry in general is not yet known, but could be substantial and materially adverse to our ability to successfully commercialize our product candidates at profitable price points.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product candidates that we elect to sell on our own.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nomlabofusp, if approved, or future product candidates that we elect to sell on our own and, if reimbursement is available, the level of such reimbursement. Reimbursement may impact the demand for, or the price of, product candidates that we elect to sell. If reimbursement is not available or is available only at limited levels, we may not be able to successfully commercialize product candidates that we elect to sell. For more information, see the section of this report titled “Business – Healthcare Laws and Regulations – Coverage and Reimbursement.”</w:t>
      </w:r>
    </w:p>
    <w:p>
      <w:pPr>
        <w:spacing w:after="0" w:line="80"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6 to 12 months or longer after the receipt of regulatory approval and product launch. To obtain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0" w:name="page61"/>
    <w:bookmarkEnd w:id="60"/>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 product candidate, our product candidates will remain subject to regulatory oversight.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Even if we receive marketing approval for nomlabofusp or a future product candidate, regulatory authorities may still impose significant restrictions on the indicated uses or marketing or impose ongoing requirements for potentially costly post-approval studies. Nomlabofusp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nomlabofusp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or our contractors fail to comply with applicable regulatory requirements following approval of nomlabofusp, a regulatory authority may:</w:t>
      </w:r>
    </w:p>
    <w:p>
      <w:pPr>
        <w:spacing w:after="0" w:line="117"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or untitled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voluntary product recalls;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NDA or comparable foreign marketing application (or any supplements thereto) submitted by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nomlabofusp, if approved, and adversely affect our business, financial condition, results of operations and prospects.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FDA’s policies, and those of equivalent foreign regulatory agencies, may change and additional government regulations may be enacted that could prevent, limit or delay regulatory approval of nomlabofusp.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7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nomlabofusp in the United States, we may never receive regulatory approval to market nomlabofusp outside of the United States.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pursue marketing approval for nomlabofusp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prevalence of FA is estimated to be approximately three times greater in the European Union than in the United States, and, therefore, represents our largest potential market for nomlabofusp. Our future profitability will depend, in part, on our ability to commercialize nomlabofusp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72"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a product candidate in foreign markets;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may need to rely on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86"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Sales in the European Union and other foreign markets of a product candidate could also be adversely affected by the imposition of governmental controls, political and economic instability, trade restrictions and changes in tariffs.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nomlabofusp, if approved, we may not be able to generate any revenue.</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nomlabofusp, we may not achieve broad market acceptance, which would limit the revenue that we generate from our sales.</w:t>
      </w:r>
    </w:p>
    <w:p>
      <w:pPr>
        <w:spacing w:after="0" w:line="51"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commercial success of nomlabofusp, if developed and approved for marketing by the FDA or EMA or other applicable regulatory authorities, will depend upon the market size for, and the awareness and acceptance of nomlabofusp among the medical community, including physicians, patients, advocacy groups and healthcare payors. Market acceptance of nomlabofusp, if approved, will depend on a number of factors, including, among others:</w:t>
      </w:r>
    </w:p>
    <w:p>
      <w:pPr>
        <w:spacing w:after="0" w:line="50"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actual number of patients with FA is lower than we believe;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subcutaneous injections as the necessary method of administration;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nomlabofusp;</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nomlabofusp by the FDA, EMA, or other regulatory authorities, such as a “boxed” warning or if any approval that we obtain is based on a narrower definition of possible patient populations;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any competitive FA therapies approved or in development that have been or could be approved or commercially launched prior to approval of nomlabofusp;</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acceptance of the cost and inconvenience associated with refrigerated storage for nomlabofusp;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acceptance;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political pressure on pharmaceutical pricing;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orphan drug pricing for affected patient groups;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changes in U.S. healthcare, including medical financial assistance or a transition to a single-payor system;</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3" w:name="page64"/>
    <w:bookmarkEnd w:id="63"/>
    <w:p>
      <w:pPr>
        <w:spacing w:after="0" w:line="86"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nomlabofusp through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patients to pay out-of-pocket in the absence of third-party coverage; and</w:t>
      </w:r>
    </w:p>
    <w:p>
      <w:pPr>
        <w:spacing w:after="0" w:line="117" w:lineRule="exact"/>
        <w:rPr>
          <w:rFonts w:ascii="Times New Roman" w:cs="Times New Roman" w:eastAsia="Times New Roman" w:hAnsi="Times New Roman"/>
          <w:sz w:val="18"/>
          <w:szCs w:val="18"/>
          <w:color w:val="auto"/>
        </w:rPr>
      </w:pPr>
    </w:p>
    <w:p>
      <w:pPr>
        <w:ind w:left="900" w:right="200" w:hanging="383"/>
        <w:spacing w:after="0" w:line="312"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3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nomlabofusp is approved but does not achieve an adequate level of acceptance by patients, advocacy groups, physicians and payors, we may not generate sufficient revenue from nomlabofusp to become or remain profitable and our business, financial condition and results of operations could be materially adversely affected. Our efforts to educate the medical community and third-party payors about the benefits of nomlabofusp may require significant resources and may never be successful.</w:t>
      </w:r>
    </w:p>
    <w:p>
      <w:pPr>
        <w:spacing w:after="0" w:line="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nomlabofusp or any potential product candidates, if approved. If we receive marketing approval for nomlabofusp,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 If we cannot successfully manage the promotion of nomlabofusp or any potential product candidates, if approved, we could become subject to significant liability, which would materially adversely affect our business, financial condition and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competing technologies could emerge, adversely affecting our opportunity to generate revenue from the sale of nomlabofusp, if approved.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For example, omaveloxolone, was approved for the treatment of FA in adults and adolescents aged 16 and older by the FDA and the European Commission in February 2023 and February 2024, respectively. We expect nomlabofusp, if approved, will compete with omaveloxolone and other new, future approved products and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nomlabofusp or any other potential product candidates, resulting in nomlabofusp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designations or eligibility for expedited regulatory pathways,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commercialize current and future product candidates. Given our phase of development for nomlabofusp, the recent approval and commercialization of omaveloxolone and the approval of any future competing technologies could provide competitors with a significant competitive advantage and may create an additional barrier to market acceptance of nomlabofusp. If we are not able to compete effectively against our current and future competitors, our business will not grow and our financial condition and results of operations will be adversely affected.</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and may face increasing competition over time.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European Union, the European Commission has granted marketing authorizations for biosimilars pursuant to a set of general and product class-specific guidelines for biosimilar approvals originally issued in 2005 and updated in 2014.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ACA authorized the FDA to license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license their products as interchangeable biologics, which could make it easier for prescribers or pharmacists to substitute those biosimilars for our products. In addition, critics of the 12-year exclusivity period in the biosimilar pathway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nomlabofusp, thereby adding barriers to access. This additional competition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continue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In addition, a possible future pandemic, epidemic or outbreak of an infectious disease may pose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Further, if we fail to expand and enhance our operational, financial, management and compliance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6" w:name="page67"/>
    <w:bookmarkEnd w:id="66"/>
    <w:p>
      <w:pPr>
        <w:spacing w:after="0" w:line="8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6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development programs and the potential commercialization of our product candidates will require substantial additional cash to fund expenses. For nomlabofusp, and any future product candidates, we may decide to collaborate with pharmaceutical and/or biotechnology companies for the development and potential commercialization of those product candidates in some or all markets.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for nomlabofusp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if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and/or other outbreaks of communicable diseases, which could significantly disrupt our operations and may materially and adversely affect our business and financial conditions.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a global pandemic, epidemic or outbreak of an infectious disease. Such global outbreaks of communicable diseases globally could materially and adversely impact our operations, including without limitation, our manufacturing and supply chain for nomlabofusp and our planned clinical trials, which could continue to face, enrollment difficulties as hospitals or clinical trials sites experience closures. Because FA is a rare disease, there are a limited number of patients in close proximity to clinical trial sites and clinical trial patients travel from throughout the United States to clinical trial sites to participate. Any travel advisories or infection risks could present increased risks to patients traveling to a clinical trial site for dosing if clinical trials are allowed to continue.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Future pandemics could adversely affect global economies and financial markets resulting in an economic downturn that could have a material adverse effect on our business and prospects.</w:t>
      </w:r>
    </w:p>
    <w:p>
      <w:pPr>
        <w:spacing w:after="0" w:line="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sensitive third-party data, business plans, transactions, financial information and medical information collected by our patient access management team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(FTCA)), and other similar laws (e.g., wiretapping laws). For example, HIPAA, as amended by HITECH, imposes specific requirements relating to the privacy, security, and transmission of individually identifiable health information. Even when HIPAA does not apply, according to the FTC, failing to take appropriate steps to keep consumers’ personal information secure constitutes unfair acts or practices in or affecting commerce in violation of the FTCA.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Although some U.S. comprehensive privacy laws exempt some data processed in the context of clinical trials, these laws may increase compliance costs and potential liability with respect to other personal data we may maintain about California residents. Similar laws are being considered 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other states, as well as at the federal and local levels, and we expect more jurisdictions to pass similar laws in the future.</w:t>
      </w:r>
    </w:p>
    <w:p>
      <w:pPr>
        <w:spacing w:after="0" w:line="117"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Furthermore, other states have proposed or enacted legislation that is focused on more narrow aspects of privacy. For example, some states have passed laws that protect biometric information and a smaller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6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United Kingdom’s GDPR (UK GDPR) (collectively, the GDPR), Brazil’s General Data Protection Law (Lei Geral de Proteção de Dados Pessoais, or LGPD) (Law No. 13,709/2018), and China’s Personal Information Protection Law (PIPL) impose strict requirements for processing personal data. For example, the GDPR imposes numerous obligations on companies, including requirements relating to processing health and other sensitive data, where required obtaining consent of the individuals to whom the personal data relates, having legal bases and/or conditions for processing, requiring disclosures to individuals regarding data processing activities, requiring that safeguards are implemented to protect the security and confidentiality of personal data, responding on individuals’ requests to exercise their rights, limiting retention periods for personal data, creating mandatory data breach notification requirements in certain circumstances, requiring that certain measures (including contractual requirements) are put in place when engaging third-party processors, appointing data protection officers, conducting data protection impact assessments, ensuring certain accountability measures are in place and record keeping. Companies that fail to comply with the GDPR may face temporary or definitive bans on data processing and other corrective actions; fines of up to 20 million Euros under the EU GDPR / 17.5 million pounds sterling under the UK GDPR or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Swiss Federal Act on Data Protection, or the FADP, also applies to the collection and processing of personal data,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EC has now issued a decision recognizing the UK as providing adequate protection under the EU GDPR and, therefore, transfers of personal data originating in the EU to the UK remain unrestricted. In December 2025, the EC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 Like the EU GDPR, the UK GDPR restricts personal data transfers outside the UK to countries not regarded by the UK as providing adequate protection. The UK government has confirmed that personal data transfers from the UK to the European Economic Area (EEA) remain free flowing.</w:t>
      </w:r>
    </w:p>
    <w:p>
      <w:pPr>
        <w:spacing w:after="0" w:line="8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to enable the transfer of personal data outside of the EEA or the UK, adequate safeguards must be implemented in compliance with European and UK data protection laws.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When relying on certain mechanisms, such as the EEA’s standard contractual clauses, companies are required to conduct transfer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assessments. Other jurisdictions may adopt similarly stringent interpretations of their data localization and cross-border data transfer laws.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regulators and legislators in the U.S. are increasingly scrutinizing and restricting certain personal data transfers and transactions involving foreign countries. For example, Executive Order 14117,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If we are unable to transfer personal data from the EEA, the UK, or other jurisdictions to the United States, or if the requirements for a legally-compliant transfer are too onerous, we could face significant adverse consequences, including by limiting our ability to conduct clinical trial activities in Europe and elsewhere,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as well as those of CROs, CMOs, vendors, contractors, and consultants, and potential collaborators may experience failures, unauthorized access, or security breaches, potentially causing a material disruption in our product development programs, operations, harm to our brand, significant liabilities, loss of revenue, and additional costs.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Despite implementing security measures, both our internal computer systems and those of our contracted third-party service providers are susceptible to various threats, including cyber-attacks, data breaches, ransomware, social engineering (including phishing), computer viruses, unauthorized access, natural disasters, terrorism, war, and telecommunication and electrical failures. The extensive use of mobile devices accessing confidential information further heightens the risks, leading to potential device loss, security incidents, and data breaches that could result in the loss of confidential information and intellectual property. Any system failure, accident, or security breach causing interruptions in our operations may lead to a material disruption in our product development programs and business operations, potentially requiring substantial resources for recovery. For instance, the loss of clinical trial data from completed trials could lead to delays in regulatory approval efforts and significantly increase costs for data recovery or reproduction.</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exposed to risks stemming from misappropriation, misuse, leakage, falsification, or intentional or accidental release or loss of information maintained in our information systems and networks, including personal information of our employees. External parties may attempt to penetrate our systems or induce our employees or those of our vendors to disclose sensitive information. As with other companies in our industry, we face threats to our data and systems, including malicious codes, data breaches, ransomware, social engineering (including phishing), viruses, and cyber-attacks. The increasing number and complexity of these threats over time pose a challenge. A material breach in our security or that of our vendors, contractors, or consultants could harm the market perception of our security measures, resulting in business loss and damage to our reputation and credibility. This could significantly adversely affect our business, financial condition, and results of operations, necessitating substantial amounts of money and resources to repair or replace information systems or networks. Despite our continuous efforts, the possibility of such events occurring cannot be entirely eliminated.</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our endeavor to protect systems storing critical information, we have implemented security measures. However, given their size and complexity and the increasing amounts of information maintained, these systems, including our internal information technology systems and those of third-party entities like CROs, CMOs, contractors, and consultants, remain potentially vulnerable to breakdowns, interruptions, and security breaches. Incidents such as service interruptions, system malfunctions, natural disasters, terrorism, war, telecommunication, and electrical failures, as well as security breaches from inadvertent or intentional actions by employees, contractors, consultants, and other third parties, including cyber-attacks by malicious entities, may compromise our system infrastructure. This could lead to the loss, destruction, alteration, or unauthorized access to our data, including trade secrets, confidential information, intellectual property, proprietary business information, and personal information, or data processed or maintained on our behalf. Such incidents could result in financial, legal, business, and reputational harm.</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rise in phishing and social engineering attacks and the increase in remote working further elevate security threats. Any disruption or security incident could lead to loss, damage, or unauthorized access to data, potentially exposing us to litigation and governmental investigations, delaying the development and commercialization of our product candidates, and subjecting us to fines or penalties for noncompliance with privacy and security laws. Notifications and actions following a security incident could impact our reputation and incur significant costs, including legal expenses and remediation. Significant efforts and costs are expected for detection and prevention. Our reliance on third parties for manufacturing introduces an additional layer of risk to our business.</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Insurance policies, including a specific policy related to cybersecurity losses, may be insufficient, with potential availability issues in the future, high deductibles, and limitations in coverage, posing challenges in mitigating losses from disruptions, failures, or security breaches.</w:t>
      </w:r>
    </w:p>
    <w:p>
      <w:pPr>
        <w:spacing w:after="0" w:line="5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and/or those of third parties upon which we rely, are or were compromised, we could experience adverse consequences resulting from such compromise, including but not limited to regulatory investigations or actions, interruptions to operations or clinical trials, reputational harm, litigation, fines and penalties, disruptions of our business operations, and a loss of customers or sales.</w:t>
      </w:r>
    </w:p>
    <w:p>
      <w:pPr>
        <w:spacing w:after="0" w:line="6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or the third parties upon which we rely, process proprietary, confidential, and sensitive data, including personal data (such as health-related data), intellectual property, and trade secrets.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data and information technology systems, and those of the third parties upon which we rely. These threats are prevalent, continue to rise, and are becoming increasingly difficult to detect. These threats come from a variety of sources, including traditional computer “hackers,” hacktivists, threat actors, personnel misconduct or error (such as through theft or misuse), organized criminal threat actors,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 software or hardware failures, loss of data or other information technology assets, adware, attacks enhanced or facilitated by Artificial Intelligence (“AI”), telecommunications failures, earthquakes, fire, flood, and other similar threats.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delays, or outages in our operations, disruption of clinical trials or otherwise affecting our ability to provide our products or product candidates, loss of sensitive data (including data related to clinical trials) and income, significant extra expenses to restore data or systems, reputational harm and the diversion of funds. Extortion payments may alleviate the negative impact of a ransomware attack, but we may be unwilling or unable to make such payments (including, for example, if applicable laws or regulations prohibit such payments). Remote work has become more common and has increased risks to our information technology systems and data, as more of our employees work from home, utilizing network connections, computers and devices outside our premises, including at home, while in transit or in public locations.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data in a variety of contexts, including, without limitation, cloud-based infrastructure, drug suppliers, data center facilities, encryption and authentication technology, employee email, content delivery to customers, and other functions. Our ability to monitor these third parties’ information security practices and posture (including whether any unremediated vulnerabilities exist or have been exploited) is limited, and these third parties may not have adequate information security measures in place. In addition, supply-chain attacks have increased in frequency and severity, and we cannot guarantee that third parties’ infrastructure in our supply chain or our third-party partners’ supply chains have not been compromised.</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We and the third parties upon which may rely may not, however, detect and remediate all such vulnerabilities including on a timely basis. For example, we have identified certain vulnerabilities in our information systems, and we have taken steps to mitigate the risks associated with known vulnerabilities. These steps include implementing compensating controls and other protective measures. Further, we and the third parties upon which we rely may experience delays in developing and deploying remedial measures and patches designed to address identified vulnerabilities. Vulnerabilities could be exploited and result in a security incident.</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third parties upon whom we rely. A security incident or other interruption could disrupt our ability (and that of third parties upon whom we rely) to provide our products.</w:t>
      </w:r>
    </w:p>
    <w:p>
      <w:pPr>
        <w:spacing w:after="0" w:line="5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fundamentally change our business activities and practices (including our clinical trials) in an effort to protect against security incidents.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w:t>
      </w:r>
    </w:p>
    <w:p>
      <w:pPr>
        <w:spacing w:after="0" w:line="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the use of generative AI technologies.</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our insurance coverage may not be adequate or sufficient in type or amount to protect us from or to mitigate liabilities arising out of our privacy and security practices.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information technology regulatory and compliance requirements.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an evolving landscape of data privacy and security regulations, including the General Data Protection Regulation (GDPR), Health Insurance Portability and Accountability Act (HIPAA), California Consumer Privacy Act (CCPA), SEC cybersecurity disclosure requirements, among others. Failure to comply with these regulations may result in substantial fines, litigation, regulatory investigations, and reputational harm. The complexity of maintaining compliance across multiple jurisdictions increases our operational burden, requiring continuous updates to security policies, employee training, and IT infrastructure enhancements. Additionally, new or amended privacy laws may impose additional costs and operational challenges, impacting our ability to conduct business effectively. If we or one of our third-party service providers fail to adhere to regulatory requirements, we may be subject to enforcement actions, consent decrees, or restrictions on our ability to process sensitive data, potentially delaying our product development or commercialization efforts.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of our critical IT systems and data storage rely on cloud service providers. While these providers implement security controls, misconfigurations, lack of visibility into shared responsibility models, or insider threats can lead to data exposure or service disruptions. Failure to comply with evolving global data privacy and security regulations, such as GDPR, HIPAA, CCPA, SEC cybersecurity rules, and industry-specific compliance requirements (e.g., FDA 21 CFR Part 11 for regulated data), could subject us to significant fines, legal liabilities, and reputational harm.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shadow IT and unapproved software use by employees.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Employees or contractors may use unauthorized or unapproved software, cloud services, or personal devices to access, store, or transmit company data, a practice commonly referred to as “Shadow IT”. The use of such unapproved technologies increases security risks, as these applications and services may not adhere to our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established cybersecurity and compliance standards. Shadow IT may introduce vulnerabilities, expose sensitive data to unauthorized parties, or lead to misconfigurations that may increase the likelihood of cyberattacks or data breaches. Additionally, unvetted third-party applications may not comply with regulatory requirements, exposing us to compliance violations and potential legal liabilities. Despite our ongoing efforts to monitor and control the use of unauthorized software, we may not be able to eliminate all instances of Shadow IT, which could materially impact our security posture, regulatory compliance, and business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use of nomlabofusp and other potential product candidates in clinical trials, if any, and the sale of nomlabofusp and other potential product candidates, if developed and approved, exposes us to the risk of product liability claims. Product liability claims might be brought against us by patients, healthcare providers or others selling or otherwise coming into contact with nomlabofusp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84"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or clinical investigators from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nomlabofusp or our other potential product candidates following marketing approval, if obtained;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or ethics committees;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costs;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nomlabofusp or other potential product candidates, if approved.</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nomlabofusp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AI, combined with an uncertain regulatory environment, may result in reputational harm, liability, or other adverse consequences to our business operations. As with many technological innovations, AI presents risks and challenges that could impact our business. We expect to see increasing government and supranational regulation related to AI use and ethics, which may also significantly increase the burden and cost of research, development and compliance in this area. For example, the EU’s Artificial Intelligence Act (“AI Act”) — the world’s first comprehensive AI law – which has entered into force on August 1, 2024 and most provisions of which will become effective on August 2, 2026. This legislation imposes significant obligations on providers and deployers of high risk AI systems, and encourages providers and deployers of AI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Furthermore, in the U.S., a number of states have proposed and passed laws regulating various uses and aspects of AI, and federal regulators have issued guidance affecting the use of AI in regulated sectors.</w:t>
      </w:r>
    </w:p>
    <w:p>
      <w:pPr>
        <w:spacing w:after="0" w:line="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may adopt and integrate generative AI tools into our systems. Our vendors may also incorporate generative AI tools into their offerings, and the providers of these generative AI tools and our use of such tools may not meet existing or rapidly evolving regulatory or industry standards.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51"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As a company, 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trial sites, clinical data management organizations and consultants to design, conduct, supervise and monitor our non-clinical studies and clinical trials. We, our CROs, and contractors are required to comply with various regulations, including the FDA’s regulations regarding current Good Clinical Practices (“cGCPs”)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 not control does not relieve us of these responsibilities and requirements. If we or any of our CROs, contractors, or clinical trial sites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ensure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CROs and contractors are not our employees, and except for remedies available to us under our agreements with such CROs and contractors, we cannot control whether or not they devote sufficient time and resources to our ongoing clinical and non-clinical programs. If our CROs and contractors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and contractors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and contractors does not relieve us of our regulatory responsibilities.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must, at times, share confidential information with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Moreover,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and contractors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7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supply and manufacturing partners for drug supplies for our research and development, non-clinical activities, and clinical activities, and plan to do the same for any commercial supplies of our product candidates.</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supply and manufacturing partners to supply the materials and components for, and manufacture, our research and development, non-clinical and clinical study drug substance and drug product.and third parties to provide ancillary supplies that may be associated with dosing nomlabofusp in clinical trials and commercially. Furthermore, regulatory requirements for these materials, components and ancillary supplies may be different in different jurisdictions which could affect supply availability and our ability to conduct our clinical trials or supply commercial product. We have not yet manufactured or formulated nomlabofusp or any other product candidate on a full commercial scale and may not be able to do so for any of our product candidates. We will work to develop and optimize our manufacturing process; however, we cannot be sure that the process will result in therapies that are safe, potent or effective. Given our reliance on third parties and the risk of manufacturing commercial scale quantities, our ability to adequately commercially launch and/or supply nomlabofusp could be adversely affected.</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do not own manufacturing facilities or supply sources for such components, non-clinical and clinical study drug substance, product and materials, including devices that may be required for administration, but may develop these capabilities in the future. Adequate sources may be limited and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because there may be a limited number of qualified replacements. For example, we rely and expect to continue to rely on a small number of manufacturers to supply us with our requirements for drug substance and formulated drug product related to our nomlabofusp clinical program. The drug substance for nomlabofusp is currently manufactured for us by a third-party manufacturer, and the drug product is made at another manufacturer. Our research and development programs could be adversely affected by a significant interruption in these manufacturing services or in the supply of drug substance and formulated drugs. In addition, because we rely on multiple manufacturers for our nomlabofusp clinical program, and planned commercial activities if nomlabofusp is approved, and termination of our agreements with any of these manufacturers could significantly adversely impact our current and planned operations.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event that any of our suppliers or manufacturers fails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guidelines. The delays associated with the verification of a new manufacturer could negatively affect our ability to develop product candidates in a timely manner or within budget.</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also rely on third parties to store master and working cell banks. We currently have one master cell bank which is stored at two different locations. However, if we should lose the master cell bank at both sites, our manufacturing would be severely impacted by the need to replace the master cell bank, which could materially and adversely affect our business, financial condition and results of operations.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financial condition and results of operations in a number of ways, including:</w:t>
      </w:r>
    </w:p>
    <w:p>
      <w:pPr>
        <w:spacing w:after="0" w:line="79"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 including termination or nonrenewal of the agreement at a time that is costly or inconvenient for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associated with having to change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our product candidates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successfully further scale up manufacturing capacity and meet commercial demands for our products.</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for nomlabofusp,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GLPs and cGMP regulations enforced by the FDA or other regulators through facilities inspection programs. The facilities and quality systems of some or all of our third party contractors must pass a pre-approval inspection for compliance with the applicable regulations as a condition of regulatory approval of nomlabofusp or any of our other potential products. In addition, the regulatory authorities may, at any time, audit or inspect a manufacturing facility involved with the preparation of nomlabofusp or our other potential products or the associated quality systems for compliance with the regulations applicable to the activities being conducted. If these facilities do not pass a pre-approval plant inspection, the FDA or other regulatory approval of the products will not be granted.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 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If we or any of our third 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These factors could also cause the delay of manufacturing development, clinical trials, regulatory submissions, required approvals or commercialization of nomlabofusp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may result in additional costs and/or delays.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 manufacturers may be unable to successfully scale up manufacturing of our product candidate in sufficient quality or quantity in a timely manner, if at all, which may impair the clinical advancement and commercialization of our product candidate.</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 and commercialize our product candidate, if approved, our contract manufacturers need to manufacture them in large quantities. We have no experience manufacturing, or managing third parties in manufacturing, our product candidate in the volumes that will be necessary to support large-scale clinical trials or, if approved, commercial sales. Efforts to establish these capabilities may not meet initial expectations as to scheduling, scale-up, reproducibility, yield, purity, cost, potency or quality. If our contract manufacturers are unable to successfully scale up the manufacture of our product candidate in sufficient quality and quantity in a timely manner, the development, testing and clinical trials of our product candidate may be delayed or infeasible, and regulatory approval or, if approved, commercial launch and sustained commercialization of our product candidate may be delayed or not obtained, which could significantly harm our business, financial condition and results of operations. Supply sources could be interrupted from time to time and, if interrupted, would disrupt our contract manufacturers’ ability to manufacture our product candidate at the scale required. Our reliance on contract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candidate on a commercial scale, replacement of a manufacturer may be expensive and time consuming and may cause interruptions in the production of our product candidate. A third-party manufacturer may also encounter difficulties in production. These problems may include:</w:t>
      </w:r>
    </w:p>
    <w:p>
      <w:pPr>
        <w:spacing w:after="0" w:line="54" w:lineRule="exact"/>
        <w:rPr>
          <w:sz w:val="20"/>
          <w:szCs w:val="20"/>
          <w:color w:val="auto"/>
        </w:rPr>
      </w:pPr>
    </w:p>
    <w:p>
      <w:pPr>
        <w:ind w:left="900" w:right="34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strictly enforced federal, state and foreign regulations (including facilities inspections by regulatory authorities) that vary in each country;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scale-up and yields;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raw materials and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quality control and assurance;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1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meet the clinical or, if approved, commercial supply need for our product candidate, or to do so on commercially reasonable terms, we may not be able to further develop our product candidate, including meeting all regulatory requirements, and commercialize our product candidate successfully.</w:t>
      </w:r>
    </w:p>
    <w:p>
      <w:pPr>
        <w:spacing w:after="0" w:line="6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typically indemnify our collaborators from any third party product liability claims that could result from the production, use or consumption of the product, as well as for alleged infringements of any patent or other intellectual property right by a third party. With respect to consulting agreements, we typically indemnify consultants from claims arising from the good faith performance of their consulting services.</w:t>
      </w:r>
    </w:p>
    <w:p>
      <w:pPr>
        <w:spacing w:after="0" w:line="84"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their applicable insurance coverage, and if the collaborator does not have other assets available to indemnify us, our business, financial condition and results of operations could be adversely affected.</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devote to the relevant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experience financial difficulties;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86"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and distribution rights;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independently move forward with a competing drug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are often terminated or allowed to expire, which would delay the development and may increase the cost of developing our drug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With respect to our patent portfolio, we also in-license from IU United States and E.U. patents and pending non-provisional applications in the United States and certain foreign countries that relate to the composition of nomlabofusp and methods of use, and certain U.S. patents relating to materials and methods of use relating to the development of nomlabofusp. We also own or co-own pending international PCT, foreign and United States non-provisional applications, United States Patents, and United States provisional applications relating to the development of nomlabofusp, including methods of use of nomlabofusp, biomarkers and to our peptide delivery platform technology.</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7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provide any assurances that any of our pending patent applications that mature into issued patents will include claims with a scope sufficient to protect nomlabofusp,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nomlabofusp, and other potential product candidates.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1" w:name="page82"/>
    <w:bookmarkEnd w:id="81"/>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7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nomlabofusp are invalidated or found unenforceable, our financial position and results of operations would be materially and adversely impacted. In addition, if a court found that valid, enforceable patents held by third parties covered nomlabofusp, our financial position and results of operations would also be materially and adversely impacted.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900" w:right="10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nomlabofusp or any other products or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and, if approved, commercialize nomlabofusp before our relevant patents expire;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of others.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nomlabofusp or potential future product candidates, third parties could compete against us more directly, which would have a material adverse impact on our business, results of operations, financial condition and prospects.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key patents relating to nomlabofusp, which we license, will expire in 2040 and we will lose our ability to rely upon these patents to prevent competing products from entering the market, which may impair our ability to generate revenue.</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in-licensed issued United States and EU patents and pending non-provisional patent applications in the United States and certain foreign countries relating to composition of matter for nomlabofusp and methods of use from IU. These United States and EU patents will expire in 2040 at the earliest. Pending applications if issued as patents, would also expire in 2040 at the earliest.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nomlabofusp in the United States, EU and certain foreign countries.</w:t>
      </w:r>
    </w:p>
    <w:p>
      <w:pPr>
        <w:spacing w:after="0" w:line="7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We own certain United States and foreign non-provisional applications and a United States patent relating to our platform technology. The United States Patent will expire in 2041 at the earliest, and the pending applications, if issued as patents, would be expected to expire in 2041. We cannot predict whether these provisional applications and non-provisional patent applications will issue as patents in any particular jurisdiction, or whether the claims of any issued patents will provide sufficient protection from competitors or third parties for potential product candidates. When these various patents expire, we will be unable to use the patents to try to block others from marketing products pertaining to our platform technology.</w:t>
      </w:r>
    </w:p>
    <w:p>
      <w:pPr>
        <w:spacing w:after="0" w:line="75"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68" w:lineRule="exact"/>
        <w:rPr>
          <w:sz w:val="20"/>
          <w:szCs w:val="20"/>
          <w:color w:val="auto"/>
        </w:rPr>
      </w:pPr>
    </w:p>
    <w:p>
      <w:pPr>
        <w:ind w:right="500" w:firstLine="509"/>
        <w:spacing w:after="0" w:line="312" w:lineRule="auto"/>
        <w:rPr>
          <w:sz w:val="20"/>
          <w:szCs w:val="20"/>
          <w:color w:val="auto"/>
        </w:rPr>
      </w:pPr>
      <w:r>
        <w:rPr>
          <w:rFonts w:ascii="Times New Roman" w:cs="Times New Roman" w:eastAsia="Times New Roman" w:hAnsi="Times New Roman"/>
          <w:sz w:val="17"/>
          <w:szCs w:val="17"/>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28"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may increase the costs of commercializing nomlabofusp or other potential product candidates, if approved.</w:t>
      </w:r>
    </w:p>
    <w:p>
      <w:pPr>
        <w:spacing w:after="0" w:line="5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Third parties may allege that nomlabofusp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 party intellectual property by our product candidates.</w:t>
      </w:r>
    </w:p>
    <w:p>
      <w:pPr>
        <w:spacing w:after="0" w:line="8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addition, if any such claim were successfully asserted against us and we could not obtain such a license, we may be forced to stop or delay developing, manufacturing, selling or otherwise commercializing nomlabofusp.</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consuming. We may not have sufficient resources to bring these actions to a successful conclusion. In addition, intellectual property litigation or claims could force us to do one or more of the following:</w:t>
      </w:r>
    </w:p>
    <w:p>
      <w:pPr>
        <w:spacing w:after="0" w:line="54"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nomlabofusp;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preparations or development of our other potential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71"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7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7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7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for nomlabofusp. If we were to lose our rights to licensed intellectual property, we may not be able to continue developing or commercializing nomlabofusp, if approved.</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an exclusive license with IU, pursuant to which we exclusively license certain patent rights relating to nomlabofusp and its use for the treatment of mitochondrial diseases, on a worldwide basis. We have a past license with WFUHS in which we exclusively licensed certain patent rights for patents now expired.</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license agreement with IU impose, and we expect our future license agreements will impose, various development, diligence, commercialization, and other obligations on us in order to maintain the licenses. In spite of our efforts, IU, or a future licensor might conclude that we have materially breached our obligations under such license agreement and seek to terminate the license agreement,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nomlabofusp. Any of the foregoing could have a material adverse effect on our competitive position, business, financial conditions, results of operations, and prospects.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nomlabofusp, which could have a material adverse effect on our business, financial conditions, results of operations, and prospects.</w:t>
      </w:r>
    </w:p>
    <w:p>
      <w:pPr>
        <w:spacing w:after="0" w:line="7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previous in-licensed patent rights from WFUHS were funded in part by the U.S. government and were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6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nomlabofusp or other potential product candidates and failure to secure such registrations could adversely affect our business, financial condition and results of operations.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many jurisdictions, we have not yet registered trademarks for a commercial trade name for nomlabofusp or other potential product candidates. Any future trademark applications may be rejected during trademark registration proceedings. Although we would be given an opportunity to respond to those rejections, we may be unable to overcome such rejections. In addition, the USPTO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and similarly in many foreign jurisdictions regardless of whether we have registered it, or applied to register it, as a trademark. The FDA typically conducts a review of proposed product names, including an evaluation of potential for confusion with other product names. If the FDA or a foreign regulatory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other regulatory authorities.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5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nomlabofusp, our business may be materially harmed.</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development and FDA marketing approval of nomlabofusp or our other potential product candidates, one or more of our U.S. patents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not adequately protect our technologies, which may adversely affect our position in the market, business, financial condition and results of operations.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86" w:lineRule="exact"/>
        <w:rPr>
          <w:sz w:val="20"/>
          <w:szCs w:val="20"/>
          <w:color w:val="auto"/>
        </w:rPr>
      </w:pPr>
    </w:p>
    <w:p>
      <w:pPr>
        <w:ind w:right="620"/>
        <w:spacing w:after="0" w:line="289" w:lineRule="auto"/>
        <w:rPr>
          <w:sz w:val="20"/>
          <w:szCs w:val="20"/>
          <w:color w:val="auto"/>
        </w:rPr>
      </w:pPr>
      <w:r>
        <w:rPr>
          <w:rFonts w:ascii="Times New Roman" w:cs="Times New Roman" w:eastAsia="Times New Roman" w:hAnsi="Times New Roman"/>
          <w:sz w:val="17"/>
          <w:szCs w:val="17"/>
          <w:color w:val="auto"/>
        </w:rPr>
        <w:t>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5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September 2011, brought significant changes to the U.S. patent law system. These include provisions that affect the 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develop and commercialize nomlabofusp or our other potential product candidates, which would materially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highly volatile, and purchasers of our common stock could incur substantial losses.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68"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product candidates, and delays or failures to obtain such approvals;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and delays in, current, and any future, non-clinical or clinical trials of nomlabofusp or any of our future product candidates, including any delays related to a future pandemic, epidemic or outbreak of an infectious disease;</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 including the potential impact of ongoing conflict of the current conflict in the Middle East (including any further escalation or expansion) and the ongoing conflict between Russia and Ukraine;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licensing or collaboration agreements;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nomlabofusp or any of our future product candidates, if approved for marketing and commercialization, to achieve commercial success;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commercial partners or competitors of new commercial products, clinical progress (or the lack thereof), significant business developments,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including with respect to other products and potential products in such markets;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competing with our potential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potentially affecting our research and development expenditures;</w:t>
      </w:r>
    </w:p>
    <w:p>
      <w:pPr>
        <w:spacing w:after="0" w:line="117" w:lineRule="exact"/>
        <w:rPr>
          <w:rFonts w:ascii="Times New Roman" w:cs="Times New Roman" w:eastAsia="Times New Roman" w:hAnsi="Times New Roman"/>
          <w:sz w:val="18"/>
          <w:szCs w:val="18"/>
          <w:color w:val="auto"/>
        </w:rPr>
      </w:pPr>
    </w:p>
    <w:p>
      <w:pPr>
        <w:jc w:val="both"/>
        <w:ind w:left="900" w:right="42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a global pandemic, or macroeconomic factors such as geopolitical tensions, tariffs, or the outbreak or escalation of hostilities or war;</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 perceptions of us or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is no guarantee that our common stock will appreciate or even maintain the price at which our holders have purchased it. Therefore, there is a risk that investors may lose all or part of their investment in our securities.</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54"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8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w:t>
      </w:r>
    </w:p>
    <w:p>
      <w:pPr>
        <w:spacing w:after="0" w:line="6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our business and reputation may be harmed and our stock price may decline. Furthermore, investor perceptions of us may be adversely affected, which could cause a decline in the market price of our common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highly concentrated, and it may prevent other stockholders from influencing significant corporate decisions.</w:t>
      </w:r>
    </w:p>
    <w:p>
      <w:pPr>
        <w:spacing w:after="0" w:line="121" w:lineRule="exact"/>
        <w:rPr>
          <w:sz w:val="20"/>
          <w:szCs w:val="20"/>
          <w:color w:val="auto"/>
        </w:rPr>
      </w:pPr>
    </w:p>
    <w:p>
      <w:pPr>
        <w:ind w:right="380" w:firstLine="509"/>
        <w:spacing w:after="0" w:line="277" w:lineRule="auto"/>
        <w:rPr>
          <w:sz w:val="20"/>
          <w:szCs w:val="20"/>
          <w:color w:val="auto"/>
        </w:rPr>
      </w:pPr>
      <w:r>
        <w:rPr>
          <w:rFonts w:ascii="Times New Roman" w:cs="Times New Roman" w:eastAsia="Times New Roman" w:hAnsi="Times New Roman"/>
          <w:sz w:val="17"/>
          <w:szCs w:val="17"/>
          <w:color w:val="auto"/>
        </w:rPr>
        <w:t>Entities affiliated with Deerfield Management Company beneficially own or control approximately 36.8% of our outstanding common stock (assuming no exercise of outstanding options and no conversion of Series A Convertible Preferred Stock) as of December 31, 2025. Accordingly, such entities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spacing w:after="0" w:line="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Exchange Act of 1934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 because we are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Stock Market LLC could result in a delisting of our Common Stock.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shares of common stock when they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obligations of being a public company in the United States require significant expenditures and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(the “Dodd-Frank Act”) and the listing requirements of Nasdaq on which our securities are listed. These rules require the maintenance of effective disclosure and financial controls and procedures, internal control over financial reporting and strong corporate governance practices, among many other complex rules that are often difficult to implement, monitor and maintain compliance with. Our management and other personnel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8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geopolitical events and general conditions in the global financial markets. A severe or prolonged economic downturn due to geopolitical tension resulting from ongoing conflict between Russia and Ukraine and the current conflict in the Middle East (including further escalation or expansion) or other factors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into receivership by the Federal Deposit Insurance Corporation.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 Risk Management and Strategy</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manage cybersecurity risks relating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products (Information Systems and Data).</w:t>
      </w:r>
    </w:p>
    <w:p>
      <w:pPr>
        <w:spacing w:after="0" w:line="6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Our Director of Information Technology, assisted by our information technology managed services provider and other third party service providers, leads the Company’s cybersecurity risk management processes. This group works to identify and assess risks from cybersecurity threats by monitoring and evaluating our threat environment and the Company’s risk profile using various methods in certain contexts, including, manual tools, subscribing to reports and services that identify cybersecurity threats, analyzing threat intelligence reports and feeds, conducting scans of certain environments, and other tests.</w:t>
      </w:r>
    </w:p>
    <w:p>
      <w:pPr>
        <w:spacing w:after="0" w:line="72"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We implement and maintain various technical, physical, and organizational measures, processes, standards and policies designed to manage risks from cybersecurity threats to our Information Systems and Data, as applicable depending on the environment, including incident detection and response, disaster recovery/business continuity policies, network security controls and data segmentation, access controls, physical security, asset management and tracking, systems monitoring, and employee training.</w:t>
      </w:r>
    </w:p>
    <w:p>
      <w:pPr>
        <w:spacing w:after="0" w:line="7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assessment and management of risks from cybersecurity threats are part of the Company’s overall risk management processes. Our Director of Information Technology works with management to prioritize our risk management processes and the mitigation of cybersecurity threats.</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to identify, assess, and manage risks from cybersecurity threats. These third-party service providers may include threat intelligence service providers, cybersecurity consultants, cybersecurity software providers, managed cybersecurity service providers, and dark web monitoring services.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also have established a process to conduct diligence on certain third parties before engaging with those third parties, such as those that support our GxP processes, which may include a security assessment.</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our risk factors under Part 1 Item 1A. Risk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holds oversight responsibility over the Company’s cybersecurity risk management as part of its general oversight function. The audit committee of the board of directors is responsible for overseeing the Company’s cybersecurity risk management processes, including oversight of the Company’s processes for monitoring and controlling cybersecurity risks.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Director of Information Technology, who has over 10 years of information technology management experience.</w:t>
      </w:r>
    </w:p>
    <w:p>
      <w:pPr>
        <w:spacing w:after="0" w:line="54"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Director of Information Technology, along with management, is responsible for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security-related reports.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processes designed to escalate certain cybersecurity matters, including incidents, to members of management depending on the circumstances, including our Vice President Legal and Compliance, Vice President Finance and Administration, Vice President - Controller, Chief Financial Officer and Director of Information Technology. In addition, the Company’s incident response policy includes a process for reporting to the audit committee of the board of directors for certain cybersecurity incidents.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receives reports from members of the Company’s management concerning the Company’s significant cybersecurity threats and risk and the processes the Company has implemented to address them, as applicable.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are party to an operating lease for approximately 3,927 square feet of laboratory space in King of Prussia, PA. We believe the lab space is sufficient for our needs for the next several years.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party to an operating lease for approximately 8,104 square feet of office space in Bala Cynwyd, Pennsylvania that serves as our corporate office. On November 24, 2025, we entered into a lease for an additional 7,107 square footage of office space through January 31, 2030 at our Bala Cynwyd Pennsylvania location and extended the term of all our other Bala Cynwyd space through January 31, 2030. We expect to occupy the additional 7,107 of additional office space when renovations are complete, which is expected to be around April 1, 2026.</w:t>
      </w:r>
    </w:p>
    <w:p>
      <w:pPr>
        <w:spacing w:after="0" w:line="7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We are party to an operating lease for approximately 17,705 square feet of office space in Boston, Massachusetts. This lease expires in October 2029. On October 27, 2020, we entered into a sublease agreement whereby we subleased all 17,705 square feet of office space leased under the Boston Lease until October 2029.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publicly traded on the Nasdaq Global Market under the symbol “LRMR.”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19, 2026, we had approximately ___ record holders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declared or paid any dividends since our inception nor do we expect to pay dividends in the foreseeable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herein to Part III, Item 12 of this Annual Report on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have been no sales of unregistered securities other than as previously disclosed by us in our Current Reports on Form 8-K as filed with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is a subcutaneously administered, recombinant fusion protein intended to deliver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also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$136.9 million. In February 2026, we raised net proceeds of approximately $107.6 million in an underwritten public offering of common stock. We anticipate the $107.6 million in net proceeds, together with $136.9 million of cash will fund operations into the second quarter of 2027.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Orphan Drug Designation, Fast Track Designation, Pediatric Rare Disease Designation and Breakthrough Therapy Designation from the FDA and have been granted orphan drug designation and access to the European Medicines Agency’s (“EMA’s”) Priority Medicines Program (“PRIME”) scheme in the European Union (the “EU”). We have also received access in the United Kingdom (the “UK”) to the Medicines and Healthcare Regulatory Agency’s (“MHRA”) Innovative Licensing and Access Pathway (“ILAP”). These programs are designed to facilitate development of certain therapeutics such as those for rare and serious diseases, and those that have the potential to meet an unmet medical need.</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FDA’s Center for Drug Evaluation and Research selected nomlabofusp as one of a few drug development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engaged in multiple discussions and interactions with the FDA in connection with our clinical development of nomlabofusp and communications remain ongoing. We have also had numerous interactions with the EMA, the MHRA, and Canada’s Health Canada regarding the clinical development of nomlabofusp.</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completed four clinical studies: (i) two Phase 1 clinical studies in adults, (ii) a Phase 2 dose exploration study in adults and (iii) a Phase 1 pharmacokinetic (“PK”) run-in study in adolescents (12-17 years old). We currently have an ongoing open label (“OL”) study (previously referred to as the Open Label Extension, (“OLE”) study) in adults and adolescents with FA.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6" w:name="page97"/>
    <w:bookmarkEnd w:id="96"/>
    <w:p>
      <w:pPr>
        <w:spacing w:after="0" w:line="8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Recent significant developments are as follows:</w:t>
      </w:r>
    </w:p>
    <w:p>
      <w:pPr>
        <w:spacing w:after="0" w:line="117" w:lineRule="exact"/>
        <w:rPr>
          <w:sz w:val="20"/>
          <w:szCs w:val="20"/>
          <w:color w:val="auto"/>
        </w:rPr>
      </w:pPr>
    </w:p>
    <w:p>
      <w:pPr>
        <w:ind w:left="383" w:hanging="383"/>
        <w:spacing w:after="0" w:line="254"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reported initial data from our ongoing OL study. This data included safety, FXN levels, clinical and PK data in 14 participants administered 25 mg nomlabofusp daily for up to 260 days (mean 99 days). Tissue FXN levels increased and were maintained at day 90 and there were early trends towards improvement in clinical outcomes observed at day 90. The most common adverse events were injection site reactions and two participants experienced serious adverse events (one seizure and one anaphylactic reaction) that resolved within 24 hours and they were withdrawn from the study. Also in December 2024, we announced that we were increasing the dose in the OL study to 50 mg of nomlabofusp daily for then currently enrolled participants and would be starting all new patients on 50 mg daily and in March 2025 we announced that all participants had transitioned to the 50 mg daily dose. In March 2025 we also announced that our Safety Monitoring Team had identified anaphylaxis as an adverse drug reaction likely associated with nomlabofusp.</w:t>
      </w:r>
    </w:p>
    <w:p>
      <w:pPr>
        <w:spacing w:after="0" w:line="83" w:lineRule="exact"/>
        <w:rPr>
          <w:rFonts w:ascii="Times New Roman" w:cs="Times New Roman" w:eastAsia="Times New Roman" w:hAnsi="Times New Roman"/>
          <w:sz w:val="18"/>
          <w:szCs w:val="18"/>
          <w:color w:val="auto"/>
        </w:rPr>
      </w:pPr>
    </w:p>
    <w:p>
      <w:pPr>
        <w:ind w:left="383" w:right="20" w:hanging="383"/>
        <w:spacing w:after="0" w:line="273" w:lineRule="auto"/>
        <w:tabs>
          <w:tab w:leader="none" w:pos="38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We completed dosing in 14 adolescents in March 2025. The PK and exposure data were similar to adults and the participants became eligible to enroll in the OL study. The PK results from the adolescent cohort also supported the predictive value of our exposure modeling and will facilitate direct enrollment of children (2-11 years old) into the OL study which would eliminate any pause in study drug administration between the PK study and the OL study. Therefore, it was not necessary to perform a cohort for children in the PK study and we terminated the study. We are now planning to initiate enrollment of children directly into the ongoing OL study.</w:t>
      </w:r>
    </w:p>
    <w:p>
      <w:pPr>
        <w:spacing w:after="0" w:line="63" w:lineRule="exact"/>
        <w:rPr>
          <w:rFonts w:ascii="Times New Roman" w:cs="Times New Roman" w:eastAsia="Times New Roman" w:hAnsi="Times New Roman"/>
          <w:sz w:val="17"/>
          <w:szCs w:val="17"/>
          <w:color w:val="auto"/>
        </w:rPr>
      </w:pPr>
    </w:p>
    <w:p>
      <w:pPr>
        <w:ind w:left="383" w:right="100" w:hanging="383"/>
        <w:spacing w:after="0" w:line="266"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FDA accepted the data supporting the comparability of the lyophilized drug product to the frozen solution and agreed with our plans to introduce the lyophilized product into our clinical development program. In July 2025, we began introducing the lyophilized product formulation into the OL study. This is the formulation intended for commercialization.</w:t>
      </w:r>
    </w:p>
    <w:p>
      <w:pPr>
        <w:spacing w:after="0" w:line="67" w:lineRule="exact"/>
        <w:rPr>
          <w:rFonts w:ascii="Times New Roman" w:cs="Times New Roman" w:eastAsia="Times New Roman" w:hAnsi="Times New Roman"/>
          <w:sz w:val="18"/>
          <w:szCs w:val="18"/>
          <w:color w:val="auto"/>
        </w:rPr>
      </w:pPr>
    </w:p>
    <w:p>
      <w:pPr>
        <w:ind w:left="383" w:right="20" w:hanging="383"/>
        <w:spacing w:after="0" w:line="272" w:lineRule="auto"/>
        <w:tabs>
          <w:tab w:leader="none" w:pos="38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2025, we announced that the FDA stated as part of the START Pilot Program, that it is open to considering the use of FXN concentration as a reasonably likely surrogate endpoint (“RLSE”) and the acceptability of FXN concentration as an RLSE to support accelerated approval will be a matter of review in a future marketing application. The FDA recommended focusing on assessments of skin FXN concentrations rather than buccal FXN concentrations due to more consistent sampling and less variability. The FDA acknowledged that data we submitted appeared to support a relationship between increased FXN concentrations in skin and relevant tissues such as the heart, dorsal root ganglion and skeletal muscle. The FDA also acknowledged that the nonclinical studies we submitted were performed at relevant human doses. The FDA also suggested that we consider exploring the relationship between increases in FXN in skin and changes in pharmacodynamic (“PD”) markers such as lipid profiles and/or clinical measures to provide additional support for the use of FXN as an RLSE.</w:t>
      </w:r>
    </w:p>
    <w:p>
      <w:pPr>
        <w:spacing w:after="0" w:line="63" w:lineRule="exact"/>
        <w:rPr>
          <w:rFonts w:ascii="Times New Roman" w:cs="Times New Roman" w:eastAsia="Times New Roman" w:hAnsi="Times New Roman"/>
          <w:sz w:val="17"/>
          <w:szCs w:val="17"/>
          <w:color w:val="auto"/>
        </w:rPr>
      </w:pPr>
    </w:p>
    <w:p>
      <w:pPr>
        <w:ind w:left="383" w:right="360" w:hanging="383"/>
        <w:spacing w:after="0" w:line="261"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FDA provided recommendations regarding the safety data set that might be needed to support a Biologics License Application.(“BLA”) seeking accelerated approval, which included evaluating safety in at least 30 participants with continuous study drug exposure for six months and a subset of at least 10 of those participants with continuous study drug exposure for one year, with the large majority of data coming from participants receiving the 50 mg dose.</w:t>
      </w:r>
    </w:p>
    <w:p>
      <w:pPr>
        <w:spacing w:after="0" w:line="71" w:lineRule="exact"/>
        <w:rPr>
          <w:rFonts w:ascii="Times New Roman" w:cs="Times New Roman" w:eastAsia="Times New Roman" w:hAnsi="Times New Roman"/>
          <w:sz w:val="18"/>
          <w:szCs w:val="18"/>
          <w:color w:val="auto"/>
        </w:rPr>
      </w:pPr>
    </w:p>
    <w:p>
      <w:pPr>
        <w:ind w:left="383" w:right="40" w:hanging="383"/>
        <w:spacing w:after="0" w:line="261"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publication of nonclinical data evaluating the mechanism of action, pharmacodynamics and pharmacology of nomlabofusp as a novel FXN protein replacement therapy designed to address the underlying cause of FA in two peer-reviewed articles. These data were included in the briefing package reviewed by the FDA in support of using skin FXN concentrations as a RLSE for our registrational program seeking accelerated approval for nomlabofusp.</w:t>
      </w:r>
    </w:p>
    <w:p>
      <w:pPr>
        <w:spacing w:after="0" w:line="71" w:lineRule="exact"/>
        <w:rPr>
          <w:rFonts w:ascii="Times New Roman" w:cs="Times New Roman" w:eastAsia="Times New Roman" w:hAnsi="Times New Roman"/>
          <w:sz w:val="18"/>
          <w:szCs w:val="18"/>
          <w:color w:val="auto"/>
        </w:rPr>
      </w:pPr>
    </w:p>
    <w:p>
      <w:pPr>
        <w:ind w:left="383" w:right="40" w:hanging="383"/>
        <w:spacing w:after="0" w:line="261"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positive 25 mg and 50 mg data from the OL study evaluating daily subcutaneous injections of nomlabofusp self-administered or administered by a caregiver in participants with FA. Ten out of 10 participants with data at six months achieved skin FXN levels that were higher than 50% of median levels in healthy volunteers and similar to levels expected in asymptomatic carriers. We also observed consistent directional improvements across four key clinical outcomes relative to a</w:t>
      </w:r>
    </w:p>
    <w:p>
      <w:pPr>
        <w:spacing w:after="0" w:line="396"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97" w:name="page98"/>
    <w:bookmarkEnd w:id="97"/>
    <w:p>
      <w:pPr>
        <w:spacing w:after="0" w:line="86" w:lineRule="exact"/>
        <w:rPr>
          <w:sz w:val="20"/>
          <w:szCs w:val="20"/>
          <w:color w:val="auto"/>
        </w:rPr>
      </w:pPr>
    </w:p>
    <w:p>
      <w:pPr>
        <w:ind w:left="900" w:right="60"/>
        <w:spacing w:after="0" w:line="255" w:lineRule="auto"/>
        <w:rPr>
          <w:sz w:val="20"/>
          <w:szCs w:val="20"/>
          <w:color w:val="auto"/>
        </w:rPr>
      </w:pPr>
      <w:r>
        <w:rPr>
          <w:rFonts w:ascii="Times New Roman" w:cs="Times New Roman" w:eastAsia="Times New Roman" w:hAnsi="Times New Roman"/>
          <w:sz w:val="18"/>
          <w:szCs w:val="18"/>
          <w:color w:val="auto"/>
        </w:rPr>
        <w:t>worsening in a Friedreich's Ataxia Clinical Outcomes Measure study (“FACOMS”) natural history study reference population. In participants receiving long term continuous treatment, including 14 participants on nomlabofusp for at least six months, eight of whom continued to be on nomlabofusp for over one year, daily administration of nomlabofusp was generally well-tolerated. Anaphylaxis was reported in seven participants, with most events occurring on the initial day of administration and all occurring within the first 6 weeks of dosing and all were withdrawn from the OL study. As a result, we consulted experts and decided to modify the starting dose regimen and the FDA agreed with our approach. The most common adverse events continued to be local injection site reactions that are mostly mild, brief in duration and self-limited.</w:t>
      </w:r>
    </w:p>
    <w:p>
      <w:pPr>
        <w:spacing w:after="0" w:line="81" w:lineRule="exact"/>
        <w:rPr>
          <w:sz w:val="20"/>
          <w:szCs w:val="20"/>
          <w:color w:val="auto"/>
        </w:rPr>
      </w:pPr>
    </w:p>
    <w:p>
      <w:pPr>
        <w:ind w:left="900" w:right="60" w:hanging="383"/>
        <w:spacing w:after="0" w:line="25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also announced that we amended the previous OLE study protocol (which had only included participants from previous clinical trials of nomlabofusp) to include adolescent and adult patients who have not previously participated in a prior nomlabofusp study and the study is now being referred to as the OL study. In addition to risk mitigation measures against anaphylaxis that are already in place such as pre-medicating with antihistamines and supplying epinephrine auto-injectors to study participants, we introduced a new dosing regimen in which participants initially receive a 5 mg dose followed by a 25 mg dose one hour later under observation. Nomlabofusp 25 mg is then administered once daily through day 30 and then the dose is increased to 50 mg once daily.</w:t>
      </w:r>
    </w:p>
    <w:p>
      <w:pPr>
        <w:spacing w:after="0" w:line="79" w:lineRule="exact"/>
        <w:rPr>
          <w:rFonts w:ascii="Times New Roman" w:cs="Times New Roman" w:eastAsia="Times New Roman" w:hAnsi="Times New Roman"/>
          <w:sz w:val="18"/>
          <w:szCs w:val="18"/>
          <w:color w:val="auto"/>
        </w:rPr>
      </w:pPr>
    </w:p>
    <w:p>
      <w:pPr>
        <w:jc w:val="both"/>
        <w:ind w:left="900" w:right="160" w:hanging="383"/>
        <w:spacing w:after="0" w:line="289" w:lineRule="auto"/>
        <w:tabs>
          <w:tab w:leader="none" w:pos="9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2026, the FDA granted the nomlabofusp program Breakthrough Therapy Designation (“BTD”). BTD is intended to expedite the development and regulatory review of a drug intended to treat a serious condition. A drug is eligible for BTD if preliminary clinical evidence indicates that the drug may demonstrate substantial improvement over available treatments in one or more clinically significant endpoints.</w:t>
      </w:r>
    </w:p>
    <w:p>
      <w:pPr>
        <w:spacing w:after="0" w:line="49" w:lineRule="exact"/>
        <w:rPr>
          <w:rFonts w:ascii="Times New Roman" w:cs="Times New Roman" w:eastAsia="Times New Roman" w:hAnsi="Times New Roman"/>
          <w:sz w:val="17"/>
          <w:szCs w:val="17"/>
          <w:color w:val="auto"/>
        </w:rPr>
      </w:pPr>
    </w:p>
    <w:p>
      <w:pPr>
        <w:ind w:left="900" w:right="100" w:hanging="383"/>
        <w:spacing w:after="0" w:line="258"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 February 2026, as a result of a START pilot program meeting with the FDA, we announced continued alignment with the FDA to consider the use of skin FXN as a novel surrogate endpoint reasonably likely to predict clinical benefit to support a planned Biologics License Application (“BLA”) submission seeking accelerated approval and that the use of FXN as a novel surrogate endpoint to support accelerated approval. There was also agreement on the type of analyses required to support the exposure response relationships for the nomlabofusp program. The FDA stated that the adequacy of the safety database will be a matter of review at the time of BLA submission.</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plan to provide topline study data from our OL study in the second quarter of 2026 and we plan to submit a BLA seeking accelerated approval in June 2026.</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our global confirmatory Phase 3 study, we are planning sites in the U.S., E.U., U.K., Canada and Australia. We have obtained feedback from both the FDA and the EMA on the study protocol. Our clinical trial application was recently approved by Canada Health Authorities and now will undergo Ethics Committee review. We have also filed our CTIS application with the EMA and it is currently under review by France Health Authorities. Submission to the U.K. regulatory authorities is expected to follow soon. We plan to initiate screening in the U.S.for the study in the second quarter of 2026, with dosing of the first patient expected in mid-2026.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Sales Agreement (“ATM Agreement”) with Guggenheim Securities, LLC in connection with the establishment of an “at-the-market” offering program providing for the sale of up to an aggregate of $100 million of shares of our common stock from time to time. To date, we have made no sales under the ATM agreement.</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July 2025, we completed an underwritten public offering in which we issued and sold 21,562,500 shares of our common stock, including the exercise in full of the underwriters' option to purchase additional shares, at a public offering price of $3.20 per share. We received net proceeds of approximately $65.0 million, after deducting underwriting discounts, commissions, and other offering expenses.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February 2026, we completed an underwritten public offering in which we issued and sold 23,000,000 shares of our common stock, including the exercise in full of the underwriters' option to purchase additional shares, at a public offering price of $5.00 per share. We received net proceeds of approximately $107.6 million, after deducting underwriting discounts, commissions, and other offering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continue to increase in the foreseeable future as we pursue clinical development including manufacturing activities of nomlabofusp and/or any other product candidates we develop.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we estimated our expected common stock price volatility solely based on the historical volatility of publicly traded peer companies with comparable characteristics including enterprise value, risk profiles, and position within the industry. Beginning on January 1, 2023, we began blending our historical data starting in June 2020 (following our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86"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In January 2025, our Board of Directors (“Board”) approved the issuance of an aggregate of 200,000 performance-based restricted stock units (“PSUs”) under the 2020 Plan to our executive officers (the “January 2025 PSU Awards”). The Board established specified performance criteria and a corresponding performance period over which such performance criteria must be achieved, the satisfaction of which are conditions to vesting of the January 2025 PSU Awards. As of December 31, 2025, the underlying performance criteria of the January 2025 PSU Awards were determined to be not probable of achievement for accounting purposes and no stock-based compensation expense was recognized for the twelve months ended December 31, 2025.</w:t>
      </w:r>
    </w:p>
    <w:p>
      <w:pPr>
        <w:spacing w:after="0" w:line="79"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86" w:lineRule="exact"/>
        <w:rPr>
          <w:sz w:val="20"/>
          <w:szCs w:val="20"/>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commercial, information technology, and costs related to other administrative functions. General and administrative expenses also include insurance expenses and professional fees for auditing, commercial readiness costs, tax, and legal services, including legal expenses to pursue patent protection for our intellectual property and related costs. We expect that our general and administrative expenses will increase in the foreseeable future as we hire additional employees to implement, improve, and scale our operational, financial, commercial and management systems.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commentary is a discussion and analysis of our financial condition as of December 31, 2025 and results of operations and cash flows for the year ended December 31, 2025 compared to the year ended December 31, 2024 and should be read in conjunction with the consolidated financial statements and accompanying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315"/>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154,224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73,278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80,946</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172,497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(90,890)</w:t>
            </w: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(81,607)</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(165,673)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(80,604)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(85,069)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-453390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-453390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twelve months ended December 31, 2025 increased $80.9 million compared to the twelve months ended December 31, 2024. The rise in research and development expenses was primarily driven by an increase of $63.3 million in nomlabofusp manufacturing costs, including process performance qualification and commercialization scale up activities, an increase of $6.3 million in costs associated with ongoing clinical studies, an increase of $5.9 million in professional consulting fees for quality, clinical, and regulatory activities, an increase of $4.3 million in personnel expense primarily due to increased headcount, and an increase of $2.1 million in non-clinical costs related to assay development and drug development.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twelve months ended December 31, 2025 increased $0.7 million compared to the twelve months ended December 31, 2024. This increase was primarily attributable to an increase of $1.2 million in personnel expense driven by increased headcount and an increase of $0.9 million in professional consulting fees primarily related to ongoing and increasing pre-commercial activities, partially offset by a decrease in non-cash stock compensation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$6.8 million of income in the twelve months ended December 31, 2025 compared to $10.3 million in the twelve months ended December 31, 2024. The decrease was primarily driven by lower interest and accretion income due to lower interest yields and lower average investable cash, cash equivalents, and marketable securities balances.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developing third-party manufacturing capabilities, building our intellectual property portfolio, business planning, capital raising, and providing general and administrative support for such operations.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(113,201)</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(70,760)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(85,387)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52,194</w:t>
            </w:r>
          </w:p>
        </w:tc>
        <w:tc>
          <w:tcPr>
            <w:tcW w:w="280" w:type="dxa"/>
            <w:vAlign w:val="bottom"/>
          </w:tcPr>
          <w:p>
            <w:pPr>
              <w:spacing w:after="0"/>
              <w:rPr>
                <w:sz w:val="18"/>
                <w:szCs w:val="18"/>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5,736</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net operating activities used $113.2 million of cash, resulting from our net loss of $165.7 million, adjusted for noncash expenses of $5.4 million, and changes in our operating assets and liabilities provided cash of $47.1 million. Our net loss was attributed to operating expenses of $172.5 million, offset by other income (net) of $6.8 million. The change in operating assets and liabilities was primarily due to an increase in accounts payable, an increase in accrued expenses related to nomlabofusp manufacturing and offset by an increase in prepaid assets, all sources of cash associated with increasing expenditures and development activity.</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$70.8 million of cash, resulting from our net loss of $80.6 million, adjusted for noncash expenses of $3.7 million, and changes in our operating assets and liabilities resulting in a use of cash of $6.2 million. Our net loss was attributed to operating expenses of $90.9 million, offset by other income (net) of $10.3 million. The change in operating assets and liabilities was a net source of cash primarily due to increases in accounts payable and accrued expenses partially offset by a decrease in prepaid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investing activities were a source of $100.3 million of net cash, resulting from $184.0 million of maturities of marketable securities, which was offset by purchases of $83.6 million in marketable securities.</w:t>
      </w:r>
    </w:p>
    <w:p>
      <w:pPr>
        <w:spacing w:after="0" w:line="5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investing activities used $85.4 million of net cash, resulting from purchases of $227.9 million in marketable securities, which was offset by $143.0 million of maturities of marketable securities.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2025, financing activities provided $65.1 million of cash primarily from an offering of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financing activities provided $161.9 million of cash primarily from an offering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w:t>
      </w:r>
    </w:p>
    <w:p>
      <w:pPr>
        <w:spacing w:after="0" w:line="11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$165.7 million and $80.6 million for the twelve months ended December 31, 2025 and 2024, respectively. As of December 31, 2025, we had an accumulated deficit of $434.8 million and a cash, cash equivalents and marketable securities balance of $136.9 million, excluding restricted cash of $0.6 million.</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as we expect to continue to incur expenses in connection with our ongoing activities, if and as we:</w:t>
      </w:r>
    </w:p>
    <w:p>
      <w:pPr>
        <w:spacing w:after="0" w:line="54" w:lineRule="exact"/>
        <w:rPr>
          <w:sz w:val="20"/>
          <w:szCs w:val="20"/>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900" w:right="96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July 2025, we sold 21,562,500 shares of our common stock, after deducting underwriters' discounts, commissions and other offering expenses and received net proceeds of approximately $65.0 million, after deducting underwriting discounts, commissions, and other offering expenses.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February 2026, we completed an underwritten public offering in which we issued and sold 23,000,000 shares of our common stock, including the exercise in full of the underwriters' option to purchase additional shares, at a public offering price of $5.00 per share. We received net proceeds of approximately $107.6 million, after deducting underwriting discounts, commissions, and other offering expenses.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anticipate that our cash, cash equivalents and marketable securities of $136.9 million as of December 31, 2025, together with the $107.6 million of net proceeds from our February 2026 public offering of common stock will fund operations into the second quarter of 2027.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could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if required, we would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required to obtain sufficient funding, but are unable to do so,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audited consolidated financial statements included in Part IV, Item 15, of this Annual Report for a description of recent accounting pronouncements applicable to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60" w:right="3880" w:firstLine="46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audited consolidated financial statements and the report of our independent registered public accounting firm are included in this Annual Report on Form 10-K on the pages indicated in Part IV,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the year ended December 31, 2025,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2025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620" w:hanging="238"/>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firstLine="382"/>
        <w:spacing w:after="0" w:line="266" w:lineRule="auto"/>
        <w:tabs>
          <w:tab w:leader="none" w:pos="6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the fiscal year ended December 31, 2025, no director or “officer” as defined in Rule 16a-1(f) under the Exchange Act adopted or terminated any Rule 10b5-1 trading plan or arrangements or any non-Rule 10b5-1 trading plan or arrangements, in both cases as defined in Item 408(a)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of Form 10-K is incorporated by reference to the information contained in our definitive proxy statement for the 2026 annual meeting of stockholders.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this Annual Report on Form 10-K. In addition, with regard to trading in our own securities, it is our policy to comply with the federal securities laws and the applicable exchange listing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to the information contained in our definitive proxy statement for the 2026 annual meeting of stockholders.</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to the information contained in our definitive proxy statement for the 2026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to the information contained in our definitive proxy statement for the 2026 annual meeting of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accounting firm is PricewaterhouseCoopers LLP, Philadelphia, Pennsylvania, USA, PCAOB Auditor ID: 238.</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to the information contained in our definitive proxy statement for the 2026 annual meeting of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7" w:name="page108"/>
    <w:bookmarkEnd w:id="10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 of this Annual Report.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as all information required in these schedules is included in the Notes to the Consolidated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Reference is made to the Exhibit Index below for a list of exhibits required by Item 601 of Regulation S-K to be filed as part of this Annual Report.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08" w:name="page109"/>
    <w:bookmarkEnd w:id="108"/>
    <w:p>
      <w:pPr>
        <w:jc w:val="center"/>
        <w:ind w:right="40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140" w:hanging="138"/>
        <w:spacing w:after="0"/>
        <w:tabs>
          <w:tab w:leader="none" w:pos="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in this document has been excluded pursuant to Regulation S-K, Item 601(b)(10).</w:t>
      </w:r>
    </w:p>
    <w:p>
      <w:pPr>
        <w:spacing w:after="0" w:line="117" w:lineRule="exact"/>
        <w:rPr>
          <w:sz w:val="20"/>
          <w:szCs w:val="20"/>
          <w:color w:val="auto"/>
        </w:rPr>
      </w:pPr>
    </w:p>
    <w:p>
      <w:pPr>
        <w:ind w:right="100" w:firstLine="2"/>
        <w:spacing w:after="0" w:line="282" w:lineRule="auto"/>
        <w:tabs>
          <w:tab w:leader="none" w:pos="1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annexes or exhibits have been omitted pursuant to Item 601(a)(5) of Regulation S-K, but will be furnished supplementally to the SEC upon request.</w:t>
      </w:r>
    </w:p>
    <w:p>
      <w:pPr>
        <w:spacing w:after="0" w:line="54" w:lineRule="exact"/>
        <w:rPr>
          <w:sz w:val="20"/>
          <w:szCs w:val="20"/>
          <w:color w:val="auto"/>
        </w:rPr>
      </w:pPr>
    </w:p>
    <w:p>
      <w:pPr>
        <w:ind w:right="140" w:firstLine="2"/>
        <w:spacing w:after="0" w:line="266" w:lineRule="auto"/>
        <w:tabs>
          <w:tab w:leader="none" w:pos="2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196" w:lineRule="exact"/>
        <w:rPr>
          <w:sz w:val="20"/>
          <w:szCs w:val="20"/>
          <w:color w:val="auto"/>
        </w:rPr>
      </w:pPr>
    </w:p>
    <w:p>
      <w:pPr>
        <w:ind w:left="60"/>
        <w:spacing w:after="0"/>
        <w:tabs>
          <w:tab w:leader="none" w:pos="56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8" w:lineRule="exact"/>
        <w:rPr>
          <w:sz w:val="20"/>
          <w:szCs w:val="20"/>
          <w:color w:val="auto"/>
        </w:rPr>
      </w:pPr>
    </w:p>
    <w:p>
      <w:pPr>
        <w:ind w:left="880" w:hanging="328"/>
        <w:spacing w:after="0" w:line="27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2.1 </w:t>
      </w:r>
      <w:hyperlink r:id="rId139">
        <w:r>
          <w:rPr>
            <w:rFonts w:ascii="Times New Roman" w:cs="Times New Roman" w:eastAsia="Times New Roman" w:hAnsi="Times New Roman"/>
            <w:sz w:val="17"/>
            <w:szCs w:val="17"/>
            <w:u w:val="single" w:color="auto"/>
            <w:color w:val="0000FF"/>
          </w:rPr>
          <w:t>Agreement and Plan of Merger, dated as of December 17, 2019, by and among Zafgen, Inc., Chondrial Therapeutics, Inc., Chondrial</w:t>
        </w:r>
      </w:hyperlink>
      <w:r>
        <w:rPr>
          <w:rFonts w:ascii="Times New Roman" w:cs="Times New Roman" w:eastAsia="Times New Roman" w:hAnsi="Times New Roman"/>
          <w:sz w:val="17"/>
          <w:szCs w:val="17"/>
          <w:color w:val="auto"/>
        </w:rPr>
        <w:t xml:space="preserve"> </w:t>
      </w:r>
      <w:hyperlink r:id="rId139">
        <w:r>
          <w:rPr>
            <w:rFonts w:ascii="Times New Roman" w:cs="Times New Roman" w:eastAsia="Times New Roman" w:hAnsi="Times New Roman"/>
            <w:sz w:val="17"/>
            <w:szCs w:val="17"/>
            <w:u w:val="single" w:color="auto"/>
            <w:color w:val="0000FF"/>
          </w:rPr>
          <w:t>Therapeutics Holdings, LLC, and Zordich Merger Sub, Inc. (incorporated by reference to Exhibit 2.1 of the Company’s Current Report on</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Form 8-K filed on December 18, 2019).</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554990</wp:posOffset>
            </wp:positionH>
            <wp:positionV relativeFrom="paragraph">
              <wp:posOffset>-295910</wp:posOffset>
            </wp:positionV>
            <wp:extent cx="6094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-158750</wp:posOffset>
            </wp:positionV>
            <wp:extent cx="63385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-21590</wp:posOffset>
            </wp:positionV>
            <wp:extent cx="18275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ind w:left="880" w:right="22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2.2 </w:t>
      </w:r>
      <w:hyperlink r:id="rId143">
        <w:r>
          <w:rPr>
            <w:rFonts w:ascii="Times New Roman" w:cs="Times New Roman" w:eastAsia="Times New Roman" w:hAnsi="Times New Roman"/>
            <w:sz w:val="17"/>
            <w:szCs w:val="17"/>
            <w:u w:val="single" w:color="auto"/>
            <w:color w:val="0000FF"/>
          </w:rPr>
          <w:t>Amendment No. 1 to Agreement and Plan of Merger, dated as of March 6, 2020, by and among Zafgen, Inc., Chondrial Therapeutics,</w:t>
        </w:r>
      </w:hyperlink>
      <w:r>
        <w:rPr>
          <w:rFonts w:ascii="Times New Roman" w:cs="Times New Roman" w:eastAsia="Times New Roman" w:hAnsi="Times New Roman"/>
          <w:sz w:val="17"/>
          <w:szCs w:val="17"/>
          <w:color w:val="auto"/>
        </w:rPr>
        <w:t xml:space="preserve"> </w:t>
      </w:r>
      <w:hyperlink r:id="rId143">
        <w:r>
          <w:rPr>
            <w:rFonts w:ascii="Times New Roman" w:cs="Times New Roman" w:eastAsia="Times New Roman" w:hAnsi="Times New Roman"/>
            <w:sz w:val="17"/>
            <w:szCs w:val="17"/>
            <w:u w:val="single" w:color="auto"/>
            <w:color w:val="0000FF"/>
          </w:rPr>
          <w:t>Inc., Chondrial Therapeutics Holdings, LLC, and Zordich Merger Sub, Inc. (incorporated by reference to Exhibit 2.1 of the Company’s</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Current Report on Form 8-K filed on March 6, 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554990</wp:posOffset>
            </wp:positionH>
            <wp:positionV relativeFrom="paragraph">
              <wp:posOffset>-296545</wp:posOffset>
            </wp:positionV>
            <wp:extent cx="61423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14235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-159385</wp:posOffset>
            </wp:positionV>
            <wp:extent cx="62122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12205"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24593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459355" cy="8255"/>
                    </a:xfrm>
                    <a:prstGeom prst="rect">
                      <a:avLst/>
                    </a:prstGeom>
                    <a:noFill/>
                  </pic:spPr>
                </pic:pic>
              </a:graphicData>
            </a:graphic>
          </wp:anchor>
        </w:drawing>
      </w:r>
    </w:p>
    <w:p>
      <w:pPr>
        <w:ind w:left="880" w:right="20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3.1 </w:t>
      </w:r>
      <w:hyperlink r:id="rId147">
        <w:r>
          <w:rPr>
            <w:rFonts w:ascii="Times New Roman" w:cs="Times New Roman" w:eastAsia="Times New Roman" w:hAnsi="Times New Roman"/>
            <w:sz w:val="17"/>
            <w:szCs w:val="17"/>
            <w:u w:val="single" w:color="auto"/>
            <w:color w:val="0000FF"/>
          </w:rPr>
          <w:t>Ninth Amend</w:t>
        </w:r>
        <w:r>
          <w:rPr>
            <w:rFonts w:ascii="Times New Roman" w:cs="Times New Roman" w:eastAsia="Times New Roman" w:hAnsi="Times New Roman"/>
            <w:sz w:val="17"/>
            <w:szCs w:val="17"/>
            <w:u w:val="single" w:color="auto"/>
            <w:color w:val="0000CC"/>
          </w:rPr>
          <w:t>ed</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u w:val="single" w:color="auto"/>
            <w:color w:val="0000FF"/>
          </w:rPr>
          <w:t>and Restated Certificate of Incorporation of Larimar Therapeutics, Inc. (formerly known as Zafgen, Inc.) (incorporated</w:t>
        </w:r>
      </w:hyperlink>
      <w:r>
        <w:rPr>
          <w:rFonts w:ascii="Times New Roman" w:cs="Times New Roman" w:eastAsia="Times New Roman" w:hAnsi="Times New Roman"/>
          <w:sz w:val="17"/>
          <w:szCs w:val="17"/>
          <w:color w:val="auto"/>
        </w:rPr>
        <w:t xml:space="preserve"> </w:t>
      </w:r>
      <w:hyperlink r:id="rId147">
        <w:r>
          <w:rPr>
            <w:rFonts w:ascii="Times New Roman" w:cs="Times New Roman" w:eastAsia="Times New Roman" w:hAnsi="Times New Roman"/>
            <w:sz w:val="17"/>
            <w:szCs w:val="17"/>
            <w:u w:val="single" w:color="auto"/>
            <w:color w:val="0000FF"/>
          </w:rPr>
          <w:t>by reference to Exhibit 3.1 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2274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227445"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45250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4525010" cy="8255"/>
                    </a:xfrm>
                    <a:prstGeom prst="rect">
                      <a:avLst/>
                    </a:prstGeom>
                    <a:noFill/>
                  </pic:spPr>
                </pic:pic>
              </a:graphicData>
            </a:graphic>
          </wp:anchor>
        </w:drawing>
      </w:r>
    </w:p>
    <w:p>
      <w:pPr>
        <w:jc w:val="center"/>
        <w:ind w:left="1160" w:right="80"/>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3.2  </w:t>
      </w:r>
      <w:hyperlink r:id="rId150">
        <w:r>
          <w:rPr>
            <w:rFonts w:ascii="Times New Roman" w:cs="Times New Roman" w:eastAsia="Times New Roman" w:hAnsi="Times New Roman"/>
            <w:sz w:val="17"/>
            <w:szCs w:val="17"/>
            <w:u w:val="single" w:color="auto"/>
            <w:color w:val="0000FF"/>
          </w:rPr>
          <w:t>Certificate of Amendment of Ninth Amended and Restated Certificate of Incorporation of Zafgen, Inc. related to the Reverse Stock Split,</w:t>
        </w:r>
      </w:hyperlink>
      <w:r>
        <w:rPr>
          <w:rFonts w:ascii="Times New Roman" w:cs="Times New Roman" w:eastAsia="Times New Roman" w:hAnsi="Times New Roman"/>
          <w:sz w:val="17"/>
          <w:szCs w:val="17"/>
          <w:color w:val="auto"/>
        </w:rPr>
        <w:t xml:space="preserve"> </w:t>
      </w:r>
      <w:hyperlink r:id="rId150">
        <w:r>
          <w:rPr>
            <w:rFonts w:ascii="Times New Roman" w:cs="Times New Roman" w:eastAsia="Times New Roman" w:hAnsi="Times New Roman"/>
            <w:sz w:val="17"/>
            <w:szCs w:val="17"/>
            <w:u w:val="single" w:color="auto"/>
            <w:color w:val="0000FF"/>
          </w:rPr>
          <w:t>dated May 28, 2020 (incorporated by reference to Exhibit 3.1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3042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630428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60540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6054090" cy="8255"/>
                    </a:xfrm>
                    <a:prstGeom prst="rect">
                      <a:avLst/>
                    </a:prstGeom>
                    <a:noFill/>
                  </pic:spPr>
                </pic:pic>
              </a:graphicData>
            </a:graphic>
          </wp:anchor>
        </w:drawing>
      </w:r>
    </w:p>
    <w:p>
      <w:pPr>
        <w:ind w:left="880" w:right="4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3.3 </w:t>
      </w:r>
      <w:hyperlink r:id="rId153">
        <w:r>
          <w:rPr>
            <w:rFonts w:ascii="Times New Roman" w:cs="Times New Roman" w:eastAsia="Times New Roman" w:hAnsi="Times New Roman"/>
            <w:sz w:val="17"/>
            <w:szCs w:val="17"/>
            <w:u w:val="single" w:color="auto"/>
            <w:color w:val="0000FF"/>
          </w:rPr>
          <w:t>Certificate of Amendment of Ninth Amended and Restated Certificate of Incorporation of Zafgen, Inc. related to the Name Change, dated</w:t>
        </w:r>
      </w:hyperlink>
      <w:r>
        <w:rPr>
          <w:rFonts w:ascii="Times New Roman" w:cs="Times New Roman" w:eastAsia="Times New Roman" w:hAnsi="Times New Roman"/>
          <w:sz w:val="17"/>
          <w:szCs w:val="17"/>
          <w:color w:val="auto"/>
        </w:rPr>
        <w:t xml:space="preserve"> </w:t>
      </w:r>
      <w:hyperlink r:id="rId153">
        <w:r>
          <w:rPr>
            <w:rFonts w:ascii="Times New Roman" w:cs="Times New Roman" w:eastAsia="Times New Roman" w:hAnsi="Times New Roman"/>
            <w:sz w:val="17"/>
            <w:szCs w:val="17"/>
            <w:u w:val="single" w:color="auto"/>
            <w:color w:val="0000FF"/>
          </w:rPr>
          <w:t>May 28, 2020 (incorporated by reference to Exhibit 3.1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3290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32904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57778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5777865" cy="8890"/>
                    </a:xfrm>
                    <a:prstGeom prst="rect">
                      <a:avLst/>
                    </a:prstGeom>
                    <a:noFill/>
                  </pic:spPr>
                </pic:pic>
              </a:graphicData>
            </a:graphic>
          </wp:anchor>
        </w:drawing>
      </w:r>
    </w:p>
    <w:p>
      <w:pPr>
        <w:ind w:left="88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3.4 </w:t>
      </w:r>
      <w:hyperlink r:id="rId156">
        <w:r>
          <w:rPr>
            <w:rFonts w:ascii="Times New Roman" w:cs="Times New Roman" w:eastAsia="Times New Roman" w:hAnsi="Times New Roman"/>
            <w:sz w:val="17"/>
            <w:szCs w:val="17"/>
            <w:u w:val="single" w:color="auto"/>
            <w:color w:val="0000FF"/>
          </w:rPr>
          <w:t>Certificate of Amendment of Ninth Amended and Restated Certificate of Incorporation of Larimar Therapeutics, Inc., dated May 31, 2024</w:t>
        </w:r>
      </w:hyperlink>
      <w:r>
        <w:rPr>
          <w:rFonts w:ascii="Times New Roman" w:cs="Times New Roman" w:eastAsia="Times New Roman" w:hAnsi="Times New Roman"/>
          <w:sz w:val="17"/>
          <w:szCs w:val="17"/>
          <w:color w:val="auto"/>
        </w:rPr>
        <w:t xml:space="preserve"> </w:t>
      </w:r>
      <w:hyperlink r:id="rId156">
        <w:r>
          <w:rPr>
            <w:rFonts w:ascii="Times New Roman" w:cs="Times New Roman" w:eastAsia="Times New Roman" w:hAnsi="Times New Roman"/>
            <w:sz w:val="17"/>
            <w:szCs w:val="17"/>
            <w:u w:val="single" w:color="auto"/>
            <w:color w:val="0000FF"/>
          </w:rPr>
          <w:t>(incorporated by reference to Exhibit 3.1 of the Company’s Quarterly Report on Form 10-Q filed on August 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3385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53784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5378450" cy="8255"/>
                    </a:xfrm>
                    <a:prstGeom prst="rect">
                      <a:avLst/>
                    </a:prstGeom>
                    <a:noFill/>
                  </pic:spPr>
                </pic:pic>
              </a:graphicData>
            </a:graphic>
          </wp:anchor>
        </w:drawing>
      </w:r>
    </w:p>
    <w:p>
      <w:pPr>
        <w:ind w:left="880" w:right="6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3.5 </w:t>
      </w:r>
      <w:hyperlink r:id="rId159">
        <w:r>
          <w:rPr>
            <w:rFonts w:ascii="Times New Roman" w:cs="Times New Roman" w:eastAsia="Times New Roman" w:hAnsi="Times New Roman"/>
            <w:sz w:val="17"/>
            <w:szCs w:val="17"/>
            <w:u w:val="single" w:color="auto"/>
            <w:color w:val="0000FF"/>
          </w:rPr>
          <w:t>Amended and Restated By-laws of Larimar Therapeutics, Inc. (formerly known as Zafgen, Inc.) (incorporated by reference to Exhibit 3.2</w:t>
        </w:r>
      </w:hyperlink>
      <w:r>
        <w:rPr>
          <w:rFonts w:ascii="Times New Roman" w:cs="Times New Roman" w:eastAsia="Times New Roman" w:hAnsi="Times New Roman"/>
          <w:sz w:val="17"/>
          <w:szCs w:val="17"/>
          <w:color w:val="auto"/>
        </w:rPr>
        <w:t xml:space="preserve"> </w:t>
      </w:r>
      <w:hyperlink r:id="rId159">
        <w:r>
          <w:rPr>
            <w:rFonts w:ascii="Times New Roman" w:cs="Times New Roman" w:eastAsia="Times New Roman" w:hAnsi="Times New Roman"/>
            <w:sz w:val="17"/>
            <w:szCs w:val="17"/>
            <w:u w:val="single" w:color="auto"/>
            <w:color w:val="0000FF"/>
          </w:rPr>
          <w:t>of the Company’s Current Report on Form 8-K filed on June 24,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3131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31317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32746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880" w:right="62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3.6 </w:t>
      </w:r>
      <w:hyperlink r:id="rId162">
        <w:r>
          <w:rPr>
            <w:rFonts w:ascii="Times New Roman" w:cs="Times New Roman" w:eastAsia="Times New Roman" w:hAnsi="Times New Roman"/>
            <w:sz w:val="17"/>
            <w:szCs w:val="17"/>
            <w:u w:val="single" w:color="auto"/>
            <w:color w:val="0000FF"/>
          </w:rPr>
          <w:t>Certificate of Designation of Preferences, Rights and Limitations of Series A Convertible Preferred Stock (incorporated herein by</w:t>
        </w:r>
      </w:hyperlink>
      <w:r>
        <w:rPr>
          <w:rFonts w:ascii="Times New Roman" w:cs="Times New Roman" w:eastAsia="Times New Roman" w:hAnsi="Times New Roman"/>
          <w:sz w:val="17"/>
          <w:szCs w:val="17"/>
          <w:color w:val="auto"/>
        </w:rPr>
        <w:t xml:space="preserve"> </w:t>
      </w:r>
      <w:hyperlink r:id="rId162">
        <w:r>
          <w:rPr>
            <w:rFonts w:ascii="Times New Roman" w:cs="Times New Roman" w:eastAsia="Times New Roman" w:hAnsi="Times New Roman"/>
            <w:sz w:val="17"/>
            <w:szCs w:val="17"/>
            <w:u w:val="single" w:color="auto"/>
            <w:color w:val="0000FF"/>
          </w:rPr>
          <w:t>reference to Exhibit 3.1 to the Company’s Current Report on Form 8-K (File No. 001-36510) filed on December 17,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59582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5958205"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56381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5638165" cy="8890"/>
                    </a:xfrm>
                    <a:prstGeom prst="rect">
                      <a:avLst/>
                    </a:prstGeom>
                    <a:noFill/>
                  </pic:spPr>
                </pic:pic>
              </a:graphicData>
            </a:graphic>
          </wp:anchor>
        </w:drawing>
      </w:r>
    </w:p>
    <w:p>
      <w:pPr>
        <w:ind w:left="880" w:right="40" w:hanging="328"/>
        <w:spacing w:after="0" w:line="29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3.7 </w:t>
      </w:r>
      <w:hyperlink r:id="rId165">
        <w:r>
          <w:rPr>
            <w:rFonts w:ascii="Times New Roman" w:cs="Times New Roman" w:eastAsia="Times New Roman" w:hAnsi="Times New Roman"/>
            <w:sz w:val="17"/>
            <w:szCs w:val="17"/>
            <w:u w:val="single" w:color="auto"/>
            <w:color w:val="0000FF"/>
          </w:rPr>
          <w:t>Certificate of Amendment to Certificate of Designation of Preferences, Rights and Limitations of Series A Convertible Preferred Stock</w:t>
        </w:r>
      </w:hyperlink>
      <w:r>
        <w:rPr>
          <w:rFonts w:ascii="Times New Roman" w:cs="Times New Roman" w:eastAsia="Times New Roman" w:hAnsi="Times New Roman"/>
          <w:sz w:val="17"/>
          <w:szCs w:val="17"/>
          <w:color w:val="auto"/>
        </w:rPr>
        <w:t xml:space="preserve"> </w:t>
      </w:r>
      <w:hyperlink r:id="rId165">
        <w:r>
          <w:rPr>
            <w:rFonts w:ascii="Times New Roman" w:cs="Times New Roman" w:eastAsia="Times New Roman" w:hAnsi="Times New Roman"/>
            <w:sz w:val="17"/>
            <w:szCs w:val="17"/>
            <w:u w:val="single" w:color="auto"/>
            <w:color w:val="0000FF"/>
          </w:rPr>
          <w:t>(incorporated herein by reference to Exhibit 3.1 to the Company’s Current Report on Form 8-K (File No. 001-36510) filed on January 22,</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2026).</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554990</wp:posOffset>
            </wp:positionH>
            <wp:positionV relativeFrom="paragraph">
              <wp:posOffset>-185420</wp:posOffset>
            </wp:positionV>
            <wp:extent cx="6202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620268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-48260</wp:posOffset>
            </wp:positionV>
            <wp:extent cx="63296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632968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88265</wp:posOffset>
            </wp:positionV>
            <wp:extent cx="2952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156" w:lineRule="exact"/>
        <w:rPr>
          <w:rFonts w:ascii="Times New Roman" w:cs="Times New Roman" w:eastAsia="Times New Roman" w:hAnsi="Times New Roman"/>
          <w:sz w:val="17"/>
          <w:szCs w:val="17"/>
          <w:color w:val="auto"/>
        </w:rPr>
      </w:pPr>
    </w:p>
    <w:p>
      <w:pPr>
        <w:ind w:left="880" w:right="440" w:hanging="328"/>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 </w:t>
      </w:r>
      <w:hyperlink r:id="rId169">
        <w:r>
          <w:rPr>
            <w:rFonts w:ascii="Times New Roman" w:cs="Times New Roman" w:eastAsia="Times New Roman" w:hAnsi="Times New Roman"/>
            <w:sz w:val="17"/>
            <w:szCs w:val="17"/>
            <w:u w:val="single" w:color="auto"/>
            <w:color w:val="0000FF"/>
          </w:rPr>
          <w:t>Description of the Company’s Securities Registered Pursuant to Section 12 of the Securities Exchange Act of 1934 (incorporated by</w:t>
        </w:r>
      </w:hyperlink>
      <w:r>
        <w:rPr>
          <w:rFonts w:ascii="Times New Roman" w:cs="Times New Roman" w:eastAsia="Times New Roman" w:hAnsi="Times New Roman"/>
          <w:sz w:val="17"/>
          <w:szCs w:val="17"/>
          <w:color w:val="auto"/>
        </w:rPr>
        <w:t xml:space="preserve"> </w:t>
      </w:r>
      <w:hyperlink r:id="rId169">
        <w:r>
          <w:rPr>
            <w:rFonts w:ascii="Times New Roman" w:cs="Times New Roman" w:eastAsia="Times New Roman" w:hAnsi="Times New Roman"/>
            <w:sz w:val="17"/>
            <w:szCs w:val="17"/>
            <w:u w:val="single" w:color="auto"/>
            <w:color w:val="0000FF"/>
          </w:rPr>
          <w:t>reference to Exhibit 4.2 of the Company’s Annual Report on Form 10-K filed March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0763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607631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4315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4315460" cy="8890"/>
                    </a:xfrm>
                    <a:prstGeom prst="rect">
                      <a:avLst/>
                    </a:prstGeom>
                    <a:noFill/>
                  </pic:spPr>
                </pic:pic>
              </a:graphicData>
            </a:graphic>
          </wp:anchor>
        </w:drawing>
      </w:r>
    </w:p>
    <w:p>
      <w:pPr>
        <w:ind w:left="880" w:right="28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 </w:t>
      </w:r>
      <w:hyperlink r:id="rId172">
        <w:r>
          <w:rPr>
            <w:rFonts w:ascii="Times New Roman" w:cs="Times New Roman" w:eastAsia="Times New Roman" w:hAnsi="Times New Roman"/>
            <w:sz w:val="17"/>
            <w:szCs w:val="17"/>
            <w:u w:val="single" w:color="auto"/>
            <w:color w:val="0000FF"/>
          </w:rPr>
          <w:t>Larimar Therapeutics, Inc. 2020 Equity Incentive Plan (incorporated by reference to Exhibit 10.1 of the Company’s Current Report on</w:t>
        </w:r>
      </w:hyperlink>
      <w:r>
        <w:rPr>
          <w:rFonts w:ascii="Times New Roman" w:cs="Times New Roman" w:eastAsia="Times New Roman" w:hAnsi="Times New Roman"/>
          <w:sz w:val="17"/>
          <w:szCs w:val="17"/>
          <w:color w:val="auto"/>
        </w:rPr>
        <w:t xml:space="preserve"> </w:t>
      </w:r>
      <w:hyperlink r:id="rId172">
        <w:r>
          <w:rPr>
            <w:rFonts w:ascii="Times New Roman" w:cs="Times New Roman" w:eastAsia="Times New Roman" w:hAnsi="Times New Roman"/>
            <w:sz w:val="17"/>
            <w:szCs w:val="17"/>
            <w:u w:val="single" w:color="auto"/>
            <w:color w:val="0000FF"/>
          </w:rPr>
          <w:t>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1804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1846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ind w:left="880" w:right="6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 </w:t>
      </w:r>
      <w:hyperlink r:id="rId175">
        <w:r>
          <w:rPr>
            <w:rFonts w:ascii="Times New Roman" w:cs="Times New Roman" w:eastAsia="Times New Roman" w:hAnsi="Times New Roman"/>
            <w:sz w:val="17"/>
            <w:szCs w:val="17"/>
            <w:u w:val="single" w:color="auto"/>
            <w:color w:val="0000FF"/>
          </w:rPr>
          <w:t>Larimar Therapeutics, Inc. Form of Stock Option Grant Notice and Award Agreement under its 2020 Equity Incentive Plan (incorporated</w:t>
        </w:r>
      </w:hyperlink>
      <w:r>
        <w:rPr>
          <w:rFonts w:ascii="Times New Roman" w:cs="Times New Roman" w:eastAsia="Times New Roman" w:hAnsi="Times New Roman"/>
          <w:sz w:val="17"/>
          <w:szCs w:val="17"/>
          <w:color w:val="auto"/>
        </w:rPr>
        <w:t xml:space="preserve"> </w:t>
      </w:r>
      <w:hyperlink r:id="rId175">
        <w:r>
          <w:rPr>
            <w:rFonts w:ascii="Times New Roman" w:cs="Times New Roman" w:eastAsia="Times New Roman" w:hAnsi="Times New Roman"/>
            <w:sz w:val="17"/>
            <w:szCs w:val="17"/>
            <w:u w:val="single" w:color="auto"/>
            <w:color w:val="0000FF"/>
          </w:rPr>
          <w:t>by reference to Exhibit 10.2 of the Company’s Current Report on Form 8-K filed on September 29,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6316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631698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48609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4860925" cy="8255"/>
                    </a:xfrm>
                    <a:prstGeom prst="rect">
                      <a:avLst/>
                    </a:prstGeom>
                    <a:noFill/>
                  </pic:spPr>
                </pic:pic>
              </a:graphicData>
            </a:graphic>
          </wp:anchor>
        </w:drawing>
      </w:r>
    </w:p>
    <w:p>
      <w:pPr>
        <w:ind w:left="880" w:right="86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10.3 </w:t>
      </w:r>
      <w:hyperlink r:id="rId178">
        <w:r>
          <w:rPr>
            <w:rFonts w:ascii="Times New Roman" w:cs="Times New Roman" w:eastAsia="Times New Roman" w:hAnsi="Times New Roman"/>
            <w:sz w:val="17"/>
            <w:szCs w:val="17"/>
            <w:u w:val="single" w:color="auto"/>
            <w:color w:val="0000FF"/>
          </w:rPr>
          <w:t>Restricted Stock Award Agreement for Company Employees under the Larimar Therapeutics, Inc. 2020 Equity Incentive Plan</w:t>
        </w:r>
      </w:hyperlink>
      <w:r>
        <w:rPr>
          <w:rFonts w:ascii="Times New Roman" w:cs="Times New Roman" w:eastAsia="Times New Roman" w:hAnsi="Times New Roman"/>
          <w:sz w:val="17"/>
          <w:szCs w:val="17"/>
          <w:color w:val="auto"/>
        </w:rPr>
        <w:t xml:space="preserve"> </w:t>
      </w:r>
      <w:hyperlink r:id="rId178">
        <w:r>
          <w:rPr>
            <w:rFonts w:ascii="Times New Roman" w:cs="Times New Roman" w:eastAsia="Times New Roman" w:hAnsi="Times New Roman"/>
            <w:sz w:val="17"/>
            <w:szCs w:val="17"/>
            <w:u w:val="single" w:color="auto"/>
            <w:color w:val="0000FF"/>
          </w:rPr>
          <w:t>(incorporated by reference to Exhibit 10.3 to the Company’s Annual Report on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-159385</wp:posOffset>
            </wp:positionV>
            <wp:extent cx="58064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-22225</wp:posOffset>
            </wp:positionV>
            <wp:extent cx="53530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5353050" cy="8890"/>
                    </a:xfrm>
                    <a:prstGeom prst="rect">
                      <a:avLst/>
                    </a:prstGeom>
                    <a:noFill/>
                  </pic:spPr>
                </pic:pic>
              </a:graphicData>
            </a:graphic>
          </wp:anchor>
        </w:drawing>
      </w:r>
    </w:p>
    <w:p>
      <w:pPr>
        <w:ind w:left="880" w:right="280" w:hanging="413"/>
        <w:spacing w:after="0" w:line="29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10.4 </w:t>
      </w:r>
      <w:hyperlink r:id="rId181">
        <w:r>
          <w:rPr>
            <w:rFonts w:ascii="Times New Roman" w:cs="Times New Roman" w:eastAsia="Times New Roman" w:hAnsi="Times New Roman"/>
            <w:sz w:val="17"/>
            <w:szCs w:val="17"/>
            <w:u w:val="single" w:color="auto"/>
            <w:color w:val="0000FF"/>
          </w:rPr>
          <w:t>Non-Qualified Stock Option Grant Notice and Award Agreement (incorporated by reference to Exhibit 10.4 to the Company’s Annual</w:t>
        </w:r>
      </w:hyperlink>
      <w:r>
        <w:rPr>
          <w:rFonts w:ascii="Times New Roman" w:cs="Times New Roman" w:eastAsia="Times New Roman" w:hAnsi="Times New Roman"/>
          <w:sz w:val="17"/>
          <w:szCs w:val="17"/>
          <w:color w:val="auto"/>
        </w:rPr>
        <w:t xml:space="preserve"> </w:t>
      </w:r>
      <w:hyperlink r:id="rId181">
        <w:r>
          <w:rPr>
            <w:rFonts w:ascii="Times New Roman" w:cs="Times New Roman" w:eastAsia="Times New Roman" w:hAnsi="Times New Roman"/>
            <w:sz w:val="17"/>
            <w:szCs w:val="17"/>
            <w:u w:val="single" w:color="auto"/>
            <w:color w:val="0000FF"/>
          </w:rPr>
          <w:t>Report on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-190500</wp:posOffset>
            </wp:positionV>
            <wp:extent cx="61772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6177280"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-53340</wp:posOffset>
            </wp:positionV>
            <wp:extent cx="21958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2195830" cy="8890"/>
                    </a:xfrm>
                    <a:prstGeom prst="rect">
                      <a:avLst/>
                    </a:prstGeom>
                    <a:noFill/>
                  </pic:spPr>
                </pic:pic>
              </a:graphicData>
            </a:graphic>
          </wp:anchor>
        </w:drawing>
      </w:r>
    </w:p>
    <w:p>
      <w:pPr>
        <w:spacing w:after="0" w:line="34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13" w:right="359" w:bottom="1440" w:gutter="0" w:footer="0" w:header="0"/>
        </w:sectPr>
      </w:pPr>
    </w:p>
    <w:bookmarkStart w:id="109" w:name="page110"/>
    <w:bookmarkEnd w:id="109"/>
    <w:p>
      <w:pPr>
        <w:ind w:left="580" w:right="240" w:hanging="413"/>
        <w:spacing w:after="0" w:line="27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185">
        <w:r>
          <w:rPr>
            <w:rFonts w:ascii="Times New Roman" w:cs="Times New Roman" w:eastAsia="Times New Roman" w:hAnsi="Times New Roman"/>
            <w:sz w:val="17"/>
            <w:szCs w:val="17"/>
            <w:u w:val="single" w:color="auto"/>
            <w:color w:val="0000FF"/>
          </w:rPr>
          <w:t>Form of Performance-Based Restricted Stock Unit Award Agreement under the Larimar Therapeutics, Inc. 2020 Equity Incentive Plan</w:t>
        </w:r>
      </w:hyperlink>
      <w:r>
        <w:rPr>
          <w:rFonts w:ascii="Times New Roman" w:cs="Times New Roman" w:eastAsia="Times New Roman" w:hAnsi="Times New Roman"/>
          <w:sz w:val="17"/>
          <w:szCs w:val="17"/>
          <w:color w:val="auto"/>
        </w:rPr>
        <w:t xml:space="preserve"> </w:t>
      </w:r>
      <w:hyperlink r:id="rId185">
        <w:r>
          <w:rPr>
            <w:rFonts w:ascii="Times New Roman" w:cs="Times New Roman" w:eastAsia="Times New Roman" w:hAnsi="Times New Roman"/>
            <w:sz w:val="17"/>
            <w:szCs w:val="17"/>
            <w:u w:val="single" w:color="auto"/>
            <w:color w:val="0000FF"/>
          </w:rPr>
          <w:t>(incorporated by reference to Exhibit 10.1 to the Company’s Current Report on Form 8-K filed on January 27,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-159385</wp:posOffset>
            </wp:positionV>
            <wp:extent cx="61963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619633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53657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5365750" cy="8890"/>
                    </a:xfrm>
                    <a:prstGeom prst="rect">
                      <a:avLst/>
                    </a:prstGeom>
                    <a:noFill/>
                  </pic:spPr>
                </pic:pic>
              </a:graphicData>
            </a:graphic>
          </wp:anchor>
        </w:drawing>
      </w:r>
    </w:p>
    <w:p>
      <w:pPr>
        <w:ind w:left="580" w:right="8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 </w:t>
      </w:r>
      <w:hyperlink r:id="rId188">
        <w:r>
          <w:rPr>
            <w:rFonts w:ascii="Times New Roman" w:cs="Times New Roman" w:eastAsia="Times New Roman" w:hAnsi="Times New Roman"/>
            <w:sz w:val="17"/>
            <w:szCs w:val="17"/>
            <w:u w:val="single" w:color="auto"/>
            <w:color w:val="0000FF"/>
          </w:rPr>
          <w:t>Registration Rights Agreement, dated as of June 1, 2020, by and among the Company and certain Investors (incorporated by reference to</w:t>
        </w:r>
      </w:hyperlink>
      <w:r>
        <w:rPr>
          <w:rFonts w:ascii="Times New Roman" w:cs="Times New Roman" w:eastAsia="Times New Roman" w:hAnsi="Times New Roman"/>
          <w:sz w:val="17"/>
          <w:szCs w:val="17"/>
          <w:color w:val="auto"/>
        </w:rPr>
        <w:t xml:space="preserve"> </w:t>
      </w:r>
      <w:hyperlink r:id="rId188">
        <w:r>
          <w:rPr>
            <w:rFonts w:ascii="Times New Roman" w:cs="Times New Roman" w:eastAsia="Times New Roman" w:hAnsi="Times New Roman"/>
            <w:sz w:val="17"/>
            <w:szCs w:val="17"/>
            <w:u w:val="single" w:color="auto"/>
            <w:color w:val="0000FF"/>
          </w:rPr>
          <w:t>Exhibit 10.2 of the Company’s Current Report on Form 8-K filed on June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-159385</wp:posOffset>
            </wp:positionV>
            <wp:extent cx="6294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62947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38112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3811270" cy="8255"/>
                    </a:xfrm>
                    <a:prstGeom prst="rect">
                      <a:avLst/>
                    </a:prstGeom>
                    <a:noFill/>
                  </pic:spPr>
                </pic:pic>
              </a:graphicData>
            </a:graphic>
          </wp:anchor>
        </w:drawing>
      </w:r>
    </w:p>
    <w:p>
      <w:pPr>
        <w:ind w:left="580" w:right="80" w:hanging="413"/>
        <w:spacing w:after="0" w:line="265"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10.7 </w:t>
      </w:r>
      <w:hyperlink r:id="rId191">
        <w:r>
          <w:rPr>
            <w:rFonts w:ascii="Times New Roman" w:cs="Times New Roman" w:eastAsia="Times New Roman" w:hAnsi="Times New Roman"/>
            <w:sz w:val="17"/>
            <w:szCs w:val="17"/>
            <w:u w:val="single" w:color="auto"/>
            <w:color w:val="0000EE"/>
          </w:rPr>
          <w:t>Registration Rights Agreement, dated as of June 8, 2020, by and among the Company and certain Investors (incorporated by reference to</w:t>
        </w:r>
      </w:hyperlink>
      <w:r>
        <w:rPr>
          <w:rFonts w:ascii="Times New Roman" w:cs="Times New Roman" w:eastAsia="Times New Roman" w:hAnsi="Times New Roman"/>
          <w:sz w:val="17"/>
          <w:szCs w:val="17"/>
          <w:color w:val="auto"/>
        </w:rPr>
        <w:t xml:space="preserve"> </w:t>
      </w:r>
      <w:hyperlink r:id="rId191">
        <w:r>
          <w:rPr>
            <w:rFonts w:ascii="Times New Roman" w:cs="Times New Roman" w:eastAsia="Times New Roman" w:hAnsi="Times New Roman"/>
            <w:sz w:val="17"/>
            <w:szCs w:val="17"/>
            <w:u w:val="single" w:color="auto"/>
            <w:color w:val="0000EE"/>
          </w:rPr>
          <w:t>Exhibit 10.3 of the Company’s Registration Statement on Form S-3 filed on June 26, 2020).</w:t>
        </w:r>
      </w:hyperlink>
    </w:p>
    <w:p>
      <w:pPr>
        <w:ind w:left="580" w:right="60" w:hanging="413"/>
        <w:spacing w:after="0" w:line="265"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10.8 </w:t>
      </w:r>
      <w:hyperlink r:id="rId192">
        <w:r>
          <w:rPr>
            <w:rFonts w:ascii="Times New Roman" w:cs="Times New Roman" w:eastAsia="Times New Roman" w:hAnsi="Times New Roman"/>
            <w:sz w:val="17"/>
            <w:szCs w:val="17"/>
            <w:u w:val="single" w:color="auto"/>
            <w:color w:val="0000EE"/>
          </w:rPr>
          <w:t>Form of Indemnification Agreement between the Company and its directors (incorporated by reference to Exhibit 10.3 of the Company’s</w:t>
        </w:r>
      </w:hyperlink>
      <w:r>
        <w:rPr>
          <w:rFonts w:ascii="Times New Roman" w:cs="Times New Roman" w:eastAsia="Times New Roman" w:hAnsi="Times New Roman"/>
          <w:sz w:val="17"/>
          <w:szCs w:val="17"/>
          <w:color w:val="auto"/>
        </w:rPr>
        <w:t xml:space="preserve"> </w:t>
      </w:r>
      <w:hyperlink r:id="rId192">
        <w:r>
          <w:rPr>
            <w:rFonts w:ascii="Times New Roman" w:cs="Times New Roman" w:eastAsia="Times New Roman" w:hAnsi="Times New Roman"/>
            <w:sz w:val="17"/>
            <w:szCs w:val="17"/>
            <w:u w:val="single" w:color="auto"/>
            <w:color w:val="0000EE"/>
          </w:rPr>
          <w:t>Current Report on Form 8-K filed on June 2, 2020).</w:t>
        </w:r>
      </w:hyperlink>
    </w:p>
    <w:p>
      <w:pPr>
        <w:ind w:left="580" w:right="480" w:hanging="413"/>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10.9 </w:t>
      </w:r>
      <w:hyperlink r:id="rId193">
        <w:r>
          <w:rPr>
            <w:rFonts w:ascii="Times New Roman" w:cs="Times New Roman" w:eastAsia="Times New Roman" w:hAnsi="Times New Roman"/>
            <w:sz w:val="17"/>
            <w:szCs w:val="17"/>
            <w:u w:val="single" w:color="auto"/>
            <w:color w:val="0000FF"/>
          </w:rPr>
          <w:t>Employment Agreement, dated July 31, 2020, by and between the Company and Carole Ben-Maimon (incorporated by reference to</w:t>
        </w:r>
      </w:hyperlink>
      <w:r>
        <w:rPr>
          <w:rFonts w:ascii="Times New Roman" w:cs="Times New Roman" w:eastAsia="Times New Roman" w:hAnsi="Times New Roman"/>
          <w:sz w:val="17"/>
          <w:szCs w:val="17"/>
          <w:color w:val="auto"/>
        </w:rPr>
        <w:t xml:space="preserve"> </w:t>
      </w:r>
      <w:hyperlink r:id="rId193">
        <w:r>
          <w:rPr>
            <w:rFonts w:ascii="Times New Roman" w:cs="Times New Roman" w:eastAsia="Times New Roman" w:hAnsi="Times New Roman"/>
            <w:sz w:val="17"/>
            <w:szCs w:val="17"/>
            <w:u w:val="single" w:color="auto"/>
            <w:color w:val="0000FF"/>
          </w:rPr>
          <w:t>Exhibit 10.1 of the Company’s Current Report on Form 8-K filed on August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-159385</wp:posOffset>
            </wp:positionV>
            <wp:extent cx="60439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604393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39319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3931920" cy="8255"/>
                    </a:xfrm>
                    <a:prstGeom prst="rect">
                      <a:avLst/>
                    </a:prstGeom>
                    <a:noFill/>
                  </pic:spPr>
                </pic:pic>
              </a:graphicData>
            </a:graphic>
          </wp:anchor>
        </w:drawing>
      </w: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10.10  </w:t>
      </w:r>
      <w:hyperlink r:id="rId196">
        <w:r>
          <w:rPr>
            <w:rFonts w:ascii="Times New Roman" w:cs="Times New Roman" w:eastAsia="Times New Roman" w:hAnsi="Times New Roman"/>
            <w:sz w:val="17"/>
            <w:szCs w:val="17"/>
            <w:u w:val="single" w:color="auto"/>
            <w:color w:val="0000EE"/>
          </w:rPr>
          <w:t>Employment Agreement, dated June 1, 2020, by and between the Company and Michael Celano (incorporated by reference to Exhibit</w:t>
        </w:r>
      </w:hyperlink>
    </w:p>
    <w:p>
      <w:pPr>
        <w:spacing w:after="0" w:line="24"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r:id="rId196">
        <w:r>
          <w:rPr>
            <w:rFonts w:ascii="Times New Roman" w:cs="Times New Roman" w:eastAsia="Times New Roman" w:hAnsi="Times New Roman"/>
            <w:sz w:val="18"/>
            <w:szCs w:val="18"/>
            <w:u w:val="single" w:color="auto"/>
            <w:color w:val="0000EE"/>
          </w:rPr>
          <w:t>10.4 of the Company’s Current Report on Form 8-K filed on June 2, 2020).</w:t>
        </w:r>
      </w:hyperlink>
    </w:p>
    <w:p>
      <w:pPr>
        <w:spacing w:after="0" w:line="5" w:lineRule="exact"/>
        <w:rPr>
          <w:sz w:val="20"/>
          <w:szCs w:val="20"/>
          <w:color w:val="auto"/>
        </w:rPr>
      </w:pP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10.11  </w:t>
      </w:r>
      <w:hyperlink r:id="rId197">
        <w:r>
          <w:rPr>
            <w:rFonts w:ascii="Times New Roman" w:cs="Times New Roman" w:eastAsia="Times New Roman" w:hAnsi="Times New Roman"/>
            <w:sz w:val="17"/>
            <w:szCs w:val="17"/>
            <w:u w:val="single" w:color="auto"/>
            <w:color w:val="0000FF"/>
          </w:rPr>
          <w:t>Employment Agreement, dated February 7, 2023, by and between the Company and Gopi Shankar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-9525</wp:posOffset>
            </wp:positionV>
            <wp:extent cx="62630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6263005" cy="8890"/>
                    </a:xfrm>
                    <a:prstGeom prst="rect">
                      <a:avLst/>
                    </a:prstGeom>
                    <a:noFill/>
                  </pic:spPr>
                </pic:pic>
              </a:graphicData>
            </a:graphic>
          </wp:anchor>
        </w:drawing>
      </w:r>
    </w:p>
    <w:p>
      <w:pPr>
        <w:spacing w:after="0" w:line="4"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197">
        <w:r>
          <w:rPr>
            <w:rFonts w:ascii="Times New Roman" w:cs="Times New Roman" w:eastAsia="Times New Roman" w:hAnsi="Times New Roman"/>
            <w:sz w:val="18"/>
            <w:szCs w:val="18"/>
            <w:u w:val="single" w:color="auto"/>
            <w:color w:val="0000FF"/>
          </w:rPr>
          <w:t>10.10 of the Company’s Annual Report on Form 10-K filed on March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-19050</wp:posOffset>
            </wp:positionV>
            <wp:extent cx="36937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10.12  </w:t>
      </w:r>
      <w:hyperlink r:id="rId200">
        <w:r>
          <w:rPr>
            <w:rFonts w:ascii="Times New Roman" w:cs="Times New Roman" w:eastAsia="Times New Roman" w:hAnsi="Times New Roman"/>
            <w:sz w:val="17"/>
            <w:szCs w:val="17"/>
            <w:u w:val="single" w:color="auto"/>
            <w:color w:val="0000FF"/>
          </w:rPr>
          <w:t>Employment Agreement dated May 23, 2023, by and between the Company and Russell Clayton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-9525</wp:posOffset>
            </wp:positionV>
            <wp:extent cx="61836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6183630" cy="8255"/>
                    </a:xfrm>
                    <a:prstGeom prst="rect">
                      <a:avLst/>
                    </a:prstGeom>
                    <a:noFill/>
                  </pic:spPr>
                </pic:pic>
              </a:graphicData>
            </a:graphic>
          </wp:anchor>
        </w:drawing>
      </w:r>
    </w:p>
    <w:p>
      <w:pPr>
        <w:spacing w:after="0" w:line="4"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10.1 of the Company’s Quarterly Report on Form 10-Q filed on August 10,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-19050</wp:posOffset>
            </wp:positionV>
            <wp:extent cx="37699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3769995" cy="8255"/>
                    </a:xfrm>
                    <a:prstGeom prst="rect">
                      <a:avLst/>
                    </a:prstGeom>
                    <a:noFill/>
                  </pic:spPr>
                </pic:pic>
              </a:graphicData>
            </a:graphic>
          </wp:anchor>
        </w:drawing>
      </w:r>
    </w:p>
    <w:p>
      <w:pPr>
        <w:ind w:left="580" w:right="320" w:hanging="584"/>
        <w:spacing w:after="0" w:line="29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10.13# </w:t>
      </w:r>
      <w:hyperlink r:id="rId203">
        <w:r>
          <w:rPr>
            <w:rFonts w:ascii="Times New Roman" w:cs="Times New Roman" w:eastAsia="Times New Roman" w:hAnsi="Times New Roman"/>
            <w:sz w:val="17"/>
            <w:szCs w:val="17"/>
            <w:u w:val="single" w:color="auto"/>
            <w:color w:val="0000FF"/>
          </w:rPr>
          <w:t>License Agreement, by and between the Company and Indiana University Research and Technology Corporation, effective as of</w:t>
        </w:r>
      </w:hyperlink>
      <w:r>
        <w:rPr>
          <w:rFonts w:ascii="Times New Roman" w:cs="Times New Roman" w:eastAsia="Times New Roman" w:hAnsi="Times New Roman"/>
          <w:sz w:val="17"/>
          <w:szCs w:val="17"/>
          <w:color w:val="auto"/>
        </w:rPr>
        <w:t xml:space="preserve"> </w:t>
      </w:r>
      <w:hyperlink r:id="rId203">
        <w:r>
          <w:rPr>
            <w:rFonts w:ascii="Times New Roman" w:cs="Times New Roman" w:eastAsia="Times New Roman" w:hAnsi="Times New Roman"/>
            <w:sz w:val="17"/>
            <w:szCs w:val="17"/>
            <w:u w:val="single" w:color="auto"/>
            <w:color w:val="0000FF"/>
          </w:rPr>
          <w:t>November 30, 2016 (incorporated by reference to Exhibit 10.9 of the Company’s Quarterly Report on Form 10-Q filed on August 14,</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-185420</wp:posOffset>
            </wp:positionV>
            <wp:extent cx="5910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591058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-48260</wp:posOffset>
            </wp:positionV>
            <wp:extent cx="61366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613664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88265</wp:posOffset>
            </wp:positionV>
            <wp:extent cx="2952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156" w:lineRule="exact"/>
        <w:rPr>
          <w:rFonts w:ascii="Times New Roman" w:cs="Times New Roman" w:eastAsia="Times New Roman" w:hAnsi="Times New Roman"/>
          <w:sz w:val="17"/>
          <w:szCs w:val="17"/>
          <w:color w:val="auto"/>
        </w:rPr>
      </w:pPr>
    </w:p>
    <w:p>
      <w:pPr>
        <w:ind w:left="580" w:right="320" w:hanging="584"/>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10.14# </w:t>
      </w:r>
      <w:hyperlink r:id="rId207">
        <w:r>
          <w:rPr>
            <w:rFonts w:ascii="Times New Roman" w:cs="Times New Roman" w:eastAsia="Times New Roman" w:hAnsi="Times New Roman"/>
            <w:sz w:val="17"/>
            <w:szCs w:val="17"/>
            <w:u w:val="single" w:color="auto"/>
            <w:color w:val="0000FF"/>
          </w:rPr>
          <w:t>First Amendment to License Agreement, by and between the Company, the Trustee of Indiana University and Indiana University</w:t>
        </w:r>
      </w:hyperlink>
      <w:r>
        <w:rPr>
          <w:rFonts w:ascii="Times New Roman" w:cs="Times New Roman" w:eastAsia="Times New Roman" w:hAnsi="Times New Roman"/>
          <w:sz w:val="17"/>
          <w:szCs w:val="17"/>
          <w:color w:val="auto"/>
        </w:rPr>
        <w:t xml:space="preserve"> </w:t>
      </w:r>
      <w:hyperlink r:id="rId207">
        <w:r>
          <w:rPr>
            <w:rFonts w:ascii="Times New Roman" w:cs="Times New Roman" w:eastAsia="Times New Roman" w:hAnsi="Times New Roman"/>
            <w:sz w:val="17"/>
            <w:szCs w:val="17"/>
            <w:u w:val="single" w:color="auto"/>
            <w:color w:val="0000FF"/>
          </w:rPr>
          <w:t>Research and Technology Corporation, effective as of August 16, 2019 (incorporated by reference to Exhibit 10.10 of the Company’s</w:t>
        </w:r>
      </w:hyperlink>
      <w:r>
        <w:rPr>
          <w:rFonts w:ascii="Times New Roman" w:cs="Times New Roman" w:eastAsia="Times New Roman" w:hAnsi="Times New Roman"/>
          <w:sz w:val="17"/>
          <w:szCs w:val="17"/>
          <w:u w:val="single" w:color="auto"/>
          <w:color w:val="0000FF"/>
        </w:rPr>
        <w:t xml:space="preserve"> </w:t>
      </w:r>
      <w:hyperlink r:id="rId207">
        <w:r>
          <w:rPr>
            <w:rFonts w:ascii="Times New Roman" w:cs="Times New Roman" w:eastAsia="Times New Roman" w:hAnsi="Times New Roman"/>
            <w:sz w:val="17"/>
            <w:szCs w:val="17"/>
            <w:u w:val="single" w:color="auto"/>
            <w:color w:val="0000FF"/>
          </w:rPr>
          <w:t>Quarterly Report on Form 10-Q filed on August 14, 2020).</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-296545</wp:posOffset>
            </wp:positionV>
            <wp:extent cx="5933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593344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-159385</wp:posOffset>
            </wp:positionV>
            <wp:extent cx="61423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61423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2694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2694305" cy="8255"/>
                    </a:xfrm>
                    <a:prstGeom prst="rect">
                      <a:avLst/>
                    </a:prstGeom>
                    <a:noFill/>
                  </pic:spPr>
                </pic:pic>
              </a:graphicData>
            </a:graphic>
          </wp:anchor>
        </w:drawing>
      </w: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10.15  </w:t>
      </w:r>
      <w:hyperlink r:id="rId211">
        <w:r>
          <w:rPr>
            <w:rFonts w:ascii="Times New Roman" w:cs="Times New Roman" w:eastAsia="Times New Roman" w:hAnsi="Times New Roman"/>
            <w:sz w:val="17"/>
            <w:szCs w:val="17"/>
            <w:u w:val="single" w:color="auto"/>
            <w:color w:val="0000FF"/>
          </w:rPr>
          <w:t>Second Amendment to License Agreement, by and between the Company and The Trustees of Indiana University, effective as of May 28,</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-9525</wp:posOffset>
            </wp:positionV>
            <wp:extent cx="63385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6338570" cy="825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2020 (incorporated by reference to Exhibit 10.1 to the Company’s Quarterly Report on Form 10-Q filed on August 11, 2022).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-19050</wp:posOffset>
            </wp:positionV>
            <wp:extent cx="57429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5742940" cy="8890"/>
                    </a:xfrm>
                    <a:prstGeom prst="rect">
                      <a:avLst/>
                    </a:prstGeom>
                    <a:noFill/>
                  </pic:spPr>
                </pic:pic>
              </a:graphicData>
            </a:graphic>
          </wp:anchor>
        </w:drawing>
      </w:r>
    </w:p>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10.16  </w:t>
      </w:r>
      <w:hyperlink r:id="rId214">
        <w:r>
          <w:rPr>
            <w:rFonts w:ascii="Times New Roman" w:cs="Times New Roman" w:eastAsia="Times New Roman" w:hAnsi="Times New Roman"/>
            <w:sz w:val="17"/>
            <w:szCs w:val="17"/>
            <w:u w:val="single" w:color="auto"/>
            <w:color w:val="0000FF"/>
          </w:rPr>
          <w:t>Third Amendment to License Agreement, by and between the Company and The Trustees of Indiana University, effective as of June 9,</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-9525</wp:posOffset>
            </wp:positionV>
            <wp:extent cx="62058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205855" cy="8255"/>
                    </a:xfrm>
                    <a:prstGeom prst="rect">
                      <a:avLst/>
                    </a:prstGeom>
                    <a:noFill/>
                  </pic:spPr>
                </pic:pic>
              </a:graphicData>
            </a:graphic>
          </wp:anchor>
        </w:drawing>
      </w:r>
    </w:p>
    <w:p>
      <w:pPr>
        <w:spacing w:after="0" w:line="4" w:lineRule="exact"/>
        <w:rPr>
          <w:rFonts w:ascii="Times New Roman" w:cs="Times New Roman" w:eastAsia="Times New Roman" w:hAnsi="Times New Roman"/>
          <w:sz w:val="17"/>
          <w:szCs w:val="17"/>
          <w:color w:val="auto"/>
        </w:rPr>
      </w:pPr>
    </w:p>
    <w:p>
      <w:pPr>
        <w:ind w:left="580"/>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2022 (incorporated by reference to Exhibit 10.2 to the Company’s Quarterly Report on Form 10-Q filed on August 11, 2022).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364490</wp:posOffset>
            </wp:positionH>
            <wp:positionV relativeFrom="paragraph">
              <wp:posOffset>-19050</wp:posOffset>
            </wp:positionV>
            <wp:extent cx="57429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5742940" cy="8890"/>
                    </a:xfrm>
                    <a:prstGeom prst="rect">
                      <a:avLst/>
                    </a:prstGeom>
                    <a:noFill/>
                  </pic:spPr>
                </pic:pic>
              </a:graphicData>
            </a:graphic>
          </wp:anchor>
        </w:drawing>
      </w:r>
    </w:p>
    <w:p>
      <w:pPr>
        <w:ind w:left="580" w:right="740" w:hanging="499"/>
        <w:spacing w:after="0" w:line="265"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10.17 </w:t>
      </w:r>
      <w:hyperlink r:id="rId217">
        <w:r>
          <w:rPr>
            <w:rFonts w:ascii="Times New Roman" w:cs="Times New Roman" w:eastAsia="Times New Roman" w:hAnsi="Times New Roman"/>
            <w:sz w:val="17"/>
            <w:szCs w:val="17"/>
            <w:u w:val="single" w:color="auto"/>
            <w:color w:val="0000EE"/>
          </w:rPr>
          <w:t>Notice of Substitute Option Grant between the Company and a certain Optionee (incorporated by reference to Exhibit 4.5 of the</w:t>
        </w:r>
      </w:hyperlink>
      <w:r>
        <w:rPr>
          <w:rFonts w:ascii="Times New Roman" w:cs="Times New Roman" w:eastAsia="Times New Roman" w:hAnsi="Times New Roman"/>
          <w:sz w:val="17"/>
          <w:szCs w:val="17"/>
          <w:color w:val="auto"/>
        </w:rPr>
        <w:t xml:space="preserve"> </w:t>
      </w:r>
      <w:hyperlink r:id="rId217">
        <w:r>
          <w:rPr>
            <w:rFonts w:ascii="Times New Roman" w:cs="Times New Roman" w:eastAsia="Times New Roman" w:hAnsi="Times New Roman"/>
            <w:sz w:val="17"/>
            <w:szCs w:val="17"/>
            <w:u w:val="single" w:color="auto"/>
            <w:color w:val="0000EE"/>
          </w:rPr>
          <w:t>Company’s Registration Statement on Form S-8 filed on June 26, 2020).</w:t>
        </w:r>
      </w:hyperlink>
    </w:p>
    <w:p>
      <w:pPr>
        <w:ind w:left="580" w:right="40" w:hanging="499"/>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10.18 </w:t>
      </w:r>
      <w:hyperlink r:id="rId218">
        <w:r>
          <w:rPr>
            <w:rFonts w:ascii="Times New Roman" w:cs="Times New Roman" w:eastAsia="Times New Roman" w:hAnsi="Times New Roman"/>
            <w:sz w:val="17"/>
            <w:szCs w:val="17"/>
            <w:u w:val="single" w:color="auto"/>
            <w:color w:val="0000FF"/>
          </w:rPr>
          <w:t>Lease, dated as of August 8, 2019, by and between Larimar Therapeutics, Inc. and Bala Plaza Property, Inc. (incorporated by reference to</w:t>
        </w:r>
      </w:hyperlink>
      <w:r>
        <w:rPr>
          <w:rFonts w:ascii="Times New Roman" w:cs="Times New Roman" w:eastAsia="Times New Roman" w:hAnsi="Times New Roman"/>
          <w:sz w:val="17"/>
          <w:szCs w:val="17"/>
          <w:color w:val="auto"/>
        </w:rPr>
        <w:t xml:space="preserve"> </w:t>
      </w:r>
      <w:hyperlink r:id="rId218">
        <w:r>
          <w:rPr>
            <w:rFonts w:ascii="Times New Roman" w:cs="Times New Roman" w:eastAsia="Times New Roman" w:hAnsi="Times New Roman"/>
            <w:sz w:val="17"/>
            <w:szCs w:val="17"/>
            <w:u w:val="single" w:color="auto"/>
            <w:color w:val="0000FF"/>
          </w:rPr>
          <w:t>Exhibit 10.20 to the Company’s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-159385</wp:posOffset>
            </wp:positionV>
            <wp:extent cx="63163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631634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3204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ind w:left="580" w:right="460" w:hanging="499"/>
        <w:spacing w:after="0" w:line="243"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10.19 </w:t>
      </w:r>
      <w:hyperlink r:id="rId221">
        <w:r>
          <w:rPr>
            <w:rFonts w:ascii="Times New Roman" w:cs="Times New Roman" w:eastAsia="Times New Roman" w:hAnsi="Times New Roman"/>
            <w:sz w:val="17"/>
            <w:szCs w:val="17"/>
            <w:u w:val="single" w:color="auto"/>
            <w:color w:val="0000FF"/>
          </w:rPr>
          <w:t>First Amendment to Lease, dated as of March 9, 2023, by and between the Company and Bala Plaza Property, Inc. (incorporated by</w:t>
        </w:r>
      </w:hyperlink>
      <w:r>
        <w:rPr>
          <w:rFonts w:ascii="Times New Roman" w:cs="Times New Roman" w:eastAsia="Times New Roman" w:hAnsi="Times New Roman"/>
          <w:sz w:val="17"/>
          <w:szCs w:val="17"/>
          <w:color w:val="auto"/>
        </w:rPr>
        <w:t xml:space="preserve"> </w:t>
      </w:r>
      <w:hyperlink r:id="rId221">
        <w:r>
          <w:rPr>
            <w:rFonts w:ascii="Times New Roman" w:cs="Times New Roman" w:eastAsia="Times New Roman" w:hAnsi="Times New Roman"/>
            <w:sz w:val="17"/>
            <w:szCs w:val="17"/>
            <w:u w:val="single" w:color="auto"/>
            <w:color w:val="0000FF"/>
          </w:rPr>
          <w:t>reference to Exhibit 10.21 to the Company’s Form 10-K filed 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-137160</wp:posOffset>
            </wp:positionV>
            <wp:extent cx="60566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605663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0</wp:posOffset>
            </wp:positionV>
            <wp:extent cx="37757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3775710" cy="8255"/>
                    </a:xfrm>
                    <a:prstGeom prst="rect">
                      <a:avLst/>
                    </a:prstGeom>
                    <a:noFill/>
                  </pic:spPr>
                </pic:pic>
              </a:graphicData>
            </a:graphic>
          </wp:anchor>
        </w:drawing>
      </w:r>
    </w:p>
    <w:p>
      <w:pPr>
        <w:ind w:left="580" w:right="20" w:hanging="567"/>
        <w:spacing w:after="0" w:line="21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24">
        <w:r>
          <w:rPr>
            <w:rFonts w:ascii="Times New Roman" w:cs="Times New Roman" w:eastAsia="Times New Roman" w:hAnsi="Times New Roman"/>
            <w:sz w:val="17"/>
            <w:szCs w:val="17"/>
            <w:u w:val="single" w:color="auto"/>
            <w:color w:val="0000FF"/>
          </w:rPr>
          <w:t>Commercial Lease by and between the Company and Shigo Center Plaza Owner, LLC dated as of February 12, 2019 (incorporated herein</w:t>
        </w:r>
      </w:hyperlink>
      <w:r>
        <w:rPr>
          <w:rFonts w:ascii="Times New Roman" w:cs="Times New Roman" w:eastAsia="Times New Roman" w:hAnsi="Times New Roman"/>
          <w:sz w:val="17"/>
          <w:szCs w:val="17"/>
          <w:color w:val="auto"/>
        </w:rPr>
        <w:t xml:space="preserve"> </w:t>
      </w:r>
      <w:hyperlink r:id="rId224">
        <w:r>
          <w:rPr>
            <w:rFonts w:ascii="Times New Roman" w:cs="Times New Roman" w:eastAsia="Times New Roman" w:hAnsi="Times New Roman"/>
            <w:sz w:val="17"/>
            <w:szCs w:val="17"/>
            <w:u w:val="single" w:color="auto"/>
            <w:color w:val="0000FF"/>
          </w:rPr>
          <w:t>by reference to Exhibit 10.4 of the Registrant’s Form 10-Q filed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63360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33603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635</wp:posOffset>
            </wp:positionV>
            <wp:extent cx="37185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3718560" cy="8890"/>
                    </a:xfrm>
                    <a:prstGeom prst="rect">
                      <a:avLst/>
                    </a:prstGeom>
                    <a:noFill/>
                  </pic:spPr>
                </pic:pic>
              </a:graphicData>
            </a:graphic>
          </wp:anchor>
        </w:drawing>
      </w:r>
    </w:p>
    <w:p>
      <w:pPr>
        <w:ind w:left="580" w:right="680" w:hanging="567"/>
        <w:spacing w:after="0" w:line="21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27">
        <w:r>
          <w:rPr>
            <w:rFonts w:ascii="Times New Roman" w:cs="Times New Roman" w:eastAsia="Times New Roman" w:hAnsi="Times New Roman"/>
            <w:sz w:val="17"/>
            <w:szCs w:val="17"/>
            <w:u w:val="single" w:color="auto"/>
            <w:color w:val="0000FF"/>
          </w:rPr>
          <w:t>Sublease, dated October 27, 2020 by and between the Company and Massachusetts Municipal Association, Inc. (incorporated by</w:t>
        </w:r>
      </w:hyperlink>
      <w:r>
        <w:rPr>
          <w:rFonts w:ascii="Times New Roman" w:cs="Times New Roman" w:eastAsia="Times New Roman" w:hAnsi="Times New Roman"/>
          <w:sz w:val="17"/>
          <w:szCs w:val="17"/>
          <w:color w:val="auto"/>
        </w:rPr>
        <w:t xml:space="preserve"> </w:t>
      </w:r>
      <w:hyperlink r:id="rId227">
        <w:r>
          <w:rPr>
            <w:rFonts w:ascii="Times New Roman" w:cs="Times New Roman" w:eastAsia="Times New Roman" w:hAnsi="Times New Roman"/>
            <w:sz w:val="17"/>
            <w:szCs w:val="17"/>
            <w:u w:val="single" w:color="auto"/>
            <w:color w:val="0000FF"/>
          </w:rPr>
          <w:t>reference to Exhibit 10.1 to the Company’s Current Report on Form 8-K filed on October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5917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59175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635</wp:posOffset>
            </wp:positionV>
            <wp:extent cx="45916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4591685" cy="8255"/>
                    </a:xfrm>
                    <a:prstGeom prst="rect">
                      <a:avLst/>
                    </a:prstGeom>
                    <a:noFill/>
                  </pic:spPr>
                </pic:pic>
              </a:graphicData>
            </a:graphic>
          </wp:anchor>
        </w:drawing>
      </w:r>
    </w:p>
    <w:p>
      <w:pPr>
        <w:ind w:left="580" w:right="260" w:hanging="567"/>
        <w:spacing w:after="0" w:line="21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0">
        <w:r>
          <w:rPr>
            <w:rFonts w:ascii="Times New Roman" w:cs="Times New Roman" w:eastAsia="Times New Roman" w:hAnsi="Times New Roman"/>
            <w:sz w:val="17"/>
            <w:szCs w:val="17"/>
            <w:u w:val="single" w:color="auto"/>
            <w:color w:val="0000FF"/>
          </w:rPr>
          <w:t>Master Services Agreement, dated as of September 20, 2017, by and between the Company and KBI Biopharma, Inc. (incorporated by</w:t>
        </w:r>
      </w:hyperlink>
      <w:r>
        <w:rPr>
          <w:rFonts w:ascii="Times New Roman" w:cs="Times New Roman" w:eastAsia="Times New Roman" w:hAnsi="Times New Roman"/>
          <w:sz w:val="17"/>
          <w:szCs w:val="17"/>
          <w:color w:val="auto"/>
        </w:rPr>
        <w:t xml:space="preserve"> </w:t>
      </w:r>
      <w:hyperlink r:id="rId230">
        <w:r>
          <w:rPr>
            <w:rFonts w:ascii="Times New Roman" w:cs="Times New Roman" w:eastAsia="Times New Roman" w:hAnsi="Times New Roman"/>
            <w:sz w:val="17"/>
            <w:szCs w:val="17"/>
            <w:u w:val="single" w:color="auto"/>
            <w:color w:val="0000FF"/>
          </w:rPr>
          <w:t>reference to Exhibit 10.1 to the Company’s Quarterly Report on Form 10-Q filed on May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61836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6183630"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635</wp:posOffset>
            </wp:positionV>
            <wp:extent cx="45783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4578350" cy="8255"/>
                    </a:xfrm>
                    <a:prstGeom prst="rect">
                      <a:avLst/>
                    </a:prstGeom>
                    <a:noFill/>
                  </pic:spPr>
                </pic:pic>
              </a:graphicData>
            </a:graphic>
          </wp:anchor>
        </w:drawing>
      </w:r>
    </w:p>
    <w:p>
      <w:pPr>
        <w:spacing w:after="0" w:line="22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3">
        <w:r>
          <w:rPr>
            <w:rFonts w:ascii="Times New Roman" w:cs="Times New Roman" w:eastAsia="Times New Roman" w:hAnsi="Times New Roman"/>
            <w:sz w:val="17"/>
            <w:szCs w:val="17"/>
            <w:u w:val="single" w:color="auto"/>
            <w:color w:val="0000FF"/>
          </w:rPr>
          <w:t>First Amendment to Master Services Agreement, dated as of November 9, 2018, by and between the Company and KBI Biopharma,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-26035</wp:posOffset>
            </wp:positionV>
            <wp:extent cx="6282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282690" cy="8255"/>
                    </a:xfrm>
                    <a:prstGeom prst="rect">
                      <a:avLst/>
                    </a:prstGeom>
                    <a:noFill/>
                  </pic:spPr>
                </pic:pic>
              </a:graphicData>
            </a:graphic>
          </wp:anchor>
        </w:drawing>
      </w:r>
    </w:p>
    <w:p>
      <w:pPr>
        <w:ind w:left="580"/>
        <w:spacing w:after="0" w:line="202" w:lineRule="auto"/>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(incorporated by reference to Exhibit 10.2 to the Company’s Quarterly Report on Form 10-Q filed on May 10,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0</wp:posOffset>
            </wp:positionV>
            <wp:extent cx="53657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5365750" cy="8890"/>
                    </a:xfrm>
                    <a:prstGeom prst="rect">
                      <a:avLst/>
                    </a:prstGeom>
                    <a:noFill/>
                  </pic:spPr>
                </pic:pic>
              </a:graphicData>
            </a:graphic>
          </wp:anchor>
        </w:drawing>
      </w:r>
    </w:p>
    <w:p>
      <w:pPr>
        <w:ind w:left="580" w:right="120" w:hanging="567"/>
        <w:spacing w:after="0"/>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xml:space="preserve"> </w:t>
      </w:r>
      <w:hyperlink r:id="rId236">
        <w:r>
          <w:rPr>
            <w:rFonts w:ascii="Times New Roman" w:cs="Times New Roman" w:eastAsia="Times New Roman" w:hAnsi="Times New Roman"/>
            <w:sz w:val="17"/>
            <w:szCs w:val="17"/>
            <w:u w:val="single" w:color="auto"/>
            <w:color w:val="0000FF"/>
          </w:rPr>
          <w:t>Second Amendment to Master Services Agreement, dated as of September 20, 2022, by and between the Company and KBI Biopharma,</w:t>
        </w:r>
      </w:hyperlink>
      <w:r>
        <w:rPr>
          <w:rFonts w:ascii="Times New Roman" w:cs="Times New Roman" w:eastAsia="Times New Roman" w:hAnsi="Times New Roman"/>
          <w:sz w:val="17"/>
          <w:szCs w:val="17"/>
          <w:color w:val="auto"/>
        </w:rPr>
        <w:t xml:space="preserve"> </w:t>
      </w:r>
      <w:hyperlink r:id="rId236">
        <w:r>
          <w:rPr>
            <w:rFonts w:ascii="Times New Roman" w:cs="Times New Roman" w:eastAsia="Times New Roman" w:hAnsi="Times New Roman"/>
            <w:sz w:val="17"/>
            <w:szCs w:val="17"/>
            <w:u w:val="single" w:color="auto"/>
            <w:color w:val="0000FF"/>
          </w:rPr>
          <w:t>Inc. (incorporated by reference to Exhibit 10.23 to the Company’s Form 10-K filed on March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-161925</wp:posOffset>
            </wp:positionV>
            <wp:extent cx="62699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26999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-24765</wp:posOffset>
            </wp:positionV>
            <wp:extent cx="47371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4737100" cy="8890"/>
                    </a:xfrm>
                    <a:prstGeom prst="rect">
                      <a:avLst/>
                    </a:prstGeom>
                    <a:noFill/>
                  </pic:spPr>
                </pic:pic>
              </a:graphicData>
            </a:graphic>
          </wp:anchor>
        </w:drawing>
      </w:r>
    </w:p>
    <w:p>
      <w:pPr>
        <w:spacing w:after="0" w:line="39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1000" w:top="1414" w:right="379" w:bottom="1440" w:gutter="0" w:footer="0" w:header="0"/>
        </w:sectPr>
      </w:pPr>
    </w:p>
    <w:bookmarkStart w:id="110" w:name="page111"/>
    <w:bookmarkEnd w:id="110"/>
    <w:p>
      <w:pPr>
        <w:ind w:left="1260" w:right="100" w:hanging="499"/>
        <w:spacing w:after="0" w:line="27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10.25 </w:t>
      </w:r>
      <w:hyperlink r:id="rId240">
        <w:r>
          <w:rPr>
            <w:rFonts w:ascii="Times New Roman" w:cs="Times New Roman" w:eastAsia="Times New Roman" w:hAnsi="Times New Roman"/>
            <w:sz w:val="17"/>
            <w:szCs w:val="17"/>
            <w:u w:val="single" w:color="auto"/>
            <w:color w:val="0000FF"/>
          </w:rPr>
          <w:t>Sales Agreement, dated as of May 9, 2024, by and between the Company and Guggenheim Securities, LLC (incorporated by reference to</w:t>
        </w:r>
      </w:hyperlink>
      <w:r>
        <w:rPr>
          <w:rFonts w:ascii="Times New Roman" w:cs="Times New Roman" w:eastAsia="Times New Roman" w:hAnsi="Times New Roman"/>
          <w:sz w:val="17"/>
          <w:szCs w:val="17"/>
          <w:color w:val="auto"/>
        </w:rPr>
        <w:t xml:space="preserve"> </w:t>
      </w:r>
      <w:hyperlink r:id="rId240">
        <w:r>
          <w:rPr>
            <w:rFonts w:ascii="Times New Roman" w:cs="Times New Roman" w:eastAsia="Times New Roman" w:hAnsi="Times New Roman"/>
            <w:sz w:val="17"/>
            <w:szCs w:val="17"/>
            <w:u w:val="single" w:color="auto"/>
            <w:color w:val="0000FF"/>
          </w:rPr>
          <w:t>Exhibit 10.1 to the Company's Quarterly Report on Form 10-Q filed on May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-159385</wp:posOffset>
            </wp:positionV>
            <wp:extent cx="6304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630428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39331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3933190" cy="8890"/>
                    </a:xfrm>
                    <a:prstGeom prst="rect">
                      <a:avLst/>
                    </a:prstGeom>
                    <a:noFill/>
                  </pic:spPr>
                </pic:pic>
              </a:graphicData>
            </a:graphic>
          </wp:anchor>
        </w:drawing>
      </w:r>
    </w:p>
    <w:p>
      <w:pPr>
        <w:ind w:left="1260" w:right="3000" w:hanging="499"/>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10.26 </w:t>
      </w:r>
      <w:hyperlink r:id="rId243">
        <w:r>
          <w:rPr>
            <w:rFonts w:ascii="Times New Roman" w:cs="Times New Roman" w:eastAsia="Times New Roman" w:hAnsi="Times New Roman"/>
            <w:sz w:val="17"/>
            <w:szCs w:val="17"/>
            <w:u w:val="single" w:color="auto"/>
            <w:color w:val="0000FF"/>
          </w:rPr>
          <w:t>Exchange Agreement, dated December 16, 2025, by and between Larimar Therapeutics, Inc. and</w:t>
        </w:r>
      </w:hyperlink>
      <w:r>
        <w:rPr>
          <w:rFonts w:ascii="Times New Roman" w:cs="Times New Roman" w:eastAsia="Times New Roman" w:hAnsi="Times New Roman"/>
          <w:sz w:val="17"/>
          <w:szCs w:val="17"/>
          <w:color w:val="auto"/>
        </w:rPr>
        <w:t xml:space="preserve"> </w:t>
      </w:r>
      <w:hyperlink r:id="rId243">
        <w:r>
          <w:rPr>
            <w:rFonts w:ascii="Times New Roman" w:cs="Times New Roman" w:eastAsia="Times New Roman" w:hAnsi="Times New Roman"/>
            <w:sz w:val="17"/>
            <w:szCs w:val="17"/>
            <w:u w:val="single" w:color="auto"/>
            <w:color w:val="0000FF"/>
          </w:rPr>
          <w:t>the Stockholder named therein (incorporated by reference to Exhibit 10.1 to the Company’s</w:t>
        </w:r>
      </w:hyperlink>
      <w:r>
        <w:rPr>
          <w:rFonts w:ascii="Times New Roman" w:cs="Times New Roman" w:eastAsia="Times New Roman" w:hAnsi="Times New Roman"/>
          <w:sz w:val="17"/>
          <w:szCs w:val="17"/>
          <w:u w:val="single" w:color="auto"/>
          <w:color w:val="0000FF"/>
        </w:rPr>
        <w:t xml:space="preserve"> </w:t>
      </w:r>
      <w:hyperlink r:id="rId243">
        <w:r>
          <w:rPr>
            <w:rFonts w:ascii="Times New Roman" w:cs="Times New Roman" w:eastAsia="Times New Roman" w:hAnsi="Times New Roman"/>
            <w:sz w:val="17"/>
            <w:szCs w:val="17"/>
            <w:u w:val="single" w:color="auto"/>
            <w:color w:val="0000FF"/>
          </w:rPr>
          <w:t>Current Report on Form 8-K filed on December 17, 2025).</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796290</wp:posOffset>
            </wp:positionH>
            <wp:positionV relativeFrom="paragraph">
              <wp:posOffset>-296545</wp:posOffset>
            </wp:positionV>
            <wp:extent cx="44316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-159385</wp:posOffset>
            </wp:positionV>
            <wp:extent cx="41910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419100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2687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ind w:left="1260" w:right="3180" w:hanging="499"/>
        <w:spacing w:after="0" w:line="26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10.27 </w:t>
      </w:r>
      <w:hyperlink r:id="rId247">
        <w:r>
          <w:rPr>
            <w:rFonts w:ascii="Times New Roman" w:cs="Times New Roman" w:eastAsia="Times New Roman" w:hAnsi="Times New Roman"/>
            <w:sz w:val="17"/>
            <w:szCs w:val="17"/>
            <w:u w:val="single" w:color="auto"/>
            <w:color w:val="0000FF"/>
          </w:rPr>
          <w:t>Exchange Agreement, dated January 21, 2026, by and between Larimar Therapeutics, Inc. and</w:t>
        </w:r>
      </w:hyperlink>
      <w:r>
        <w:rPr>
          <w:rFonts w:ascii="Times New Roman" w:cs="Times New Roman" w:eastAsia="Times New Roman" w:hAnsi="Times New Roman"/>
          <w:sz w:val="17"/>
          <w:szCs w:val="17"/>
          <w:color w:val="auto"/>
        </w:rPr>
        <w:t xml:space="preserve"> </w:t>
      </w:r>
      <w:hyperlink r:id="rId247">
        <w:r>
          <w:rPr>
            <w:rFonts w:ascii="Times New Roman" w:cs="Times New Roman" w:eastAsia="Times New Roman" w:hAnsi="Times New Roman"/>
            <w:sz w:val="17"/>
            <w:szCs w:val="17"/>
            <w:u w:val="single" w:color="auto"/>
            <w:color w:val="0000FF"/>
          </w:rPr>
          <w:t>the Stockholder named therein (incorporated by reference to Exhibit 10.1 to the Company’s</w:t>
        </w:r>
      </w:hyperlink>
      <w:r>
        <w:rPr>
          <w:rFonts w:ascii="Times New Roman" w:cs="Times New Roman" w:eastAsia="Times New Roman" w:hAnsi="Times New Roman"/>
          <w:sz w:val="17"/>
          <w:szCs w:val="17"/>
          <w:u w:val="single" w:color="auto"/>
          <w:color w:val="0000FF"/>
        </w:rPr>
        <w:t xml:space="preserve"> </w:t>
      </w:r>
      <w:hyperlink r:id="rId247">
        <w:r>
          <w:rPr>
            <w:rFonts w:ascii="Times New Roman" w:cs="Times New Roman" w:eastAsia="Times New Roman" w:hAnsi="Times New Roman"/>
            <w:sz w:val="17"/>
            <w:szCs w:val="17"/>
            <w:u w:val="single" w:color="auto"/>
            <w:color w:val="0000FF"/>
          </w:rPr>
          <w:t>Current Report on Form 8-K filed on January 22, 2026).</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796290</wp:posOffset>
            </wp:positionH>
            <wp:positionV relativeFrom="paragraph">
              <wp:posOffset>-296545</wp:posOffset>
            </wp:positionV>
            <wp:extent cx="43180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4318000"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-159385</wp:posOffset>
            </wp:positionV>
            <wp:extent cx="41910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4191000" cy="8890"/>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-22225</wp:posOffset>
            </wp:positionV>
            <wp:extent cx="25736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2573655" cy="8890"/>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p>
      <w:pPr>
        <w:jc w:val="right"/>
        <w:spacing w:after="0"/>
        <w:rPr>
          <w:sz w:val="20"/>
          <w:szCs w:val="20"/>
          <w:color w:val="auto"/>
        </w:rPr>
      </w:pPr>
      <w:r>
        <w:rPr>
          <w:rFonts w:ascii="Times New Roman" w:cs="Times New Roman" w:eastAsia="Times New Roman" w:hAnsi="Times New Roman"/>
          <w:sz w:val="17"/>
          <w:szCs w:val="17"/>
          <w:color w:val="auto"/>
        </w:rPr>
        <w:t>19.1^</w:t>
      </w:r>
    </w:p>
    <w:p>
      <w:pPr>
        <w:spacing w:after="0" w:line="9"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7"/>
          <w:szCs w:val="17"/>
          <w:color w:val="auto"/>
        </w:rPr>
        <w:t>21.1*</w:t>
      </w:r>
    </w:p>
    <w:p>
      <w:pPr>
        <w:spacing w:after="0" w:line="21"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7"/>
          <w:szCs w:val="17"/>
          <w:color w:val="auto"/>
        </w:rPr>
        <w:t>23.1*</w:t>
      </w:r>
    </w:p>
    <w:p>
      <w:pPr>
        <w:spacing w:after="0" w:line="21"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7"/>
          <w:szCs w:val="17"/>
          <w:color w:val="auto"/>
        </w:rPr>
        <w:t>31.1*</w:t>
      </w:r>
    </w:p>
    <w:p>
      <w:pPr>
        <w:spacing w:after="0" w:line="21"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7"/>
          <w:szCs w:val="17"/>
          <w:color w:val="auto"/>
        </w:rPr>
        <w:t>31.2*</w:t>
      </w:r>
    </w:p>
    <w:p>
      <w:pPr>
        <w:spacing w:after="0" w:line="21"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7"/>
          <w:szCs w:val="17"/>
          <w:color w:val="auto"/>
        </w:rPr>
        <w:t>32.1**</w:t>
      </w:r>
    </w:p>
    <w:p>
      <w:pPr>
        <w:spacing w:after="0" w:line="342"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8"/>
          <w:szCs w:val="18"/>
          <w:color w:val="auto"/>
        </w:rPr>
        <w:t>97.1</w:t>
      </w:r>
    </w:p>
    <w:p>
      <w:pPr>
        <w:spacing w:after="0" w:line="117" w:lineRule="exact"/>
        <w:rPr>
          <w:rFonts w:ascii="Times New Roman" w:cs="Times New Roman" w:eastAsia="Times New Roman" w:hAnsi="Times New Roman"/>
          <w:sz w:val="17"/>
          <w:szCs w:val="17"/>
          <w:color w:val="auto"/>
        </w:rPr>
      </w:pPr>
    </w:p>
    <w:p>
      <w:pPr>
        <w:ind w:left="48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rFonts w:ascii="Times New Roman" w:cs="Times New Roman" w:eastAsia="Times New Roman" w:hAnsi="Times New Roman"/>
          <w:sz w:val="17"/>
          <w:szCs w:val="17"/>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rFonts w:ascii="Times New Roman" w:cs="Times New Roman" w:eastAsia="Times New Roman" w:hAnsi="Times New Roman"/>
          <w:sz w:val="17"/>
          <w:szCs w:val="17"/>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rFonts w:ascii="Times New Roman" w:cs="Times New Roman" w:eastAsia="Times New Roman" w:hAnsi="Times New Roman"/>
          <w:sz w:val="17"/>
          <w:szCs w:val="17"/>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rFonts w:ascii="Times New Roman" w:cs="Times New Roman" w:eastAsia="Times New Roman" w:hAnsi="Times New Roman"/>
          <w:sz w:val="17"/>
          <w:szCs w:val="17"/>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rFonts w:ascii="Times New Roman" w:cs="Times New Roman" w:eastAsia="Times New Roman" w:hAnsi="Times New Roman"/>
          <w:sz w:val="17"/>
          <w:szCs w:val="17"/>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101.PRE</w:t>
      </w:r>
    </w:p>
    <w:p>
      <w:pPr>
        <w:spacing w:after="0" w:line="9" w:lineRule="exact"/>
        <w:rPr>
          <w:rFonts w:ascii="Times New Roman" w:cs="Times New Roman" w:eastAsia="Times New Roman" w:hAnsi="Times New Roman"/>
          <w:sz w:val="17"/>
          <w:szCs w:val="17"/>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Insider Trading Policy (incorporated by reference to Exhibit 19.1 to the Company’s Form 10-K filed on March 24, 2025).</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55619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55619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Subsidiaries of Larimar Therapeutics, Inc.</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19577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4086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40868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Principal Executive Officer.</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1883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 of Principal Financial Officer.</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1565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3156585" cy="889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u w:val="single" w:color="auto"/>
          <w:color w:val="0000FF"/>
        </w:rPr>
        <w:t>Section 1350 certification of the Principal Executive Officer and Principal Financial Officer, as adopted pursuant to Section 906 of the Sarbanes-Oxley Act of 2002 (furnished herewith).</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63373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63373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22967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Larimar Therapeutics. Inc.’s Compensation Recovery Policy (incorporated by reference to Exhibit 97.1 to the Company's Form 10-K filed</w:t>
        </w:r>
      </w:hyperlink>
      <w:r>
        <w:rPr>
          <w:rFonts w:ascii="Times New Roman" w:cs="Times New Roman" w:eastAsia="Times New Roman" w:hAnsi="Times New Roman"/>
          <w:sz w:val="18"/>
          <w:szCs w:val="18"/>
          <w:u w:val="single" w:color="auto"/>
          <w:color w:val="0000FF"/>
        </w:rPr>
        <w:t xml:space="preserve"> </w:t>
      </w:r>
      <w:hyperlink r:id="rId259">
        <w:r>
          <w:rPr>
            <w:rFonts w:ascii="Times New Roman" w:cs="Times New Roman" w:eastAsia="Times New Roman" w:hAnsi="Times New Roman"/>
            <w:sz w:val="18"/>
            <w:szCs w:val="18"/>
            <w:u w:val="single" w:color="auto"/>
            <w:color w:val="0000FF"/>
          </w:rPr>
          <w:t>on March 14,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63385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63385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9359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8" w:lineRule="exact"/>
        <w:rPr>
          <w:sz w:val="20"/>
          <w:szCs w:val="20"/>
          <w:color w:val="auto"/>
        </w:rPr>
      </w:pPr>
    </w:p>
    <w:p>
      <w:pPr>
        <w:sectPr>
          <w:pgSz w:w="11900" w:h="16838" w:orient="portrait"/>
          <w:cols w:equalWidth="0" w:num="2">
            <w:col w:w="1140" w:space="120"/>
            <w:col w:w="9980"/>
          </w:cols>
          <w:pgMar w:left="320" w:top="1414" w:right="339" w:bottom="1440" w:gutter="0" w:footer="0" w:header="0"/>
          <w:type w:val="continuous"/>
        </w:sect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1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20"/>
          </w:cols>
          <w:pgMar w:left="320" w:top="1413" w:right="359" w:bottom="1440" w:gutter="0" w:footer="0" w:header="0"/>
        </w:sectPr>
      </w:pPr>
    </w:p>
    <w:p>
      <w:pPr>
        <w:spacing w:after="0" w:line="18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399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2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Michael Celano</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Joseph Truitt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Joseph Truitt</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Thomas E.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Jonathan Leff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Jonathan Leff</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Jeffrey W. Sherman, M.D., FACP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Jeffrey W. Sherman, M.D., FACP</w:t>
      </w:r>
    </w:p>
    <w:p>
      <w:pPr>
        <w:spacing w:after="0" w:line="22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/s/ Frank 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Frank E. Thomas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00" w:type="dxa"/>
            <w:vAlign w:val="bottom"/>
          </w:tcPr>
          <w:p>
            <w:pPr>
              <w:spacing w:after="0"/>
              <w:rPr>
                <w:sz w:val="20"/>
                <w:szCs w:val="20"/>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7"/>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 (principal</w:t>
            </w:r>
          </w:p>
        </w:tc>
        <w:tc>
          <w:tcPr>
            <w:tcW w:w="30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126"/>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executive officer)</w:t>
            </w:r>
          </w:p>
        </w:tc>
        <w:tc>
          <w:tcPr>
            <w:tcW w:w="3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00" w:type="dxa"/>
            <w:vAlign w:val="bottom"/>
          </w:tcPr>
          <w:p>
            <w:pPr>
              <w:spacing w:after="0"/>
              <w:rPr>
                <w:sz w:val="24"/>
                <w:szCs w:val="24"/>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126"/>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3"/>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Board of Directors</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661"/>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66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661"/>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662"/>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0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bl>
    <w:p>
      <w:pPr>
        <w:spacing w:after="0" w:line="298" w:lineRule="exact"/>
        <w:rPr>
          <w:sz w:val="20"/>
          <w:szCs w:val="20"/>
          <w:color w:val="auto"/>
        </w:rPr>
      </w:pPr>
    </w:p>
    <w:p>
      <w:pPr>
        <w:sectPr>
          <w:pgSz w:w="11900" w:h="16838" w:orient="portrait"/>
          <w:cols w:equalWidth="0" w:num="2">
            <w:col w:w="3280" w:space="720"/>
            <w:col w:w="722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3"/>
        </w:trPr>
        <w:tc>
          <w:tcPr>
            <w:tcW w:w="5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5020" w:type="dxa"/>
            <w:vAlign w:val="bottom"/>
            <w:gridSpan w:val="4"/>
          </w:tcPr>
          <w:p>
            <w:pPr>
              <w:spacing w:after="0"/>
              <w:rPr>
                <w:sz w:val="22"/>
                <w:szCs w:val="22"/>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7"/>
              </w:rPr>
              <w:t>F-1</w:t>
            </w:r>
          </w:p>
        </w:tc>
      </w:tr>
      <w:tr>
        <w:trPr>
          <w:trHeight w:val="412"/>
        </w:trPr>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24"/>
                <w:szCs w:val="24"/>
                <w:color w:val="auto"/>
              </w:rPr>
            </w:pPr>
          </w:p>
        </w:tc>
        <w:tc>
          <w:tcPr>
            <w:tcW w:w="5880" w:type="dxa"/>
            <w:vAlign w:val="bottom"/>
            <w:gridSpan w:val="5"/>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7"/>
              </w:rPr>
              <w:t>F-3</w:t>
            </w:r>
          </w:p>
        </w:tc>
      </w:tr>
      <w:tr>
        <w:trPr>
          <w:trHeight w:val="412"/>
        </w:trPr>
        <w:tc>
          <w:tcPr>
            <w:tcW w:w="8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2025 and 2024</w:t>
            </w:r>
          </w:p>
        </w:tc>
        <w:tc>
          <w:tcPr>
            <w:tcW w:w="2280" w:type="dxa"/>
            <w:vAlign w:val="bottom"/>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7"/>
              </w:rPr>
              <w:t>F-4</w:t>
            </w:r>
          </w:p>
        </w:tc>
      </w:tr>
      <w:tr>
        <w:trPr>
          <w:trHeight w:val="412"/>
        </w:trPr>
        <w:tc>
          <w:tcPr>
            <w:tcW w:w="79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years ended December 31, 2025 and 2024</w:t>
            </w:r>
          </w:p>
        </w:tc>
        <w:tc>
          <w:tcPr>
            <w:tcW w:w="2620" w:type="dxa"/>
            <w:vAlign w:val="bottom"/>
            <w:gridSpan w:val="2"/>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7"/>
              </w:rPr>
              <w:t>F-5</w:t>
            </w:r>
          </w:p>
        </w:tc>
      </w:tr>
      <w:tr>
        <w:trPr>
          <w:trHeight w:val="412"/>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7"/>
              </w:rPr>
              <w:t>F-7</w:t>
            </w:r>
          </w:p>
        </w:tc>
      </w:tr>
      <w:tr>
        <w:trPr>
          <w:trHeight w:val="412"/>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00" w:type="dxa"/>
            <w:vAlign w:val="bottom"/>
            <w:tcBorders>
              <w:top w:val="single" w:sz="8" w:color="0000FF"/>
            </w:tcBorders>
            <w:gridSpan w:val="4"/>
          </w:tcPr>
          <w:p>
            <w:pPr>
              <w:spacing w:after="0"/>
              <w:rPr>
                <w:sz w:val="24"/>
                <w:szCs w:val="24"/>
                <w:color w:val="auto"/>
              </w:rPr>
            </w:pPr>
          </w:p>
        </w:tc>
        <w:tc>
          <w:tcPr>
            <w:tcW w:w="4100" w:type="dxa"/>
            <w:vAlign w:val="bottom"/>
            <w:gridSpan w:val="3"/>
          </w:tcPr>
          <w:p>
            <w:pPr>
              <w:spacing w:after="0"/>
              <w:rPr>
                <w:sz w:val="24"/>
                <w:szCs w:val="24"/>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7"/>
              </w:rPr>
              <w:t>F-8</w:t>
            </w:r>
          </w:p>
        </w:tc>
      </w:tr>
      <w:tr>
        <w:trPr>
          <w:trHeight w:val="884"/>
        </w:trPr>
        <w:tc>
          <w:tcPr>
            <w:tcW w:w="6460" w:type="dxa"/>
            <w:vAlign w:val="bottom"/>
            <w:gridSpan w:val="5"/>
          </w:tcPr>
          <w:p>
            <w:pPr>
              <w:ind w:left="548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Larimar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Larimar Therapeutics, Inc. and its subsidiary (the “Company”) as of December 31, 2025 and 2024,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20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incurred recurring operating losses and negative cash flows from operations. Management’s evaluation of the events and conditions related to this matter are also described in Note 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recognizes external research and development costs based on an evaluation of the progress to completion of specific tasks using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line="153"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provided to the Company by its key service providers. Within accrued expenses, total accrued research and development expenses amounted to $53.9 million as of December 31, 2025. Management’s process involves reviewing open contracts and purchase orders, communicating with personnel and outside vendors to identify services that have been performed, and estimating the level of service performed and the associated costs incurred for the services when invoices or other notification of actual costs have not been received.</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accrued research and development expenses is a critical audit matter are (i) the significant judgment by management in developing the estimates of accrued research and development expenses and (ii) a high degree of auditor judgment, subjectivity and effort in performing procedures and evaluating audit evidence for these accrued research and development expenses related to management’s estimates of the level of service performed and the associated costs incurred for the services when invoices or other notification of actual costs have not yet been received.</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These procedures also included, among others; (i) testing management’s process for estimating accrued research and development expenses; (ii) evaluating the appropriateness of the method used by management to develop the estimate; (iii) testing the completeness and accuracy of the data used by management to develop the estimates related to the level of service performed and the associated costs incurred for the services when invoices or other notification of actual costs have not yet been received, on a sample basis; (iv) evaluating the reasonableness of the estimated costs incurred for the services which have not been invoiced or other notification of actual costs have not yet been received, on a sample basis, by tracing to underlying supporting documentation, such as underlying contracts, invoices, and confirmations received from certain third party service vendors, where applicable; and (v) testing a selection of invoices received by the Company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145,842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 as of December 31, 2025 and December 31, 2024;</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250,000 and no shares issued and outstanding as of</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authorized as of December 31, 2025 and December 31, 2024;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83,090,392 and 63,815,065 shares issued and outstanding as of</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(434,831)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(269,158)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78,085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145,842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-3248025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-3231515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-3231515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00" w:type="dxa"/>
            <w:vAlign w:val="bottom"/>
          </w:tcPr>
          <w:p>
            <w:pPr>
              <w:spacing w:after="0"/>
              <w:rPr>
                <w:sz w:val="18"/>
                <w:szCs w:val="18"/>
                <w:color w:val="auto"/>
              </w:rPr>
            </w:pP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100" w:type="dxa"/>
            <w:vAlign w:val="bottom"/>
          </w:tcPr>
          <w:p>
            <w:pPr>
              <w:spacing w:after="0"/>
              <w:rPr>
                <w:sz w:val="18"/>
                <w:szCs w:val="18"/>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(172,497)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(90,890)</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100" w:type="dxa"/>
            <w:vAlign w:val="bottom"/>
          </w:tcPr>
          <w:p>
            <w:pPr>
              <w:spacing w:after="0"/>
              <w:rPr>
                <w:sz w:val="18"/>
                <w:szCs w:val="18"/>
                <w:color w:val="auto"/>
              </w:rPr>
            </w:pPr>
          </w:p>
        </w:tc>
      </w:tr>
      <w:tr>
        <w:trPr>
          <w:trHeight w:val="25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(165,673)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(80,604)</w:t>
            </w:r>
          </w:p>
        </w:tc>
      </w:tr>
      <w:tr>
        <w:trPr>
          <w:trHeight w:val="197"/>
        </w:trPr>
        <w:tc>
          <w:tcPr>
            <w:tcW w:w="674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(165,673)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(80,604)</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(165,767)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(80,537)</w:t>
            </w: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72,947,927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61,256,084</w:t>
            </w:r>
          </w:p>
        </w:tc>
        <w:tc>
          <w:tcPr>
            <w:tcW w:w="100" w:type="dxa"/>
            <w:vAlign w:val="bottom"/>
          </w:tcPr>
          <w:p>
            <w:pPr>
              <w:spacing w:after="0"/>
              <w:rPr>
                <w:sz w:val="18"/>
                <w:szCs w:val="18"/>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-2562860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7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4"/>
                <w:szCs w:val="14"/>
                <w:color w:val="auto"/>
              </w:rPr>
            </w:pPr>
          </w:p>
        </w:tc>
        <w:tc>
          <w:tcPr>
            <w:tcW w:w="15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740" w:type="dxa"/>
            <w:vAlign w:val="bottom"/>
            <w:tcBorders>
              <w:bottom w:val="single" w:sz="8" w:color="auto"/>
            </w:tcBorders>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100" w:type="dxa"/>
            <w:vAlign w:val="bottom"/>
            <w:gridSpan w:val="3"/>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8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7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63,815,065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$ 440,758</w:t>
            </w:r>
          </w:p>
        </w:tc>
        <w:tc>
          <w:tcPr>
            <w:tcW w:w="3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(269,158)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21,562,500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A preferred stock</w:t>
            </w:r>
          </w:p>
        </w:tc>
        <w:tc>
          <w:tcPr>
            <w:tcW w:w="80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3"/>
            <w:shd w:val="clear" w:color="auto" w:fill="CFF0FC"/>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(2,500,000)</w:t>
            </w:r>
          </w:p>
        </w:tc>
        <w:tc>
          <w:tcPr>
            <w:tcW w:w="3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exchange for common stock</w:t>
            </w: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7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212,827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of employee tax obligations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 debt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7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12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48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7"/>
                <w:szCs w:val="17"/>
                <w:color w:val="auto"/>
              </w:rPr>
            </w:pPr>
          </w:p>
        </w:tc>
        <w:tc>
          <w:tcPr>
            <w:tcW w:w="8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(165,673)</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(165,673)</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83,090,392</w:t>
            </w: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$ 512,779</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(434,831)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-1216660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-1216660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-1216660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-1216660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-1216660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-1216660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-1216660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STOCKHOLDERS’ EQUITY (CONT.)</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7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4"/>
                <w:szCs w:val="14"/>
                <w:color w:val="auto"/>
              </w:rPr>
            </w:pPr>
          </w:p>
        </w:tc>
        <w:tc>
          <w:tcPr>
            <w:tcW w:w="15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74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3"/>
                <w:szCs w:val="13"/>
                <w:color w:val="auto"/>
              </w:rPr>
            </w:pPr>
          </w:p>
        </w:tc>
        <w:tc>
          <w:tcPr>
            <w:tcW w:w="10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6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43,909,069</w:t>
            </w:r>
          </w:p>
        </w:tc>
        <w:tc>
          <w:tcPr>
            <w:tcW w:w="5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$ 270,150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(188,554)</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19,736,842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161,736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Unrealized gain on marketable</w:t>
            </w: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7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(80,604)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(80,604)</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2024</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63,815,065</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$ 440,758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(269,158)</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-170815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-170815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3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(165,673)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(80,604)</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expense</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(1,698)</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(5,256)</w:t>
            </w:r>
          </w:p>
        </w:tc>
      </w:tr>
      <w:tr>
        <w:trPr>
          <w:trHeight w:val="216"/>
        </w:trPr>
        <w:tc>
          <w:tcPr>
            <w:tcW w:w="8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(8,465)</w:t>
            </w: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r>
      <w:tr>
        <w:trPr>
          <w:trHeight w:val="210"/>
        </w:trPr>
        <w:tc>
          <w:tcPr>
            <w:tcW w:w="8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(113,201)</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(70,760)</w:t>
            </w:r>
          </w:p>
        </w:tc>
      </w:tr>
      <w:tr>
        <w:trPr>
          <w:trHeight w:val="209"/>
        </w:trPr>
        <w:tc>
          <w:tcPr>
            <w:tcW w:w="8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(83,600)</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(227,872)</w:t>
            </w:r>
          </w:p>
        </w:tc>
      </w:tr>
      <w:tr>
        <w:trPr>
          <w:trHeight w:val="216"/>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(85,387)</w:t>
            </w:r>
          </w:p>
        </w:tc>
      </w:tr>
      <w:tr>
        <w:trPr>
          <w:trHeight w:val="209"/>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161,806</w:t>
            </w: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8"/>
                <w:szCs w:val="18"/>
                <w:color w:val="auto"/>
              </w:rPr>
            </w:pPr>
          </w:p>
        </w:tc>
      </w:tr>
      <w:tr>
        <w:trPr>
          <w:trHeight w:val="210"/>
        </w:trPr>
        <w:tc>
          <w:tcPr>
            <w:tcW w:w="83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65,086</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161,883</w:t>
            </w:r>
          </w:p>
        </w:tc>
        <w:tc>
          <w:tcPr>
            <w:tcW w:w="120" w:type="dxa"/>
            <w:vAlign w:val="bottom"/>
            <w:tcBorders>
              <w:top w:val="single" w:sz="8" w:color="CFF0FC"/>
            </w:tcBorders>
          </w:tcPr>
          <w:p>
            <w:pPr>
              <w:spacing w:after="0"/>
              <w:rPr>
                <w:sz w:val="18"/>
                <w:szCs w:val="18"/>
                <w:color w:val="auto"/>
              </w:rPr>
            </w:pPr>
          </w:p>
        </w:tc>
      </w:tr>
      <w:tr>
        <w:trPr>
          <w:trHeight w:val="210"/>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20" w:type="dxa"/>
            <w:vAlign w:val="bottom"/>
            <w:shd w:val="clear" w:color="auto" w:fill="CFF0FC"/>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120" w:type="dxa"/>
            <w:vAlign w:val="bottom"/>
          </w:tcPr>
          <w:p>
            <w:pPr>
              <w:spacing w:after="0"/>
              <w:rPr>
                <w:sz w:val="18"/>
                <w:szCs w:val="18"/>
                <w:color w:val="auto"/>
              </w:rPr>
            </w:pPr>
          </w:p>
        </w:tc>
      </w:tr>
      <w:tr>
        <w:trPr>
          <w:trHeight w:val="210"/>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86,018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r>
      <w:tr>
        <w:trPr>
          <w:trHeight w:val="23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-2128520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-2128520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-1570990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-1570990</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-1005205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-1005205</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-431165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Liquidity and Capital Resources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Larimar and its wholly owned subsidiary. All intercompany balances and transactions have been eliminated. The accompanying consolidated financial statements have been prepared in conformity with U. S. Generally Accepted Accounting Principles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$165.7 million and $80.6 million for the years ended December 31, 2025, and 2024, respectively, and cash flow used in operations of $113.2 million and $70.8 million for the years ended December 31, 2025 and 2024, respectively. In addition, as of December 31, 2025, the Company had an accumulated deficit of $434.8 million. The Company expects to continue to generate operating losses for the foreseeable future. As of December 31, 2025, the Company had approximately $136.9 million of cash, cash equivalents and marketable securities available for use to fund its operations and capital requirements.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sold 19,736,842 shares of its common stock in an underwritten public offering at a price of $8.74 per share and received net proceeds of approximately $161.8 million.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2025, the Company sold 21,562,500 shares of its common stock in an underwritten public offering at a price of $3.20 per share and received net proceeds of approximately $65.0 million.</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February 2026, the Company sold 23,000,000 shares of its common stock in an underwritten public offering at a price of $5.00 per share. and received net proceeds of approximately $107.6 million.</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consolidated financial statements are issued. As of the issuance date of these consolidated financial statements, the Company expects its cash, cash equivalents and marketable securities together with the net proceeds of its February 2026 underwritten public offering will be sufficient to fund its forecasted operating expenses and capital expenditure requirements into the second quarter of 2027.</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not yet commercialized any products and its ability to commercialize nomlabofusp is dependent on receiving regulatory approval in the United States and/or other countries. The Company expects that its research and development, general and administrative and commercial expenses will continue to increase and, as a result, that it may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1" w:name="page122"/>
    <w:bookmarkEnd w:id="121"/>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or private equity offerings, debt or royalty financings, collaborations and licensing arrangements, strategic partnerships with pharmaceutical and/or larger biotechnology companies, or other sources. The incurrence of indebtedness would result in increased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Company would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tariff or trade protection measures that have been or may in the future be imposed by the U.S. or other countries, and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commercialization efforts and/or commercial operations, which could adversely affect its business prospects, or the Company may be unable to continue operations. If the timing of the Company's clinical assumptions are delayed or if there are other forecasted assumption changes that negatively impact its operating plan, the Company would reduce expenditures in order to further extend cash resources.</w:t>
      </w:r>
    </w:p>
    <w:p>
      <w:pPr>
        <w:spacing w:after="0" w:line="71"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cash equivalents and marketable securities. Cash balances may be held in financial institutions which may exceed federally insured limits. The Company has not experienced realized losses related to its cash, cash equivalents or marketable securities.</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substance which is in frozen liquid form for nomlabofusp is currently manufactured for the Company by a third-party manufacturer, and the frozen liquid form of drug product is made at another manufacturer. The Company is utilizing a different third manufacturer to produce a lyophilized version of the drug product from the same drug substance that the company is currently using in its ongoing clinical trial and plans, to use in certain of its future planned clinical trials. The Company’s research and development programs and planned commercialization activities could be adversely affected by a significant interruption in these manufacturing services or in the supply of drug substance and formulated drugs.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date of purchase to be cash equivalents. Cash equivalents consisted of money market funds as of December 31,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Marketable securities consist of debt investments with original maturities greater than ninety days. The Company classifies its marketable securities as available-for-sale. Accordingly, these investments are recorded at fair value, which is based on quoted market prices. When the fair value is below the amortized cost the amount of the expected credit loss is estimated. The credit-related impairment amount, if any, would be recognized in net income; the remaining impairment amount and unrealized gains are reported as a component of accumulated other comprehensive income in stockholders’ equity. Credit losses, if any,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would be required to sell the security prior to recovery of its amortized cost basis, the allowance for credit loss would be written off and the excess of the amortized cost basis of the asset over its fair value would be recorded in net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net¸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Accruals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manufacturing and scale-up, other drug development and testing costs,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to scale up the manufacturing process, and other costs. The Company recognizes external research and development costs based on an evaluation of the progress to completion of specific tasks using information provided to the Company by its key service providers.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 making group, in deciding how to allocate resources in assessing performance. The Company is managed on a consolidated basis and has one operating and reportable segment related to the development of clinical and preclinical product candidates for the development of the Company’s proprietary new therapies, primarily nomlabofusp, the Company's life science segment. The Company’s chief operating decision maker (“CODM”) is the Company's chief executive officer (“CEO”).</w:t>
      </w:r>
    </w:p>
    <w:p>
      <w:pPr>
        <w:spacing w:after="0" w:line="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Company and its reportable segment based on net loss, which is reported on the consolidated Statements of Operations. The measure of segment assets is reported on the balance sheet as total consolidated assets. All long-lived assets are located in the U.S.</w:t>
      </w:r>
    </w:p>
    <w:p>
      <w:pPr>
        <w:spacing w:after="0" w:line="6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regulatory approval.</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CODM uses consolidated financial information, including consolidated net loss, to evaluate performance, forecast future period financial results, allocate resources for the company by, among other things, comparing budgeted to actual results.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8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twelve months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Technical operations</w:t>
            </w:r>
          </w:p>
        </w:tc>
        <w:tc>
          <w:tcPr>
            <w:tcW w:w="338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112,162</w:t>
            </w:r>
          </w:p>
        </w:tc>
        <w:tc>
          <w:tcPr>
            <w:tcW w:w="200" w:type="dxa"/>
            <w:vAlign w:val="bottom"/>
          </w:tcPr>
          <w:p>
            <w:pPr>
              <w:spacing w:after="0"/>
              <w:rPr>
                <w:sz w:val="18"/>
                <w:szCs w:val="18"/>
                <w:color w:val="auto"/>
              </w:rPr>
            </w:pPr>
          </w:p>
        </w:tc>
        <w:tc>
          <w:tcPr>
            <w:tcW w:w="1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44,805</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Development </w:t>
            </w:r>
            <w:r>
              <w:rPr>
                <w:rFonts w:ascii="Times New Roman" w:cs="Times New Roman" w:eastAsia="Times New Roman" w:hAnsi="Times New Roman"/>
                <w:sz w:val="24"/>
                <w:szCs w:val="24"/>
                <w:color w:val="auto"/>
                <w:vertAlign w:val="superscript"/>
              </w:rPr>
              <w:t>(a)</w:t>
            </w:r>
          </w:p>
        </w:tc>
        <w:tc>
          <w:tcPr>
            <w:tcW w:w="2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24,361</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Nomlabofusp support</w:t>
            </w:r>
          </w:p>
        </w:tc>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(b)</w:t>
            </w:r>
          </w:p>
        </w:tc>
        <w:tc>
          <w:tcPr>
            <w:tcW w:w="2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Commercial </w:t>
            </w:r>
            <w:r>
              <w:rPr>
                <w:rFonts w:ascii="Times New Roman" w:cs="Times New Roman" w:eastAsia="Times New Roman" w:hAnsi="Times New Roman"/>
                <w:sz w:val="24"/>
                <w:szCs w:val="24"/>
                <w:color w:val="auto"/>
                <w:vertAlign w:val="superscript"/>
              </w:rPr>
              <w:t>(c)</w:t>
            </w:r>
          </w:p>
        </w:tc>
        <w:tc>
          <w:tcPr>
            <w:tcW w:w="2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8"/>
                <w:szCs w:val="18"/>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3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172,497</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90,890</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(10,286)</w:t>
            </w:r>
          </w:p>
        </w:tc>
      </w:tr>
      <w:tr>
        <w:trPr>
          <w:trHeight w:val="20"/>
        </w:trPr>
        <w:tc>
          <w:tcPr>
            <w:tcW w:w="4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38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(165,673)</w:t>
            </w:r>
          </w:p>
        </w:tc>
        <w:tc>
          <w:tcPr>
            <w:tcW w:w="102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(80,604)</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900" w:right="120" w:hanging="38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include research and development related stock compensation expense of approximately $3.5 million and $4.1 million for the twelve months ended December 31, 2025 and 2024, respectively.</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general and administrative related stock compensation expense of approximately $3.5 million and $4.7 million for the twelve months ended December 31, 2025 and 2024, respectively.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expenses relate to commercial readiness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4"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Gain (Loss)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gain (loss) includes net loss as well as other changes in stockholders’ equity that result from transactions and economic events other than those with stockholders. For the years ended December 31, 2025 and 2024, the Company’s only element of other comprehensive gain (loss) was unrealized gain (loss) on marketable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this amendment and all existing segment disclosures in ASC 280, Segment Reporting. The amendments are effective for fiscal years beginning after December 15, 2023, and interim periods beginning after December 15, 2024. The Company adopted ASU 2023-07, effective December 31, 2024, in these consolidated financial statements. ASU 2023-07 only impacted the disclosures and did not impact the consolidated financial statements. See Note 2, Segment Information, for disclosures related to the adoption of ASU 2023-07.</w:t>
      </w:r>
    </w:p>
    <w:p>
      <w:pPr>
        <w:spacing w:after="0" w:line="8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standard enhances disclosures related to income taxes, including the rate reconciliation and information on income taxes paid. The Company adopted ASU No. 2023-09 effective December 31, 2025, on a prospective basis, the impact of which is limited to additional income tax disclosures in the notes to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disaggregated disclosures in the notes of the financial statements of certain categories of expenses that are included in expense line items on the face of the income statement. This ASU is effective for annual periods beginning after December 15, 2026, and interim periods within annual reporting periods beginning after December 15, 2027. Early adoption is permitted. The Company will evaluate the impact adopting ASU 2024-03 will have on the Company's consolidated financial statements and disclosures.</w:t>
      </w:r>
    </w:p>
    <w:p>
      <w:pPr>
        <w:spacing w:after="0" w:line="71"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Cash Equivalents/Marketable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Company’s assets and liabilities that are measured at fair value on a recurring basis as of December 31, 2025 and December 31, 2024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ectPr>
          <w:pgSz w:w="11900" w:h="16838" w:orient="portrait"/>
          <w:cols w:equalWidth="0" w:num="1">
            <w:col w:w="11220"/>
          </w:cols>
          <w:pgMar w:left="320" w:top="1440" w:right="359" w:bottom="1440" w:gutter="0" w:footer="0" w:header="0"/>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42" w:lineRule="exact"/>
        <w:rPr>
          <w:sz w:val="20"/>
          <w:szCs w:val="20"/>
          <w:color w:val="auto"/>
        </w:rPr>
      </w:pPr>
    </w:p>
    <w:p>
      <w:pPr>
        <w:sectPr>
          <w:pgSz w:w="11900" w:h="16838" w:orient="portrait"/>
          <w:cols w:equalWidth="0" w:num="2">
            <w:col w:w="680" w:space="640"/>
            <w:col w:w="99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7" w:lineRule="exact"/>
        <w:rPr>
          <w:sz w:val="20"/>
          <w:szCs w:val="20"/>
          <w:color w:val="auto"/>
        </w:rPr>
      </w:pPr>
    </w:p>
    <w:p>
      <w:pPr>
        <w:sectPr>
          <w:pgSz w:w="11900" w:h="16838" w:orient="portrait"/>
          <w:cols w:equalWidth="0" w:num="2">
            <w:col w:w="680" w:space="640"/>
            <w:col w:w="99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17" w:lineRule="exact"/>
        <w:rPr>
          <w:sz w:val="20"/>
          <w:szCs w:val="20"/>
          <w:color w:val="auto"/>
        </w:rPr>
      </w:pPr>
    </w:p>
    <w:p>
      <w:pPr>
        <w:sectPr>
          <w:pgSz w:w="11900" w:h="16838" w:orient="portrait"/>
          <w:cols w:equalWidth="0" w:num="2">
            <w:col w:w="680" w:space="640"/>
            <w:col w:w="9900"/>
          </w:cols>
          <w:pgMar w:left="320" w:top="1440" w:right="359" w:bottom="1440" w:gutter="0" w:footer="0" w:header="0"/>
          <w:type w:val="continuous"/>
        </w:sect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marketable securities, accounts payable and accrued liabilities. For accounts payable and accrued liabilities, the carrying amounts of these financial instruments as of December 31, 2025 and 2024 were considered representative of their fair values due to their short term to maturity.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26" w:name="page127"/>
    <w:bookmarkEnd w:id="126"/>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400" w:type="dxa"/>
            <w:vAlign w:val="bottom"/>
            <w:gridSpan w:val="3"/>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78,930</w:t>
            </w:r>
          </w:p>
        </w:tc>
        <w:tc>
          <w:tcPr>
            <w:tcW w:w="400" w:type="dxa"/>
            <w:vAlign w:val="bottom"/>
            <w:gridSpan w:val="3"/>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40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cash equivalents</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Treasury Bills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176,938</w:t>
            </w:r>
          </w:p>
        </w:tc>
        <w:tc>
          <w:tcPr>
            <w:tcW w:w="24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2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-2463800</wp:posOffset>
            </wp:positionV>
            <wp:extent cx="9398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-2463800</wp:posOffset>
            </wp:positionV>
            <wp:extent cx="939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-2463800</wp:posOffset>
            </wp:positionV>
            <wp:extent cx="93980" cy="1797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-2463800</wp:posOffset>
            </wp:positionV>
            <wp:extent cx="102870" cy="1797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-1898015</wp:posOffset>
            </wp:positionV>
            <wp:extent cx="93980" cy="179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-1898015</wp:posOffset>
            </wp:positionV>
            <wp:extent cx="9398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-1898015</wp:posOffset>
            </wp:positionV>
            <wp:extent cx="93980" cy="179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-1898015</wp:posOffset>
            </wp:positionV>
            <wp:extent cx="102870"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-1576705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-1593850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-1576705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-1593850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-1576705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-1031875</wp:posOffset>
            </wp:positionV>
            <wp:extent cx="93980" cy="179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-1031875</wp:posOffset>
            </wp:positionV>
            <wp:extent cx="93980"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-1031875</wp:posOffset>
            </wp:positionV>
            <wp:extent cx="939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-1031875</wp:posOffset>
            </wp:positionV>
            <wp:extent cx="10287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$0.7 million and $1.1 million as of December 31, 2025 and 2024, respectively, and is included in prepaid expenses and other current assets on the consolidated balance sheet.</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6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unrealized loss for available-for-sale investments were non-credit related, and the Company does not intend to sell the investments that were in an unrealized loss position, nor will it be required to sell those investments before recovery of their amortized cost basis, which may be maturity. As of December 31, 2025 and 2024, no allowances for credit losses for the Company’s investments were recorded. During the twelve months ended December 31, 2025 and 2024, the Company did not recognize any impairment losses related to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cash equivalents and marketable securities consisted of a U.S. government money market fund, U.S. Treasury Bills and U.S. government and agency securities, all held in our name in a separate custody account with U.S. Bank. The U.S. government money market fund has same-day liquidity access and the U.S. government and agency securities all have maturities of 360 days or less.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as of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51,386</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3"/>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51,386</w:t>
            </w:r>
          </w:p>
        </w:tc>
        <w:tc>
          <w:tcPr>
            <w:tcW w:w="24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147,143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r>
      <w:tr>
        <w:trPr>
          <w:trHeight w:val="230"/>
        </w:trPr>
        <w:tc>
          <w:tcPr>
            <w:tcW w:w="5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prepaid expense and other assets</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shd w:val="clear" w:color="auto" w:fill="CFF0FC"/>
          </w:tcPr>
          <w:p>
            <w:pPr>
              <w:spacing w:after="0"/>
              <w:rPr>
                <w:sz w:val="19"/>
                <w:szCs w:val="19"/>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60" w:type="dxa"/>
            <w:vAlign w:val="bottom"/>
          </w:tcPr>
          <w:p>
            <w:pPr>
              <w:spacing w:after="0"/>
              <w:rPr>
                <w:sz w:val="15"/>
                <w:szCs w:val="15"/>
                <w:color w:val="auto"/>
              </w:rPr>
            </w:pP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ind w:right="934"/>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580" w:type="dxa"/>
            <w:vAlign w:val="bottom"/>
            <w:shd w:val="clear" w:color="auto" w:fill="CFF0FC"/>
          </w:tcPr>
          <w:p>
            <w:pPr>
              <w:jc w:val="center"/>
              <w:ind w:left="1714"/>
              <w:spacing w:after="0"/>
              <w:rPr>
                <w:sz w:val="20"/>
                <w:szCs w:val="20"/>
                <w:color w:val="auto"/>
              </w:rPr>
            </w:pPr>
            <w:r>
              <w:rPr>
                <w:rFonts w:ascii="Times New Roman" w:cs="Times New Roman" w:eastAsia="Times New Roman" w:hAnsi="Times New Roman"/>
                <w:sz w:val="18"/>
                <w:szCs w:val="18"/>
                <w:color w:val="auto"/>
                <w:w w:val="97"/>
              </w:rPr>
              <w:t>5 years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580" w:type="dxa"/>
            <w:vAlign w:val="bottom"/>
          </w:tcPr>
          <w:p>
            <w:pPr>
              <w:jc w:val="center"/>
              <w:ind w:left="1714"/>
              <w:spacing w:after="0"/>
              <w:rPr>
                <w:sz w:val="20"/>
                <w:szCs w:val="20"/>
                <w:color w:val="auto"/>
              </w:rPr>
            </w:pPr>
            <w:r>
              <w:rPr>
                <w:rFonts w:ascii="Times New Roman" w:cs="Times New Roman" w:eastAsia="Times New Roman" w:hAnsi="Times New Roman"/>
                <w:sz w:val="18"/>
                <w:szCs w:val="18"/>
                <w:color w:val="auto"/>
                <w:w w:val="97"/>
              </w:rPr>
              <w:t>5 years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580" w:type="dxa"/>
            <w:vAlign w:val="bottom"/>
            <w:shd w:val="clear" w:color="auto" w:fill="CFF0FC"/>
          </w:tcPr>
          <w:p>
            <w:pPr>
              <w:jc w:val="center"/>
              <w:ind w:left="1714"/>
              <w:spacing w:after="0"/>
              <w:rPr>
                <w:sz w:val="20"/>
                <w:szCs w:val="20"/>
                <w:color w:val="auto"/>
              </w:rPr>
            </w:pPr>
            <w:r>
              <w:rPr>
                <w:rFonts w:ascii="Times New Roman" w:cs="Times New Roman" w:eastAsia="Times New Roman" w:hAnsi="Times New Roman"/>
                <w:sz w:val="18"/>
                <w:szCs w:val="18"/>
                <w:color w:val="auto"/>
                <w:w w:val="97"/>
              </w:rPr>
              <w:t>7 years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jc w:val="center"/>
              <w:ind w:left="1714"/>
              <w:spacing w:after="0"/>
              <w:rPr>
                <w:sz w:val="20"/>
                <w:szCs w:val="20"/>
                <w:color w:val="auto"/>
              </w:rPr>
            </w:pPr>
            <w:r>
              <w:rPr>
                <w:rFonts w:ascii="Times New Roman" w:cs="Times New Roman" w:eastAsia="Times New Roman" w:hAnsi="Times New Roman"/>
                <w:sz w:val="18"/>
                <w:szCs w:val="18"/>
                <w:color w:val="auto"/>
              </w:rPr>
              <w:t>lease term</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fixed assets</w:t>
            </w:r>
          </w:p>
        </w:tc>
        <w:tc>
          <w:tcPr>
            <w:tcW w:w="3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(1,543)</w:t>
            </w:r>
          </w:p>
        </w:tc>
      </w:tr>
      <w:tr>
        <w:trPr>
          <w:trHeight w:val="250"/>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fixed assets, net</w:t>
            </w:r>
          </w:p>
        </w:tc>
        <w:tc>
          <w:tcPr>
            <w:tcW w:w="35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Depreciation expense was $0.3 million for the years ended December 31, 2025 and 2024, respectively. In addition, for the years ended December 31, 2025 and 2024, respectively, there was less than $0.1 million and $0.1 million of depreciation related to sublet assets recorded as other expense.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58,474</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Amended and Restated Certificate of Incorporation, authorized the Company to issue up to 115,000,000 shares of $0.001 par value common stock, of which 83,090,392 shares were issued and outstanding, and up to 5,000,000 shares of $0.001 par value undesignated preferred stock, of which 250,000 shares were issued and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July 2025, the Company sold 21,562,500 shares of its common stock in an underwritten public offering at a price of $3.20 per share and received net proceeds of approximately $65.0 million.</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February 2026, the Company sold 115,000,000 shares of its common stock in an underwritten public offering at a price of $5.00 per share and received net proceeds of approximately $107.6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this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Company entered into an exchange agreement (the “Exchange Agreement”) with Blue Owl Healthcare Opportunities IV Public Investments LP (the “Stockholder”) pursuant to which the Stockholder exchanged 2,500,000 shares of the Company’s common stock for 250,000 shares of newly designated Series A convertible preferred stock of par value $0.001 per share ( the “Series A Preferred Stock”). In January 2026, the Stockholder exchanged an additional 2,500,000 shares of the Company’s common stock for an additional 250,000 shares of Series A convertible preferred stock.</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Each share of the Series A Preferred Stock will be convertible into ten shares of common stock at the option of the holder at any time, subject to certain limitations, including that the holder will be prohibited from converting preferred stock into common stock if, as a result of such conversion, the holder, together with its affiliates, would beneficially own a number of shares of common stock more than 9.99% of the total common stock then issued and outstanding immediately following the conversion of such shares of Series A Preferred Stock. Holders of the Series A Preferred Stock are permitted to increase this percentage to an amount not to exceed 19.99% upon 60 days’ notice.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Shares of Series A Preferred Stock will generally have no voting rights, except as required by law and except that the consent of a majority of the holders of the outstanding preferred stock will be required to amend the terms of the preferred stock. In the event of the Company’s liquidation, dissolution or winding up, holders of series A preferred stock will participate pari passu with any distribution of proceeds to holders of common stock, calculated on an as-converted basis. Holders of preferred stock are entitled to receive when, as, and if dividends are declared and paid on the common stock, an equivalent dividend, calculated on an as-converted basis. Shares of series A Preferred Stock are otherwise not entitled to dividends.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Series A Preferred Stock ranks on parity with the common stock and any class or series of capital stock of the Company created specifically ranking by its terms on parity with the preferred stock. Additionally, it ranks senior to any class or series of capital stock of the Company hereafter created specifically ranking by its terms junior to the preferred stock and junior to any class or series of capital stock of Larimar created specifically ranking by its terms senior to any preferred stock, in each case, as to distributions of assets upon liquidation, dissolution or winding up of the Company, whether voluntarily or involuntarily.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performance-based restricted stock units,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in respect of incentive stock options under the 2020 Plan is 8,000,000.</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permitted by the 2020 Plan, the Company added 3,323,616 and 2,552,603 shares available for grant to the 2020 Plan on January 1, 2026 and January 1, 2025, respectively, which has increased the maximum number of shares of common stock that may be issued under the 2020 Plan to 3,889,418 shares as of January 1, 2026.</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2025 and 2024, options to purchase 1,333 and 1,242, respectively, issued under the Prior Plans were canceled and became available for grant under the 2020 Plan. In addition, as of December 31, 2025, 565,802 shares of common stock were available for grant under the 2020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0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20" w:type="dxa"/>
            <w:vAlign w:val="bottom"/>
            <w:gridSpan w:val="2"/>
            <w:shd w:val="clear" w:color="auto" w:fill="CFF0FC"/>
          </w:tcPr>
          <w:p>
            <w:pPr>
              <w:jc w:val="center"/>
              <w:ind w:left="5510"/>
              <w:spacing w:after="0"/>
              <w:rPr>
                <w:sz w:val="20"/>
                <w:szCs w:val="20"/>
                <w:color w:val="auto"/>
              </w:rPr>
            </w:pPr>
            <w:r>
              <w:rPr>
                <w:rFonts w:ascii="Times New Roman" w:cs="Times New Roman" w:eastAsia="Times New Roman" w:hAnsi="Times New Roman"/>
                <w:sz w:val="18"/>
                <w:szCs w:val="18"/>
                <w:color w:val="auto"/>
                <w:w w:val="98"/>
              </w:rPr>
              <w:t>4.43%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620" w:type="dxa"/>
            <w:vAlign w:val="bottom"/>
            <w:gridSpan w:val="2"/>
          </w:tcPr>
          <w:p>
            <w:pPr>
              <w:jc w:val="center"/>
              <w:ind w:left="553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20" w:type="dxa"/>
            <w:vAlign w:val="bottom"/>
            <w:gridSpan w:val="2"/>
            <w:shd w:val="clear" w:color="auto" w:fill="CFF0FC"/>
          </w:tcPr>
          <w:p>
            <w:pPr>
              <w:jc w:val="center"/>
              <w:ind w:left="5510"/>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620" w:type="dxa"/>
            <w:vAlign w:val="bottom"/>
            <w:gridSpan w:val="2"/>
          </w:tcPr>
          <w:p>
            <w:pPr>
              <w:jc w:val="center"/>
              <w:ind w:left="5510"/>
              <w:spacing w:after="0"/>
              <w:rPr>
                <w:sz w:val="20"/>
                <w:szCs w:val="20"/>
                <w:color w:val="auto"/>
              </w:rPr>
            </w:pPr>
            <w:r>
              <w:rPr>
                <w:rFonts w:ascii="Times New Roman" w:cs="Times New Roman" w:eastAsia="Times New Roman" w:hAnsi="Times New Roman"/>
                <w:sz w:val="18"/>
                <w:szCs w:val="18"/>
                <w:color w:val="auto"/>
                <w:w w:val="98"/>
              </w:rPr>
              <w:t>0.00%</w:t>
            </w:r>
          </w:p>
        </w:tc>
      </w:tr>
      <w:tr>
        <w:trPr>
          <w:trHeight w:val="846"/>
        </w:trPr>
        <w:tc>
          <w:tcPr>
            <w:tcW w:w="3620" w:type="dxa"/>
            <w:vAlign w:val="bottom"/>
          </w:tcPr>
          <w:p>
            <w:pPr>
              <w:spacing w:after="0"/>
              <w:rPr>
                <w:sz w:val="24"/>
                <w:szCs w:val="24"/>
                <w:color w:val="auto"/>
              </w:rPr>
            </w:pPr>
          </w:p>
        </w:tc>
        <w:tc>
          <w:tcPr>
            <w:tcW w:w="76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F-17</w:t>
            </w:r>
          </w:p>
        </w:tc>
      </w:tr>
      <w:tr>
        <w:trPr>
          <w:trHeight w:val="763"/>
        </w:trPr>
        <w:tc>
          <w:tcPr>
            <w:tcW w:w="3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under the Company's 2020 Plan as well as inducement grants outside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Plan for the twelve months ended December 31, 2025 :</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6,436,387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2,437,337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(337,952)</w:t>
            </w:r>
          </w:p>
        </w:tc>
        <w:tc>
          <w:tcPr>
            <w:tcW w:w="1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8,535,772</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1420" w:type="dxa"/>
            <w:vAlign w:val="bottom"/>
            <w:tcBorders>
              <w:top w:val="single" w:sz="8" w:color="CFF0FC"/>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380" w:type="dxa"/>
            <w:vAlign w:val="bottom"/>
            <w:tcBorders>
              <w:top w:val="single" w:sz="8" w:color="CFF0FC"/>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as of December 31,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4,623,362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8.61</w:t>
            </w:r>
          </w:p>
        </w:tc>
        <w:tc>
          <w:tcPr>
            <w:tcW w:w="14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38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expected to vest as of December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8,535,772</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6.51</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3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-513715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-496570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900" w:right="520" w:hanging="383"/>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granted options to purchase 2,437,337 shares of common stock to employees and directors under the 2020 Plan. The options have an exercise price equal to the closing stock price as of the grant date. Of the 2,437,337 options granted, 2,342,337 were granted to employees and vest over four years, with 25% vesting on the first anniversary of the grant and the remainder vesting in 36 equal monthly installments thereafter. The remaining 95,000 options were annual grants to the Company's directors and vest one year from the grant date. The weighted-average grant date fair value of options granted under the 2020 Plan during the twelve months ended December 31, 2025 was $2.64.</w:t>
      </w:r>
    </w:p>
    <w:p>
      <w:pPr>
        <w:spacing w:after="0" w:line="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stock options granted under the 2020 Plan was $10.2 million, which is expected to be recognized over a weighted average period of 2.40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twelve months ended December 31, 2025.</w:t>
      </w:r>
    </w:p>
    <w:p>
      <w:pPr>
        <w:spacing w:after="0" w:line="11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inducement options granted outside of the under the 2020 Plan was $0.4 million, which is expected to be recognized over a weighted average period of 1.29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RSUs are granted under the 2020 Plan to the Company's employees. The value of an RSU award is based on the Company's stock price on the date of the grant. The shares underlying the RSUs are not issued until the RSUs vest.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with respect to the Company's RSUs during the twelve months ended December 31, 2025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4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(a)</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699,003</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(212,827)</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(30,646)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1,000,518</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4.03</w:t>
            </w:r>
          </w:p>
        </w:tc>
        <w:tc>
          <w:tcPr>
            <w:tcW w:w="4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Unvested and expected to vest as of December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1,000,518</w:t>
            </w:r>
          </w:p>
        </w:tc>
        <w:tc>
          <w:tcPr>
            <w:tcW w:w="2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4.03</w:t>
            </w:r>
          </w:p>
        </w:tc>
        <w:tc>
          <w:tcPr>
            <w:tcW w:w="4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-187960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2025, the Company granted 544,988 shares of RSUs to employees under the 2020 Plan. The RSUs vest annually over four years and have a weighted-average grant date fair value during the twelve months ended December 31, 2025 of $3.46.</w:t>
      </w:r>
    </w:p>
    <w:p>
      <w:pPr>
        <w:spacing w:after="0" w:line="54"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for RSUs was $2.2 million, which is expected to be recognized over a weighted-average period of 2.11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2025, the Company's Board of Directors approved the issuance of 200,000 performance-based restricted stock units (“2025 PSU Awards”) to its executive officers under the 2020 Plan. The 2025 PSU Awards include two performance milestones.</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first milestone, which relates to 20% of each grant, will vest if the FDA accepts the filing of a biologic license application for accelerated approval of nomlabofusp by December 31, 2026. The second milestone, representing 80% of each grant will vest if the FDA approves the Company's nomlabofusp BLA within 12 months of the BLA acceptance (no later than December 31, 2027.) If the first milestone is not achieved by December 31, 2026, the full grant will be forfeited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As of December 31, 2025, the underlying performance criteria of the 2025 PSU Awards were determined to not be probable of achievement for accounting purposes, and no stock-based compensation expense was recognized for either the year ended December 31, 2025 or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2026 Option and Restricted Stock Unit Grants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26, 2026, the Company granted options to purchase 2,107,880 shares of common stock and 532,435 shares of restricted stock units to employees under the 2020 Plan. The options have an exercise price of $3.60 per share and vest over four years, with 25% vesting on the first anniversary of the grant and the remainder vesting in equal monthly installments thereafter. The shares of restricted stock will vest annually over four years. No performance-based restricted stock units were granted in 2026 to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82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700" w:type="dxa"/>
            <w:vAlign w:val="bottom"/>
          </w:tcPr>
          <w:p>
            <w:pPr>
              <w:spacing w:after="0"/>
              <w:rPr>
                <w:sz w:val="15"/>
                <w:szCs w:val="15"/>
                <w:color w:val="auto"/>
              </w:rPr>
            </w:pPr>
          </w:p>
        </w:tc>
        <w:tc>
          <w:tcPr>
            <w:tcW w:w="4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9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9"/>
        </w:trPr>
        <w:tc>
          <w:tcPr>
            <w:tcW w:w="3700" w:type="dxa"/>
            <w:vAlign w:val="bottom"/>
            <w:tcBorders>
              <w:bottom w:val="single" w:sz="8" w:color="CFF0FC"/>
            </w:tcBorders>
            <w:shd w:val="clear" w:color="auto" w:fill="CFF0FC"/>
          </w:tcPr>
          <w:p>
            <w:pPr>
              <w:spacing w:after="0"/>
              <w:rPr>
                <w:sz w:val="21"/>
                <w:szCs w:val="21"/>
                <w:color w:val="auto"/>
              </w:rPr>
            </w:pPr>
          </w:p>
        </w:tc>
        <w:tc>
          <w:tcPr>
            <w:tcW w:w="39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r>
      <w:tr>
        <w:trPr>
          <w:trHeight w:val="845"/>
        </w:trPr>
        <w:tc>
          <w:tcPr>
            <w:tcW w:w="3700" w:type="dxa"/>
            <w:vAlign w:val="bottom"/>
          </w:tcPr>
          <w:p>
            <w:pPr>
              <w:spacing w:after="0"/>
              <w:rPr>
                <w:sz w:val="24"/>
                <w:szCs w:val="24"/>
                <w:color w:val="auto"/>
              </w:rPr>
            </w:pPr>
          </w:p>
        </w:tc>
        <w:tc>
          <w:tcPr>
            <w:tcW w:w="4900" w:type="dxa"/>
            <w:vAlign w:val="bottom"/>
            <w:gridSpan w:val="2"/>
          </w:tcPr>
          <w:p>
            <w:pPr>
              <w:jc w:val="right"/>
              <w:ind w:right="2720"/>
              <w:spacing w:after="0"/>
              <w:rPr>
                <w:sz w:val="20"/>
                <w:szCs w:val="20"/>
                <w:color w:val="auto"/>
              </w:rPr>
            </w:pPr>
            <w:r>
              <w:rPr>
                <w:rFonts w:ascii="Times New Roman" w:cs="Times New Roman" w:eastAsia="Times New Roman" w:hAnsi="Times New Roman"/>
                <w:sz w:val="18"/>
                <w:szCs w:val="18"/>
                <w:color w:val="auto"/>
              </w:rPr>
              <w:t>F-19</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-1071245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-1053465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-1071245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-1053465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is party to an exclusive License Agreement, dated November 30, 2016, as amended, with Indiana University (“IU”). Such agreement provides for a transferable, worldwide license to certain patent rights regarding technology used by the Company with respect to the development of nomlabofusp.</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 agreement, the Company will pay IU a royalty of a low single digit percentage of net sales of licensed products depending on whether there is a valid patent covering such products. As additional consideration for these agreements, the Company is obligated to pay IU certain milestone payments of up to $2.0 million in the aggregate upon the achievement of certain developmental milestones, which commenced with the enrollment of the first patient in a Phase 1 clinical trial. The Company enrolled the first patient in its SAD trial on December 11, 2019 and paid IU less than $0.1 million. The Company will also pay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the IU License, the company recognized milestone expense of $0.1 million within research and development expenses.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agreement continues from its effective date through the last to date of expiration of the licensed patent, unless earlier terminated by either party in accordance with the terms of the agreement.</w:t>
      </w:r>
    </w:p>
    <w:p>
      <w:pPr>
        <w:spacing w:after="0" w:line="54"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We were previously a party to License Agreement dated November 30, 2016, with Wake Forest University Health Sciences (“WFUHS”), which licensed certain patent rights regarding technology used by us with respect to the development of nomlabofusp in consideration for an obligation to pay WFUHS a royalty of a low single digit percentage of net sales of licensed products, certain milestones, and certain sublicensing revenue. The WFUHS license expired in December 2025 with the last to expire licensed patent.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the following leases are reflected in the financial statements for both the years ended December 31, 2025 and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4,642 square feet of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72" w:lineRule="exact"/>
        <w:rPr>
          <w:sz w:val="20"/>
          <w:szCs w:val="20"/>
          <w:color w:val="auto"/>
        </w:rPr>
      </w:pPr>
    </w:p>
    <w:p>
      <w:pPr>
        <w:ind w:right="64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November 24, 2025, the Company executed the second amendment to the lease on the current 8,104 square footage of office space in Bala Cynwyd, Pennsylvania (which was set to expire in August 2026) and agreed to lease an additional 7,107 square feet of space from the same landlord. The property was not yet made available for use due to the significant tenant improvement work being performed by the landlord. Consequently, the Company determined that the lease has not yet commenced for accounting purposes. No right of use asset or lease liability will be recorded until the lease commencement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3" w:name="page134"/>
    <w:bookmarkEnd w:id="133"/>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was initially required to maintain a letter of credit, of $1.3 million. In October of 2024, upon the agreement with the landlord that we had achieved certain clinical development milestones required in the lease, this letter of credit was reduced to $0.6 million. During both periods presented, this cash deposit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lab space in King of Prussia, Pennsylvania for a period of four years. Due to required tenant improvements to be completed by the landlord, the Company did not take possession of the leased property until the actual lease term commencement date of May 10, 2024. Upon commencement of the lease term, the Company recorded a right of use asset and lease liability of $0.5 million which are reflected in these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Expense arising from operating leases was $0.6 million and $0.5 million during the twelve months ended December 31, 2025 and 2024, respectively. For operating leases, the weighted-average remaining lease term for leases at December 31, 2025 and 2024 was 3.6 and 4.5 years, respectively. For operating leases, the weighted average discount rate for leases at December 31, 2025 and 2024 was 11.0%. The Company has not entered into any financing leases.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December 31, 2025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top w:val="single" w:sz="8" w:color="CFF0FC"/>
            </w:tcBorders>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(831)</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50"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recorded no income tax benefits for the net operating losses incurred in each year due to its uncertainty of realizing a benefit from those items.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domestic and foreign components of loss before income taxes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38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(165,673)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(80,604)</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shd w:val="clear" w:color="auto" w:fill="CFF0FC"/>
          </w:tcPr>
          <w:p>
            <w:pPr>
              <w:spacing w:after="0"/>
              <w:rPr>
                <w:sz w:val="19"/>
                <w:szCs w:val="19"/>
                <w:color w:val="auto"/>
              </w:rPr>
            </w:pPr>
          </w:p>
        </w:tc>
        <w:tc>
          <w:tcPr>
            <w:tcW w:w="35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(165,673)</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(80,604)</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U.S. federal statutory income tax rate to income before income taxes after the adoption of ASU 2023-09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760" w:type="dxa"/>
            <w:vAlign w:val="bottom"/>
            <w:gridSpan w:val="4"/>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44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(in thousands, except percentage)</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taxes at U.S. statutory income tax rate</w:t>
            </w:r>
          </w:p>
        </w:tc>
        <w:tc>
          <w:tcPr>
            <w:tcW w:w="32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(34,791)</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27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4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7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45"/>
        </w:trPr>
        <w:tc>
          <w:tcPr>
            <w:tcW w:w="4400" w:type="dxa"/>
            <w:vAlign w:val="bottom"/>
          </w:tcPr>
          <w:p>
            <w:pPr>
              <w:spacing w:after="0"/>
              <w:rPr>
                <w:sz w:val="24"/>
                <w:szCs w:val="24"/>
                <w:color w:val="auto"/>
              </w:rPr>
            </w:pPr>
          </w:p>
        </w:tc>
        <w:tc>
          <w:tcPr>
            <w:tcW w:w="324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F-22</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-1216660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-1216660</wp:posOffset>
            </wp:positionV>
            <wp:extent cx="1117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9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U.S. federal statutory income tax rate to income before income taxes for years prior to the adoption of ASU 2023-09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state tax rate</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and state research and development tax credit</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Nondeductible permanent differences</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r>
      <w:tr>
        <w:trPr>
          <w:trHeight w:val="20"/>
        </w:trPr>
        <w:tc>
          <w:tcPr>
            <w:tcW w:w="7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318"/>
        </w:trPr>
        <w:tc>
          <w:tcPr>
            <w:tcW w:w="774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Net deferred tax assets as of December 31, 2025 and 2024 consisted of the following:</w:t>
            </w:r>
          </w:p>
        </w:tc>
        <w:tc>
          <w:tcPr>
            <w:tcW w:w="58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391"/>
        </w:trPr>
        <w:tc>
          <w:tcPr>
            <w:tcW w:w="77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24"/>
                <w:szCs w:val="24"/>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R&amp;D - acquired in merger with Zafgen</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66,659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66,678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R&amp;D - Section 174 Costs Post 2021</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24,588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22,616</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5,875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93,103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50,177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5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41,972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28,022</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Accruals &amp; reserves</w:t>
            </w:r>
          </w:p>
        </w:tc>
        <w:tc>
          <w:tcPr>
            <w:tcW w:w="5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 &amp; intangibles</w:t>
            </w:r>
          </w:p>
        </w:tc>
        <w:tc>
          <w:tcPr>
            <w:tcW w:w="5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1,196</w:t>
            </w:r>
          </w:p>
        </w:tc>
      </w:tr>
      <w:tr>
        <w:trPr>
          <w:trHeight w:val="210"/>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233,418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173,736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5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r>
      <w:tr>
        <w:trPr>
          <w:trHeight w:val="20"/>
        </w:trPr>
        <w:tc>
          <w:tcPr>
            <w:tcW w:w="7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(232,801)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(173,028)</w:t>
            </w:r>
          </w:p>
        </w:tc>
      </w:tr>
      <w:tr>
        <w:trPr>
          <w:trHeight w:val="20"/>
        </w:trPr>
        <w:tc>
          <w:tcPr>
            <w:tcW w:w="77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assets / (liabilities)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-2750820</wp:posOffset>
            </wp:positionV>
            <wp:extent cx="1117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-2734310</wp:posOffset>
            </wp:positionV>
            <wp:extent cx="1117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-462280</wp:posOffset>
            </wp:positionV>
            <wp:extent cx="1111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 ended December 31, 2025 and 2024 related primarily to the increase in net operating loss carryforwards and tax credit carryforwards and a decrease other deferred tax assets associated with a reduction in the Company’s effective state rate. Changes to the valuation allowance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as of the beginning of the year</w:t>
            </w:r>
          </w:p>
        </w:tc>
        <w:tc>
          <w:tcPr>
            <w:tcW w:w="294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173,028</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141,770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0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59,773</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31,258</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20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232,801</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173,028</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the Company had net operating loss carryforwards that expire for federal, foreign and state income tax purposes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$349.9 million, $1.2 million and $353.5 million, respectively. The federal and state operating losses begin to expire in 2026 and 2030, while the foreign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carryforward can be carried forward indefinitely. As of December 31, 2025, the Company had federal net operating loss carryforwards that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generated after December 31, 2017 of $343.9 million that do not expire, however these carryforwards are limited to 80% of the taxable income in any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period. The increase in federal net operating losses carryforward is primarily driven by the pre-tax loss for the period and the current year expensing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R&amp;D costs. As of December 31, 2025, the Company also had available tax credit carryforwards for federal and state income tax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 million which begin to expire in 2039. Utilization of the pre-Merger net operating loss carryforwards attributable to Zafgen, of approximately $33.5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are subject to a substantial annual limitation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Section 382 of the Internal Revenue Code of 1986 due to ownership changes occurred during the tax year associated with the Merger. In general, an ownership change, as defined by Section 382, results from transactions increasing the ownership of certain stockholders or public groups in the stock of a corporation by more than 50% over a three-year period. The ownership changes will limit the amount of pre-merger Zafgen carryforwards that can be utilized annually to offset future taxable income. The Company has reduced their NOL and R&amp;D tax credit deferred tax assets associated with the pre-Merger Zafgen operations as a result of the 382 analysis.</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believes that as a result of its merger with Zafgen, its ability to utilize NOLs acquired in the transaction and our other NOLs is expected to be severely limited by Section 382 of the Code. Additionally, the Company’s July 2021, September 2022, February 2024, July 2025 and February 2026 equity transactions could also limit its ability to utilize NOLs in the future. The Company has not conducted a study to assess whether a change of control has occurred or whether there have been multiple changes of control since inception. If the Company experienced a change of control, as defined by Section 382, at any time since inception, utilization of its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Tax Cuts and Jobs Act (“TCJA”) required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$69.2 million, $24.5 million and $22.2 million in 2024, 2023 and 2022, respectively. The Company is amortizing these costs for tax purposes over five years if the research and development was performed in the U.S. and over 15 years if the research and development was performed outside the U.S.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July 4, 2025, Public Law 119-21 was enacted and added new IRC Section 174A, which permanently restores the ability to immediately deduct domestic research and experimental expenditures for tax years beginning after December 31, 2024; the requirement to capitalize and amortize foreign research and experimental expenditures over 15 years was not changed.</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Company’s net deferred tax asset balance before the valuation allowance was $232.8 million and $173.0 million, respectively, and was comprised principally of net operating loss carryforwards, capitalized research and development expenses and tax credit carryforwards. During the years ended December 31, 2025 and 2024, gross deferred tax assets increased due to deferred tax assets acquired as a result of additional net operating loss carryforwards and research and development tax credits generated.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2025 and 2024. Management reevaluates the positive and negative evidence at each reporting period.</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not recorded any amounts for unrecognized tax benefits as of December 31, 2025 and 2024.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2022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7" w:name="page138"/>
    <w:bookmarkEnd w:id="137"/>
    <w:p>
      <w:pPr>
        <w:spacing w:after="0" w:line="82"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an agreement with the Friedreich’s Ataxia Research Alliance (“FARA”) to join the TRACK-FA Neuroimaging Consortium that includes pharmaceutical, biotechnology, academic, and clinical partners. One of the Company’s directors is also a director of FARA.</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consortium is conducting a natural history study designed to establish disease-specific neuroimaging biomarkers to track disease progression in the brain and spinal cord and provide a basis for utilizing these biomarkers in clinical trials. As an industry partner, the Company is helping fund the study and contribute to the study design, research activities, and analysis. The Company has access to study data for use in its regulatory filings, as appropriate.</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Company incurred $0.1 million and $0.9 million, respectively, of costs related to the TRACK-FA program.</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Additionally, during the twelve months ended December 31, 2025 and 2024, the Company sponsored patient and caregiver awareness events held by FARA for a cumulative $0.1 million in each period presented.</w:t>
      </w:r>
    </w:p>
    <w:p>
      <w:pPr>
        <w:spacing w:after="0" w:line="50"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Giving Effect to Conversion of Common Stock to Preferred Stock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 ended December 31, 2025 (in thousands, except share and per share amounts). For purposes of earnings per share, the Series A preferred shares have the same characteristics as common stock and have no liquidation or other material preferential rights over common stock and accordingly, have been considered as a second class of common stock in the computation of net loss per share regardless of their legal form. Losses are allocated between the common shares and the Series A preferred stock on a pro rata basis as they share equally in losses and residual net assets on an as-converted basis.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(165,673)</w:t>
            </w:r>
          </w:p>
        </w:tc>
      </w:tr>
      <w:tr>
        <w:trPr>
          <w:trHeight w:val="216"/>
        </w:trPr>
        <w:tc>
          <w:tcPr>
            <w:tcW w:w="7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to common</w:t>
            </w:r>
          </w:p>
        </w:tc>
        <w:tc>
          <w:tcPr>
            <w:tcW w:w="2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(165,375)</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net loss to Series A Preferred</w:t>
            </w:r>
          </w:p>
        </w:tc>
        <w:tc>
          <w:tcPr>
            <w:tcW w:w="2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74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24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72,947,927</w:t>
            </w: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Series A Preferred outstanding, basic and diluted</w:t>
            </w:r>
          </w:p>
        </w:tc>
        <w:tc>
          <w:tcPr>
            <w:tcW w:w="2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Series A Preferred, basic and diluted</w:t>
            </w:r>
          </w:p>
        </w:tc>
        <w:tc>
          <w:tcPr>
            <w:tcW w:w="2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number of Series A Preferred stock reflects only the period of time that this class of securities has been newly designated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9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excluded the below options to purchase common stock, unreleased restricted stock units, performance-based restricted stock units outstanding as of December 31, 2025 and 2024 respectively, from the computation of diluted net loss per share for the twelve months ended December 31, 2025 and 2024, respectively, because they had an anti-dilutive impact due to the net loss incurred for the periods. Additionally, the as-converted preferred shares have been excluded from diluted earnings per share as the effect would not be dilutive.</w:t>
      </w:r>
    </w:p>
    <w:p>
      <w:pPr>
        <w:spacing w:after="0" w:line="6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60" w:type="dxa"/>
            <w:vAlign w:val="bottom"/>
            <w:tcBorders>
              <w:top w:val="single" w:sz="8" w:color="auto"/>
              <w:bottom w:val="single" w:sz="8" w:color="auto"/>
            </w:tcBorders>
          </w:tcPr>
          <w:p>
            <w:pPr>
              <w:jc w:val="right"/>
              <w:ind w:right="8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8,535,772</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6,436,387</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800,518</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699,003</w:t>
            </w:r>
          </w:p>
        </w:tc>
        <w:tc>
          <w:tcPr>
            <w:tcW w:w="10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performance-based restricted common stock</w:t>
            </w:r>
          </w:p>
        </w:tc>
        <w:tc>
          <w:tcPr>
            <w:tcW w:w="1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excluded shares</w:t>
            </w:r>
          </w:p>
        </w:tc>
        <w:tc>
          <w:tcPr>
            <w:tcW w:w="1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9,536,290</w:t>
            </w:r>
          </w:p>
        </w:tc>
        <w:tc>
          <w:tcPr>
            <w:tcW w:w="3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7,135,390</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784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6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-1216660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86"/>
        </w:trPr>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760" w:type="dxa"/>
            <w:vAlign w:val="bottom"/>
            <w:gridSpan w:val="2"/>
          </w:tcPr>
          <w:p>
            <w:pPr>
              <w:ind w:left="2620"/>
              <w:spacing w:after="0"/>
              <w:rPr>
                <w:sz w:val="20"/>
                <w:szCs w:val="20"/>
                <w:color w:val="auto"/>
              </w:rPr>
            </w:pPr>
            <w:r>
              <w:rPr>
                <w:rFonts w:ascii="Times New Roman" w:cs="Times New Roman" w:eastAsia="Times New Roman" w:hAnsi="Times New Roman"/>
                <w:sz w:val="22"/>
                <w:szCs w:val="22"/>
                <w:b w:val="1"/>
                <w:bCs w:val="1"/>
                <w:color w:val="auto"/>
                <w:w w:val="98"/>
              </w:rPr>
              <w:t>Exhibit 21.1</w:t>
            </w:r>
          </w:p>
        </w:tc>
        <w:tc>
          <w:tcPr>
            <w:tcW w:w="0" w:type="dxa"/>
            <w:vAlign w:val="bottom"/>
          </w:tcPr>
          <w:p>
            <w:pPr>
              <w:spacing w:after="0"/>
              <w:rPr>
                <w:sz w:val="1"/>
                <w:szCs w:val="1"/>
                <w:color w:val="auto"/>
              </w:rPr>
            </w:pPr>
          </w:p>
        </w:tc>
      </w:tr>
      <w:tr>
        <w:trPr>
          <w:trHeight w:val="486"/>
        </w:trPr>
        <w:tc>
          <w:tcPr>
            <w:tcW w:w="376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LIST OF SUBSIDIARIES</w:t>
            </w: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76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3760" w:type="dxa"/>
            <w:vAlign w:val="bottom"/>
            <w:tcBorders>
              <w:left w:val="single" w:sz="8" w:color="auto"/>
              <w:right w:val="single" w:sz="8" w:color="auto"/>
            </w:tcBorders>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9"/>
                <w:szCs w:val="19"/>
                <w:b w:val="1"/>
                <w:bCs w:val="1"/>
                <w:color w:val="auto"/>
              </w:rPr>
              <w:t>Jurisdiction of Incorporation or</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Subsidiary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Organization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760" w:type="dxa"/>
            <w:vAlign w:val="bottom"/>
            <w:tcBorders>
              <w:top w:val="single" w:sz="8" w:color="auto"/>
              <w:left w:val="single" w:sz="8" w:color="auto"/>
              <w:bottom w:val="single" w:sz="8" w:color="auto"/>
              <w:right w:val="single" w:sz="8" w:color="auto"/>
            </w:tcBorders>
            <w:shd w:val="clear" w:color="auto" w:fill="BDD6EE"/>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Zafgen Australia Pty Ltd.</w:t>
            </w:r>
          </w:p>
        </w:tc>
        <w:tc>
          <w:tcPr>
            <w:tcW w:w="3740" w:type="dxa"/>
            <w:vAlign w:val="bottom"/>
            <w:tcBorders>
              <w:top w:val="single" w:sz="8" w:color="BDD6EE"/>
              <w:bottom w:val="single" w:sz="8" w:color="auto"/>
              <w:right w:val="single" w:sz="8" w:color="auto"/>
            </w:tcBorders>
            <w:shd w:val="clear" w:color="auto" w:fill="BDD6EE"/>
          </w:tcPr>
          <w:p>
            <w:pPr>
              <w:jc w:val="center"/>
              <w:spacing w:after="0" w:line="220" w:lineRule="exact"/>
              <w:rPr>
                <w:sz w:val="20"/>
                <w:szCs w:val="20"/>
                <w:color w:val="auto"/>
              </w:rPr>
            </w:pPr>
            <w:r>
              <w:rPr>
                <w:rFonts w:ascii="Times New Roman" w:cs="Times New Roman" w:eastAsia="Times New Roman" w:hAnsi="Times New Roman"/>
                <w:sz w:val="22"/>
                <w:szCs w:val="22"/>
                <w:color w:val="auto"/>
                <w:w w:val="97"/>
              </w:rPr>
              <w:t>100%</w:t>
            </w:r>
          </w:p>
        </w:tc>
        <w:tc>
          <w:tcPr>
            <w:tcW w:w="3740" w:type="dxa"/>
            <w:vAlign w:val="bottom"/>
            <w:tcBorders>
              <w:top w:val="single" w:sz="8" w:color="BDD6EE"/>
              <w:bottom w:val="single" w:sz="8" w:color="auto"/>
              <w:right w:val="single" w:sz="8" w:color="auto"/>
            </w:tcBorders>
            <w:shd w:val="clear" w:color="auto" w:fill="BDD6EE"/>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Australia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0"/>
        </w:trPr>
        <w:tc>
          <w:tcPr>
            <w:tcW w:w="3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9" w:name="page140"/>
    <w:bookmarkEnd w:id="139"/>
    <w:p>
      <w:pPr>
        <w:spacing w:after="0" w:line="207" w:lineRule="exact"/>
        <w:rPr>
          <w:sz w:val="20"/>
          <w:szCs w:val="20"/>
          <w:color w:val="auto"/>
        </w:rPr>
      </w:pPr>
    </w:p>
    <w:p>
      <w:pPr>
        <w:jc w:val="center"/>
        <w:ind w:right="-21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1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333-239510 and 333-279275) and Form S-8 (Nos. 333-249287, 333-270535, 333-277946, and 333-286062) of Larimar Therapeutics, Inc. of our report dated March 19, 2026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Philadelphia, Pennsylvania</w:t>
      </w:r>
    </w:p>
    <w:p>
      <w:pPr>
        <w:spacing w:after="0"/>
        <w:rPr>
          <w:sz w:val="20"/>
          <w:szCs w:val="20"/>
          <w:color w:val="auto"/>
        </w:rPr>
      </w:pPr>
      <w:r>
        <w:rPr>
          <w:rFonts w:ascii="Georgia" w:cs="Georgia" w:eastAsia="Georgia" w:hAnsi="Georgia"/>
          <w:sz w:val="18"/>
          <w:szCs w:val="18"/>
          <w:color w:val="auto"/>
        </w:rPr>
        <w:t>March 19, 2026</w:t>
      </w:r>
    </w:p>
    <w:p>
      <w:pPr>
        <w:spacing w:after="0" w:line="389" w:lineRule="exact"/>
        <w:rPr>
          <w:sz w:val="20"/>
          <w:szCs w:val="20"/>
          <w:color w:val="auto"/>
        </w:rPr>
      </w:pPr>
    </w:p>
    <w:p>
      <w:pPr>
        <w:jc w:val="center"/>
        <w:ind w:right="-219"/>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90"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Larimar Therapeutics, Inc.;</w:t>
      </w:r>
    </w:p>
    <w:p>
      <w:pPr>
        <w:spacing w:after="0" w:line="76"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140" w:right="380" w:hanging="383"/>
        <w:spacing w:after="0" w:line="306" w:lineRule="auto"/>
        <w:tabs>
          <w:tab w:leader="none" w:pos="114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90"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Larimar Therapeutics, Inc.;</w:t>
      </w:r>
    </w:p>
    <w:p>
      <w:pPr>
        <w:spacing w:after="0" w:line="76"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140" w:right="380" w:hanging="383"/>
        <w:spacing w:after="0" w:line="306" w:lineRule="auto"/>
        <w:tabs>
          <w:tab w:leader="none" w:pos="114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Michael Celano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660" w:hanging="690"/>
        <w:spacing w:after="0" w:line="282" w:lineRule="auto"/>
        <w:tabs>
          <w:tab w:leader="none" w:pos="11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2025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400" w:hanging="690"/>
        <w:spacing w:after="0" w:line="282" w:lineRule="auto"/>
        <w:tabs>
          <w:tab w:leader="none" w:pos="11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5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91"/>
        </w:trPr>
        <w:tc>
          <w:tcPr>
            <w:tcW w:w="6140" w:type="dxa"/>
            <w:vAlign w:val="bottom"/>
          </w:tcPr>
          <w:p>
            <w:pPr>
              <w:spacing w:after="0"/>
              <w:rPr>
                <w:sz w:val="16"/>
                <w:szCs w:val="16"/>
                <w:color w:val="auto"/>
              </w:rPr>
            </w:pPr>
          </w:p>
        </w:tc>
        <w:tc>
          <w:tcPr>
            <w:tcW w:w="51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78"/>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1)"/>
      <w:numFmt w:val="lowerRoman"/>
      <w:start w:val="2"/>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2"/>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decimal"/>
      <w:start w:val="3"/>
    </w:lvl>
  </w:abstractNum>
  <w:abstractNum w:abstractNumId="65">
    <w:nsid w:val="6B94764"/>
    <w:multiLevelType w:val="hybridMultilevel"/>
    <w:lvl w:ilvl="0">
      <w:lvlJc w:val="left"/>
      <w:lvlText w:val="%1."/>
      <w:numFmt w:val="decimal"/>
      <w:start w:val="4"/>
    </w:lvl>
  </w:abstractNum>
  <w:abstractNum w:abstractNumId="66">
    <w:nsid w:val="42C296BD"/>
    <w:multiLevelType w:val="hybridMultilevel"/>
    <w:lvl w:ilvl="0">
      <w:lvlJc w:val="left"/>
      <w:lvlText w:val="%1."/>
      <w:numFmt w:val="decimal"/>
      <w:start w:val="5"/>
    </w:lvl>
  </w:abstractNum>
  <w:abstractNum w:abstractNumId="67">
    <w:nsid w:val="168E121F"/>
    <w:multiLevelType w:val="hybridMultilevel"/>
    <w:lvl w:ilvl="0">
      <w:lvlJc w:val="left"/>
      <w:lvlText w:val="%1."/>
      <w:numFmt w:val="decimal"/>
      <w:start w:val="6"/>
    </w:lvl>
  </w:abstractNum>
  <w:abstractNum w:abstractNumId="68">
    <w:nsid w:val="1EBA5D23"/>
    <w:multiLevelType w:val="hybridMultilevel"/>
    <w:lvl w:ilvl="0">
      <w:lvlJc w:val="left"/>
      <w:lvlText w:val="%1."/>
      <w:numFmt w:val="decimal"/>
      <w:start w:val="7"/>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decimal"/>
      <w:start w:val="8"/>
    </w:lvl>
  </w:abstractNum>
  <w:abstractNum w:abstractNumId="71">
    <w:nsid w:val="540A471C"/>
    <w:multiLevelType w:val="hybridMultilevel"/>
    <w:lvl w:ilvl="0">
      <w:lvlJc w:val="left"/>
      <w:lvlText w:val="%1."/>
      <w:numFmt w:val="decimal"/>
      <w:start w:val="9"/>
    </w:lvl>
  </w:abstractNum>
  <w:abstractNum w:abstractNumId="72">
    <w:nsid w:val="7BD3EE7B"/>
    <w:multiLevelType w:val="hybridMultilevel"/>
    <w:lvl w:ilvl="0">
      <w:lvlJc w:val="left"/>
      <w:lvlText w:val="%1."/>
      <w:numFmt w:val="decimal"/>
      <w:start w:val="10"/>
    </w:lvl>
  </w:abstractNum>
  <w:abstractNum w:abstractNumId="73">
    <w:nsid w:val="51D9C564"/>
    <w:multiLevelType w:val="hybridMultilevel"/>
    <w:lvl w:ilvl="0">
      <w:lvlJc w:val="left"/>
      <w:lvlText w:val="%1."/>
      <w:numFmt w:val="decimal"/>
      <w:start w:val="1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139" Type="http://schemas.openxmlformats.org/officeDocument/2006/relationships/hyperlink" Target="https://www.sec.gov/Archives/edgar/data/0001374690/000119312519316828/d845901dex21.htm" TargetMode="External"/><Relationship Id="rId143" Type="http://schemas.openxmlformats.org/officeDocument/2006/relationships/hyperlink" Target="https://www.sec.gov/Archives/edgar/data/0001374690/000119312520065288/d846972dex21.htm" TargetMode="External"/><Relationship Id="rId147" Type="http://schemas.openxmlformats.org/officeDocument/2006/relationships/hyperlink" Target="https://www.sec.gov/Archives/edgar/data/1374690/000119312514247362/d747935dex31.htm" TargetMode="External"/><Relationship Id="rId150" Type="http://schemas.openxmlformats.org/officeDocument/2006/relationships/hyperlink" Target="https://www.sec.gov/Archives/edgar/data/1374690/000119312520157924/d936040dex31.htm" TargetMode="External"/><Relationship Id="rId153" Type="http://schemas.openxmlformats.org/officeDocument/2006/relationships/hyperlink" Target="https://www.sec.gov/Archives/edgar/data/1374690/000119312520157924/d936040dex32.htm" TargetMode="External"/><Relationship Id="rId156" Type="http://schemas.openxmlformats.org/officeDocument/2006/relationships/hyperlink" Target="https://www.sec.gov/Archives/edgar/data/0001374690/000095017024093733/lrmr-ex3_1.htm" TargetMode="External"/><Relationship Id="rId159" Type="http://schemas.openxmlformats.org/officeDocument/2006/relationships/hyperlink" Target="https://www.sec.gov/Archives/edgar/data/1374690/000119312514247362/d747935dex32.htm" TargetMode="External"/><Relationship Id="rId162" Type="http://schemas.openxmlformats.org/officeDocument/2006/relationships/hyperlink" Target="https://www.sec.gov/Archives/edgar/data/1374690/000119312525321738/d42051dex31.htm" TargetMode="External"/><Relationship Id="rId165" Type="http://schemas.openxmlformats.org/officeDocument/2006/relationships/hyperlink" Target="https://www.sec.gov/Archives/edgar/data/1374690/000119312526018664/d27699dex31.htm" TargetMode="External"/><Relationship Id="rId169" Type="http://schemas.openxmlformats.org/officeDocument/2006/relationships/hyperlink" Target="https://www.sec.gov/Archives/edgar/data/1374690/000156459021011003/lrmr-ex42_407.htm" TargetMode="External"/><Relationship Id="rId172" Type="http://schemas.openxmlformats.org/officeDocument/2006/relationships/hyperlink" Target="https://www.sec.gov/Archives/edgar/data/1374690/000119312520257168/d887315dex101.htm" TargetMode="External"/><Relationship Id="rId175" Type="http://schemas.openxmlformats.org/officeDocument/2006/relationships/hyperlink" Target="https://www.sec.gov/Archives/edgar/data/1374690/000119312520257168/d887315dex102.htm" TargetMode="External"/><Relationship Id="rId178" Type="http://schemas.openxmlformats.org/officeDocument/2006/relationships/hyperlink" Target="https://www.sec.gov/Archives/edgar/data/1374690/000095017024031529/lrmr-ex10_3.htm" TargetMode="External"/><Relationship Id="rId181" Type="http://schemas.openxmlformats.org/officeDocument/2006/relationships/hyperlink" Target="https://www.sec.gov/Archives/edgar/data/1374690/000095017024031529/lrmr-ex10_4.htm" TargetMode="External"/><Relationship Id="rId185" Type="http://schemas.openxmlformats.org/officeDocument/2006/relationships/hyperlink" Target="https://www.sec.gov/Archives/edgar/data/0001374690/000095017025009196/lrmr-ex10_1.htm" TargetMode="External"/><Relationship Id="rId188" Type="http://schemas.openxmlformats.org/officeDocument/2006/relationships/hyperlink" Target="https://www.sec.gov/Archives/edgar/data/1374690/000119312520157924/d936040dex102.htm" TargetMode="External"/><Relationship Id="rId191" Type="http://schemas.openxmlformats.org/officeDocument/2006/relationships/hyperlink" Target="https://www.sec.gov/Archives/edgar/data/0001374690/000119312520181162/d926045dex103.htm" TargetMode="External"/><Relationship Id="rId192" Type="http://schemas.openxmlformats.org/officeDocument/2006/relationships/hyperlink" Target="https://www.sec.gov/Archives/edgar/data/0001374690/000119312520157924/d936040dex103.htm" TargetMode="External"/><Relationship Id="rId193" Type="http://schemas.openxmlformats.org/officeDocument/2006/relationships/hyperlink" Target="https://www.sec.gov/Archives/edgar/data/1374690/000119312520211426/d82303dex101.htm" TargetMode="External"/><Relationship Id="rId196" Type="http://schemas.openxmlformats.org/officeDocument/2006/relationships/hyperlink" Target="https://www.sec.gov/Archives/edgar/data/0001374690/000119312520157924/d936040dex104.htm" TargetMode="External"/><Relationship Id="rId197" Type="http://schemas.openxmlformats.org/officeDocument/2006/relationships/hyperlink" Target="https://www.sec.gov/ix?doc=/Archives/edgar/data/1374690/000119312523026958/d399840d8k.htm" TargetMode="External"/><Relationship Id="rId200" Type="http://schemas.openxmlformats.org/officeDocument/2006/relationships/hyperlink" Target="https://www.sec.gov/Archives/edgar/data/1374690/000095017023041293/lrmr-ex10_1.htm" TargetMode="External"/><Relationship Id="rId203" Type="http://schemas.openxmlformats.org/officeDocument/2006/relationships/hyperlink" Target="https://www.sec.gov/Archives/edgar/data/1374690/000156459020040314/lrmr-ex109_303.htm" TargetMode="External"/><Relationship Id="rId207" Type="http://schemas.openxmlformats.org/officeDocument/2006/relationships/hyperlink" Target="https://www.sec.gov/Archives/edgar/data/1374690/000156459020040314/lrmr-ex1010_302.htm" TargetMode="External"/><Relationship Id="rId211" Type="http://schemas.openxmlformats.org/officeDocument/2006/relationships/hyperlink" Target="https://www.sec.gov/Archives/edgar/data/1374690/000095017022016917/lrmr-ex10_1.htm" TargetMode="External"/><Relationship Id="rId214" Type="http://schemas.openxmlformats.org/officeDocument/2006/relationships/hyperlink" Target="https://www.sec.gov/Archives/edgar/data/1374690/000095017022016917/lrmr-ex10_2.htm" TargetMode="External"/><Relationship Id="rId217" Type="http://schemas.openxmlformats.org/officeDocument/2006/relationships/hyperlink" Target="https://www.sec.gov/Archives/edgar/data/0001374690/000119312520181158/d913803dex45.htm" TargetMode="External"/><Relationship Id="rId218" Type="http://schemas.openxmlformats.org/officeDocument/2006/relationships/hyperlink" Target="https://www.sec.gov/Archives/edgar/data/0001374690/000095017024031529/lrmr-ex10_20.htm" TargetMode="External"/><Relationship Id="rId221" Type="http://schemas.openxmlformats.org/officeDocument/2006/relationships/hyperlink" Target="https://www.sec.gov/Archives/edgar/data/0001374690/000095017024031529/lrmr-ex10_21.htm" TargetMode="External"/><Relationship Id="rId224" Type="http://schemas.openxmlformats.org/officeDocument/2006/relationships/hyperlink" Target="https://www.sec.gov/Archives/edgar/data/1374690/000156459019018086/zfgn-ex104_74.htm" TargetMode="External"/><Relationship Id="rId227" Type="http://schemas.openxmlformats.org/officeDocument/2006/relationships/hyperlink" Target="https://www.sec.gov/Archives/edgar/data/1374690/000119312520282731/d37391dex101.htm" TargetMode="External"/><Relationship Id="rId230" Type="http://schemas.openxmlformats.org/officeDocument/2006/relationships/hyperlink" Target="https://www.sec.gov/Archives/edgar/data/0001374690/000156459021026084/lrmr-ex101_148.htm" TargetMode="External"/><Relationship Id="rId233" Type="http://schemas.openxmlformats.org/officeDocument/2006/relationships/hyperlink" Target="https://www.sec.gov/Archives/edgar/data/0001374690/000156459021026084/lrmr-ex102_147.htm" TargetMode="External"/><Relationship Id="rId236" Type="http://schemas.openxmlformats.org/officeDocument/2006/relationships/hyperlink" Target="https://www.sec.gov/Archives/edgar/data/1374690/000095017023007855/lrmr-ex10_23.htm" TargetMode="External"/><Relationship Id="rId240" Type="http://schemas.openxmlformats.org/officeDocument/2006/relationships/hyperlink" Target="https://www.sec.gov/Archives/edgar/data/0001374690/000095017024056965/lrmr-ex10_1.htm" TargetMode="External"/><Relationship Id="rId243" Type="http://schemas.openxmlformats.org/officeDocument/2006/relationships/hyperlink" Target="https://www.sec.gov/Archives/edgar/data/1374690/000119312525321738/d42051dex101.htm" TargetMode="External"/><Relationship Id="rId247" Type="http://schemas.openxmlformats.org/officeDocument/2006/relationships/hyperlink" Target="https://www.sec.gov/Archives/edgar/data/1374690/000119312526018664/d27699dex101.htm" TargetMode="External"/><Relationship Id="rId251" Type="http://schemas.openxmlformats.org/officeDocument/2006/relationships/hyperlink" Target="https://www.sec.gov/Archives/edgar/data/1374690/000095017025043925/lrmr-ex19_1.htm" TargetMode="External"/><Relationship Id="rId259" Type="http://schemas.openxmlformats.org/officeDocument/2006/relationships/hyperlink" Target="https://www.sec.gov/Archives/edgar/data/0001374690/000095017024031529/lrmr-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2026-03-19T14:47:42Z</dcterms:created>
  <dcterms:modified xsi:type="dcterms:W3CDTF">2026-03-19T14:47:42Z</dcterms:modified>
</cp:coreProperties>
</file>