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99"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57"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73"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70"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8" w:lineRule="exact"/>
        <w:rPr>
          <w:rFonts w:ascii="MS PGothic" w:cs="MS PGothic" w:eastAsia="MS PGothic" w:hAnsi="MS PGothic"/>
          <w:sz w:val="16"/>
          <w:szCs w:val="16"/>
          <w:color w:val="auto"/>
        </w:rPr>
      </w:pPr>
    </w:p>
    <w:p>
      <w:pPr>
        <w:ind w:left="12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Definitive Proxy Statement</w:t>
      </w:r>
    </w:p>
    <w:p>
      <w:pPr>
        <w:spacing w:after="0" w:line="98"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311785</wp:posOffset>
            </wp:positionV>
            <wp:extent cx="176593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Larimar Therapeutics, Inc.</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1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7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208280</wp:posOffset>
            </wp:positionV>
            <wp:extent cx="1765935" cy="65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2023 ANNUAL MEETING OF STOCKHOLDERS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9, 2023</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11, 2023</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8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are pleased to invite you to attend the 2023 Annual Meeting of Stockholders of Larimar Therapeutics, Inc. (the “Annual Meeting”), which will be held at 9:30 a.m., Eastern Time, on Tuesday, May 9, 2023.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our stockholders and reduces the environmental impact of our Annual Meeting. The Annual Meeting can be accessed via the Internet at: </w:t>
      </w:r>
      <w:r>
        <w:rPr>
          <w:rFonts w:ascii="Times New Roman" w:cs="Times New Roman" w:eastAsia="Times New Roman" w:hAnsi="Times New Roman"/>
          <w:sz w:val="18"/>
          <w:szCs w:val="18"/>
          <w:u w:val="single" w:color="auto"/>
          <w:color w:val="auto"/>
        </w:rPr>
        <w:t>meetnow.global/MD7Q9WF</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2023 Annual Meeting of Stockholders (the “Notice”) and 2023 Annual Meeting Proxy Statement (the “Proxy Statement”). Other than the proposals described in the Proxy Statement, the Board of Directors is not aware of any other matters to be presented for a vote at the Annual Meeting.</w:t>
      </w:r>
    </w:p>
    <w:p>
      <w:pPr>
        <w:spacing w:after="0" w:line="13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 you to vote as soon as possible to ensure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are represented. Information about voting methods is set forth in the accompanying Notice and Proxy Statement.</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have any questions with respect to voting, please call our Chief Financial Officer and Secretary, Michael Celano, at 484-414-2715.</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continued confidence in our Company. We look forward to your participation at the meeting.</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411480</wp:posOffset>
            </wp:positionV>
            <wp:extent cx="968375"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28257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1731645"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1645" cy="3683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Joseph Truitt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Carole S. Ben-Maimon, M.D.</w:t>
      </w:r>
    </w:p>
    <w:p>
      <w:pPr>
        <w:spacing w:after="0" w:line="129" w:lineRule="exact"/>
        <w:rPr>
          <w:sz w:val="20"/>
          <w:szCs w:val="20"/>
          <w:color w:val="auto"/>
        </w:rPr>
      </w:pPr>
    </w:p>
    <w:p>
      <w:pPr>
        <w:sectPr>
          <w:pgSz w:w="11900" w:h="16838" w:orient="portrait"/>
          <w:cols w:equalWidth="0" w:num="2">
            <w:col w:w="5020" w:space="720"/>
            <w:col w:w="540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00" w:lineRule="exact"/>
        <w:rPr>
          <w:sz w:val="20"/>
          <w:szCs w:val="20"/>
          <w:color w:val="auto"/>
        </w:rPr>
      </w:pPr>
    </w:p>
    <w:p>
      <w:pPr>
        <w:sectPr>
          <w:pgSz w:w="11900" w:h="16838" w:orient="portrait"/>
          <w:cols w:equalWidth="0" w:num="2">
            <w:col w:w="5020" w:space="720"/>
            <w:col w:w="5400"/>
          </w:cols>
          <w:pgMar w:left="320" w:top="455" w:right="439" w:bottom="1440" w:gutter="0" w:footer="0" w:header="0"/>
          <w:type w:val="continuous"/>
        </w:sectPr>
      </w:pP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THIS PROXY STATEMENT AND ENCLOSED PROXY CARD ARE</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FIRST BEING MAILED ON OR ABOUT APRIL 11, 2023.</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208280</wp:posOffset>
            </wp:positionV>
            <wp:extent cx="1765935"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2023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9, 2023</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2023 Annual Meeting of Stockholders of Larimar Therapeutics, Inc. (the “Annual Meeting”) will be held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virtual meeting on Tuesday, May 9, 2023, at 9:30 a.m. Eastern Time. We are holding the meeting for the purpose of considering and acting upon:</w:t>
      </w:r>
    </w:p>
    <w:p>
      <w:pPr>
        <w:spacing w:after="0" w:line="159" w:lineRule="exact"/>
        <w:rPr>
          <w:sz w:val="20"/>
          <w:szCs w:val="20"/>
          <w:color w:val="auto"/>
        </w:rPr>
      </w:pPr>
    </w:p>
    <w:p>
      <w:pPr>
        <w:ind w:left="1080" w:right="20" w:hanging="532"/>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three director nominees set forth in the attached 2023 Annual Meeting Proxy Statement (the “Proxy Statement”) to serve as Class III directors, whose terms will expire in 2026;</w:t>
      </w: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our named executive officers in 2022;</w:t>
      </w:r>
    </w:p>
    <w:p>
      <w:pPr>
        <w:spacing w:after="0" w:line="9" w:lineRule="exact"/>
        <w:rPr>
          <w:rFonts w:ascii="Times New Roman" w:cs="Times New Roman" w:eastAsia="Times New Roman" w:hAnsi="Times New Roman"/>
          <w:sz w:val="18"/>
          <w:szCs w:val="18"/>
          <w:color w:val="auto"/>
        </w:rPr>
      </w:pPr>
    </w:p>
    <w:p>
      <w:pPr>
        <w:ind w:left="1080" w:right="2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(“PwC”) as our independent registered public accounting firm for the 2023 fiscal year; and</w:t>
      </w: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16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2023 Annual Meeting of Stockholders (the “Notice”).</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780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MEETING INFORMATION</w:t>
            </w:r>
          </w:p>
        </w:tc>
      </w:tr>
      <w:tr>
        <w:trPr>
          <w:trHeight w:val="459"/>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May 9, 2023</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9:30 a.m.</w:t>
            </w:r>
          </w:p>
        </w:tc>
      </w:tr>
      <w:tr>
        <w:trPr>
          <w:trHeight w:val="391"/>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 Address:</w:t>
            </w: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The meeting can be accessed by visiting meetnow.global/MD7Q9WF where you will be able to</w:t>
            </w:r>
          </w:p>
        </w:tc>
      </w:tr>
      <w:tr>
        <w:trPr>
          <w:trHeight w:val="20"/>
        </w:trPr>
        <w:tc>
          <w:tcPr>
            <w:tcW w:w="2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8"/>
        </w:trPr>
        <w:tc>
          <w:tcPr>
            <w:tcW w:w="2200" w:type="dxa"/>
            <w:vAlign w:val="bottom"/>
          </w:tcPr>
          <w:p>
            <w:pPr>
              <w:spacing w:after="0"/>
              <w:rPr>
                <w:sz w:val="18"/>
                <w:szCs w:val="18"/>
                <w:color w:val="auto"/>
              </w:rPr>
            </w:pP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listen to the meeting live, submit questions and vote online. There will be no physical location</w:t>
            </w:r>
          </w:p>
        </w:tc>
      </w:tr>
      <w:tr>
        <w:trPr>
          <w:trHeight w:val="234"/>
        </w:trPr>
        <w:tc>
          <w:tcPr>
            <w:tcW w:w="2200" w:type="dxa"/>
            <w:vAlign w:val="bottom"/>
          </w:tcPr>
          <w:p>
            <w:pPr>
              <w:spacing w:after="0"/>
              <w:rPr>
                <w:sz w:val="20"/>
                <w:szCs w:val="20"/>
                <w:color w:val="auto"/>
              </w:rPr>
            </w:pP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for stockholders to attend.</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78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Thursday, March 30, 2023</w:t>
            </w:r>
          </w:p>
        </w:tc>
      </w:tr>
    </w:tbl>
    <w:p>
      <w:pPr>
        <w:spacing w:after="0" w:line="200" w:lineRule="exact"/>
        <w:rPr>
          <w:sz w:val="20"/>
          <w:szCs w:val="20"/>
          <w:color w:val="auto"/>
        </w:rPr>
      </w:pPr>
    </w:p>
    <w:p>
      <w:pPr>
        <w:spacing w:after="0" w:line="237"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matters</w:t>
      </w:r>
      <w:r>
        <w:rPr>
          <w:rFonts w:ascii="Times New Roman" w:cs="Times New Roman" w:eastAsia="Times New Roman" w:hAnsi="Times New Roman"/>
          <w:sz w:val="18"/>
          <w:szCs w:val="18"/>
          <w:i w:val="1"/>
          <w:iCs w:val="1"/>
          <w:color w:val="auto"/>
        </w:rPr>
        <w:t>. Whether or not you plan to virtually attend the Annual Meeting, please ensure that your shares are represented by voting, signing,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dating, and returning your proxy in the enclosed envelope, which requires no postage if mailed in the United States.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ongoing support of and interest in Larimar Therapeutics,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180340</wp:posOffset>
            </wp:positionV>
            <wp:extent cx="1722755"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275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April 11, 2023</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AVAILABILITY OF PROXY MATERIALS. This Proxy Statement and the proxy card are being mailed to our stockholders on or about April 11, 2023.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2022 are available to beneficial holders of our common stock at </w:t>
      </w:r>
      <w:r>
        <w:rPr>
          <w:rFonts w:ascii="Times New Roman" w:cs="Times New Roman" w:eastAsia="Times New Roman" w:hAnsi="Times New Roman"/>
          <w:sz w:val="18"/>
          <w:szCs w:val="18"/>
          <w:b w:val="1"/>
          <w:bCs w:val="1"/>
          <w:u w:val="single" w:color="auto"/>
          <w:color w:val="2B7CF4"/>
        </w:rPr>
        <w:t>http://www.edocumentview.com/LRMR</w:t>
      </w:r>
      <w:r>
        <w:rPr>
          <w:rFonts w:ascii="Times New Roman" w:cs="Times New Roman" w:eastAsia="Times New Roman" w:hAnsi="Times New Roman"/>
          <w:sz w:val="18"/>
          <w:szCs w:val="18"/>
          <w:b w:val="1"/>
          <w:bCs w:val="1"/>
          <w:color w:val="auto"/>
        </w:rPr>
        <w:t xml:space="preserve"> and to record holders of our common stock at </w:t>
      </w:r>
      <w:r>
        <w:rPr>
          <w:rFonts w:ascii="Times New Roman" w:cs="Times New Roman" w:eastAsia="Times New Roman" w:hAnsi="Times New Roman"/>
          <w:sz w:val="18"/>
          <w:szCs w:val="18"/>
          <w:b w:val="1"/>
          <w:bCs w:val="1"/>
          <w:u w:val="single" w:color="auto"/>
          <w:color w:val="2B7CF4"/>
        </w:rPr>
        <w:t>http://www.envisionreports.com/LRMR</w:t>
      </w:r>
      <w:r>
        <w:rPr>
          <w:rFonts w:ascii="Times New Roman" w:cs="Times New Roman" w:eastAsia="Times New Roman" w:hAnsi="Times New Roman"/>
          <w:sz w:val="18"/>
          <w:szCs w:val="18"/>
          <w:b w:val="1"/>
          <w:bCs w:val="1"/>
          <w:color w:val="auto"/>
        </w:rPr>
        <w:t>.</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4DC1E4"/>
        </w:rPr>
        <w:t>To assist you in reviewing this year’s proposals, we call your attention to the following proxy summary. This summary highlights information contained elsewhere in this Proxy Statement and our Annual Report on Form 10-K for the fiscal year ended December 31, 2022 (the “2022 Annual Report”). This summary does not contain all of the information you should consider, and we encourage you to read this Proxy Statement and the 2022 Annual Report carefully before voting.</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Annual Meeting of Stockholders</w:t>
      </w:r>
    </w:p>
    <w:p>
      <w:pPr>
        <w:spacing w:after="0" w:line="227" w:lineRule="exact"/>
        <w:rPr>
          <w:sz w:val="20"/>
          <w:szCs w:val="20"/>
          <w:color w:val="auto"/>
        </w:rPr>
      </w:pPr>
    </w:p>
    <w:tbl>
      <w:tblPr>
        <w:tblLayout w:type="fixed"/>
        <w:tblInd w:w="130" w:type="dxa"/>
        <w:tblCellMar>
          <w:top w:w="0" w:type="dxa"/>
          <w:left w:w="0" w:type="dxa"/>
          <w:bottom w:w="0" w:type="dxa"/>
          <w:right w:w="0" w:type="dxa"/>
        </w:tblCellMar>
      </w:tblPr>
      <w:tr>
        <w:trPr>
          <w:trHeight w:val="360"/>
        </w:trPr>
        <w:tc>
          <w:tcPr>
            <w:tcW w:w="5500" w:type="dxa"/>
            <w:vAlign w:val="bottom"/>
            <w:tcBorders>
              <w:top w:val="single" w:sz="8" w:color="auto"/>
              <w:left w:val="single" w:sz="8" w:color="auto"/>
              <w:bottom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IME AND</w:t>
            </w:r>
            <w:r>
              <w:rPr>
                <w:rFonts w:ascii="Times New Roman" w:cs="Times New Roman" w:eastAsia="Times New Roman" w:hAnsi="Times New Roman"/>
                <w:sz w:val="14"/>
                <w:szCs w:val="14"/>
                <w:b w:val="1"/>
                <w:bCs w:val="1"/>
                <w:color w:val="FFFFFF"/>
              </w:rPr>
              <w:t xml:space="preserve"> D</w:t>
            </w:r>
            <w:r>
              <w:rPr>
                <w:rFonts w:ascii="Times New Roman" w:cs="Times New Roman" w:eastAsia="Times New Roman" w:hAnsi="Times New Roman"/>
                <w:sz w:val="11"/>
                <w:szCs w:val="11"/>
                <w:b w:val="1"/>
                <w:bCs w:val="1"/>
                <w:color w:val="FFFFFF"/>
              </w:rPr>
              <w:t>ATE</w:t>
            </w:r>
          </w:p>
        </w:tc>
        <w:tc>
          <w:tcPr>
            <w:tcW w:w="1480" w:type="dxa"/>
            <w:vAlign w:val="bottom"/>
            <w:tcBorders>
              <w:top w:val="single" w:sz="8" w:color="auto"/>
              <w:bottom w:val="single" w:sz="8" w:color="auto"/>
            </w:tcBorders>
            <w:shd w:val="clear" w:color="auto" w:fill="4DC1E4"/>
          </w:tcPr>
          <w:p>
            <w:pPr>
              <w:ind w:left="220"/>
              <w:spacing w:after="0"/>
              <w:rPr>
                <w:sz w:val="20"/>
                <w:szCs w:val="20"/>
                <w:color w:val="auto"/>
              </w:rPr>
            </w:pPr>
            <w:r>
              <w:rPr>
                <w:rFonts w:ascii="Times New Roman" w:cs="Times New Roman" w:eastAsia="Times New Roman" w:hAnsi="Times New Roman"/>
                <w:sz w:val="14"/>
                <w:szCs w:val="14"/>
                <w:b w:val="1"/>
                <w:bCs w:val="1"/>
                <w:color w:val="FFFFFF"/>
              </w:rPr>
              <w:t>R</w:t>
            </w:r>
            <w:r>
              <w:rPr>
                <w:rFonts w:ascii="Times New Roman" w:cs="Times New Roman" w:eastAsia="Times New Roman" w:hAnsi="Times New Roman"/>
                <w:sz w:val="11"/>
                <w:szCs w:val="11"/>
                <w:b w:val="1"/>
                <w:bCs w:val="1"/>
                <w:color w:val="FFFFFF"/>
              </w:rPr>
              <w:t>ECORD</w:t>
            </w:r>
            <w:r>
              <w:rPr>
                <w:rFonts w:ascii="Times New Roman" w:cs="Times New Roman" w:eastAsia="Times New Roman" w:hAnsi="Times New Roman"/>
                <w:sz w:val="14"/>
                <w:szCs w:val="14"/>
                <w:b w:val="1"/>
                <w:bCs w:val="1"/>
                <w:color w:val="FFFFFF"/>
              </w:rPr>
              <w:t xml:space="preserve"> D</w:t>
            </w:r>
            <w:r>
              <w:rPr>
                <w:rFonts w:ascii="Times New Roman" w:cs="Times New Roman" w:eastAsia="Times New Roman" w:hAnsi="Times New Roman"/>
                <w:sz w:val="11"/>
                <w:szCs w:val="11"/>
                <w:b w:val="1"/>
                <w:bCs w:val="1"/>
                <w:color w:val="FFFFFF"/>
              </w:rPr>
              <w:t>ATE</w:t>
            </w:r>
          </w:p>
        </w:tc>
        <w:tc>
          <w:tcPr>
            <w:tcW w:w="3600" w:type="dxa"/>
            <w:vAlign w:val="bottom"/>
            <w:tcBorders>
              <w:top w:val="single" w:sz="8" w:color="auto"/>
              <w:bottom w:val="single" w:sz="8" w:color="auto"/>
              <w:right w:val="single" w:sz="8" w:color="auto"/>
            </w:tcBorders>
            <w:gridSpan w:val="2"/>
            <w:shd w:val="clear" w:color="auto" w:fill="4DC1E4"/>
          </w:tcPr>
          <w:p>
            <w:pPr>
              <w:spacing w:after="0"/>
              <w:rPr>
                <w:sz w:val="20"/>
                <w:szCs w:val="20"/>
                <w:color w:val="auto"/>
              </w:rPr>
            </w:pPr>
            <w:r>
              <w:rPr>
                <w:rFonts w:ascii="Times New Roman" w:cs="Times New Roman" w:eastAsia="Times New Roman" w:hAnsi="Times New Roman"/>
                <w:sz w:val="14"/>
                <w:szCs w:val="14"/>
                <w:b w:val="1"/>
                <w:bCs w:val="1"/>
                <w:color w:val="FFFFFF"/>
              </w:rPr>
              <w:t>W</w:t>
            </w:r>
            <w:r>
              <w:rPr>
                <w:rFonts w:ascii="Times New Roman" w:cs="Times New Roman" w:eastAsia="Times New Roman" w:hAnsi="Times New Roman"/>
                <w:sz w:val="11"/>
                <w:szCs w:val="11"/>
                <w:b w:val="1"/>
                <w:bCs w:val="1"/>
                <w:color w:val="FFFFFF"/>
              </w:rPr>
              <w:t>EBSITE</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DDRESS</w:t>
            </w:r>
          </w:p>
        </w:tc>
      </w:tr>
      <w:tr>
        <w:trPr>
          <w:trHeight w:val="196"/>
        </w:trPr>
        <w:tc>
          <w:tcPr>
            <w:tcW w:w="5500" w:type="dxa"/>
            <w:vAlign w:val="bottom"/>
            <w:tcBorders>
              <w:left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9:30 a.m., Eastern Time, on Tuesday, May 9, 2023</w:t>
            </w:r>
          </w:p>
        </w:tc>
        <w:tc>
          <w:tcPr>
            <w:tcW w:w="1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March 30,</w:t>
            </w:r>
          </w:p>
        </w:tc>
        <w:tc>
          <w:tcPr>
            <w:tcW w:w="360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The meeting can be accessed by visiting</w:t>
            </w:r>
          </w:p>
        </w:tc>
      </w:tr>
      <w:tr>
        <w:trPr>
          <w:trHeight w:val="194"/>
        </w:trPr>
        <w:tc>
          <w:tcPr>
            <w:tcW w:w="5500" w:type="dxa"/>
            <w:vAlign w:val="bottom"/>
            <w:tcBorders>
              <w:left w:val="single" w:sz="8" w:color="auto"/>
            </w:tcBorders>
          </w:tcPr>
          <w:p>
            <w:pPr>
              <w:spacing w:after="0"/>
              <w:rPr>
                <w:sz w:val="16"/>
                <w:szCs w:val="16"/>
                <w:color w:val="auto"/>
              </w:rPr>
            </w:pPr>
          </w:p>
        </w:tc>
        <w:tc>
          <w:tcPr>
            <w:tcW w:w="14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360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meetnow.global/MD7Q9WF, where you will be</w:t>
            </w:r>
          </w:p>
        </w:tc>
      </w:tr>
      <w:tr>
        <w:trPr>
          <w:trHeight w:val="20"/>
        </w:trPr>
        <w:tc>
          <w:tcPr>
            <w:tcW w:w="5500" w:type="dxa"/>
            <w:vAlign w:val="bottom"/>
            <w:tcBorders>
              <w:lef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18"/>
        </w:trPr>
        <w:tc>
          <w:tcPr>
            <w:tcW w:w="550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able to listen to the meeting live, submit</w:t>
            </w:r>
          </w:p>
        </w:tc>
      </w:tr>
      <w:tr>
        <w:trPr>
          <w:trHeight w:val="216"/>
        </w:trPr>
        <w:tc>
          <w:tcPr>
            <w:tcW w:w="5500" w:type="dxa"/>
            <w:vAlign w:val="bottom"/>
            <w:tcBorders>
              <w:lef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questions and vote online. There will be no</w:t>
            </w:r>
          </w:p>
        </w:tc>
      </w:tr>
      <w:tr>
        <w:trPr>
          <w:trHeight w:val="234"/>
        </w:trPr>
        <w:tc>
          <w:tcPr>
            <w:tcW w:w="550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physical location for stockholders to attend.</w:t>
            </w:r>
          </w:p>
        </w:tc>
      </w:tr>
      <w:tr>
        <w:trPr>
          <w:trHeight w:val="68"/>
        </w:trPr>
        <w:tc>
          <w:tcPr>
            <w:tcW w:w="5500" w:type="dxa"/>
            <w:vAlign w:val="bottom"/>
            <w:tcBorders>
              <w:left w:val="single" w:sz="8" w:color="auto"/>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r>
    </w:tbl>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Stockholder Voting Matters</w:t>
      </w:r>
    </w:p>
    <w:p>
      <w:pPr>
        <w:spacing w:after="0" w:line="227" w:lineRule="exact"/>
        <w:rPr>
          <w:sz w:val="20"/>
          <w:szCs w:val="20"/>
          <w:color w:val="auto"/>
        </w:rPr>
      </w:pPr>
    </w:p>
    <w:tbl>
      <w:tblPr>
        <w:tblLayout w:type="fixed"/>
        <w:tblInd w:w="130" w:type="dxa"/>
        <w:tblCellMar>
          <w:top w:w="0" w:type="dxa"/>
          <w:left w:w="0" w:type="dxa"/>
          <w:bottom w:w="0" w:type="dxa"/>
          <w:right w:w="0" w:type="dxa"/>
        </w:tblCellMar>
      </w:tblPr>
      <w:tr>
        <w:trPr>
          <w:trHeight w:val="164"/>
        </w:trPr>
        <w:tc>
          <w:tcPr>
            <w:tcW w:w="7060" w:type="dxa"/>
            <w:vAlign w:val="bottom"/>
            <w:tcBorders>
              <w:top w:val="single" w:sz="8" w:color="auto"/>
              <w:left w:val="single" w:sz="8" w:color="auto"/>
            </w:tcBorders>
            <w:shd w:val="clear" w:color="auto" w:fill="4DC1E4"/>
          </w:tcPr>
          <w:p>
            <w:pPr>
              <w:spacing w:after="0"/>
              <w:rPr>
                <w:sz w:val="14"/>
                <w:szCs w:val="14"/>
                <w:color w:val="auto"/>
              </w:rPr>
            </w:pPr>
          </w:p>
        </w:tc>
        <w:tc>
          <w:tcPr>
            <w:tcW w:w="1340" w:type="dxa"/>
            <w:vAlign w:val="bottom"/>
            <w:tcBorders>
              <w:top w:val="single" w:sz="8" w:color="auto"/>
            </w:tcBorders>
            <w:vMerge w:val="restart"/>
            <w:shd w:val="clear" w:color="auto" w:fill="4DC1E4"/>
          </w:tcPr>
          <w:p>
            <w:pPr>
              <w:ind w:left="320"/>
              <w:spacing w:after="0"/>
              <w:rPr>
                <w:sz w:val="20"/>
                <w:szCs w:val="20"/>
                <w:color w:val="auto"/>
              </w:rPr>
            </w:pPr>
            <w:r>
              <w:rPr>
                <w:rFonts w:ascii="Times New Roman" w:cs="Times New Roman" w:eastAsia="Times New Roman" w:hAnsi="Times New Roman"/>
                <w:sz w:val="14"/>
                <w:szCs w:val="14"/>
                <w:b w:val="1"/>
                <w:bCs w:val="1"/>
                <w:color w:val="FFFFFF"/>
              </w:rPr>
              <w:t>F</w:t>
            </w:r>
            <w:r>
              <w:rPr>
                <w:rFonts w:ascii="Times New Roman" w:cs="Times New Roman" w:eastAsia="Times New Roman" w:hAnsi="Times New Roman"/>
                <w:sz w:val="11"/>
                <w:szCs w:val="11"/>
                <w:b w:val="1"/>
                <w:bCs w:val="1"/>
                <w:color w:val="FFFFFF"/>
              </w:rPr>
              <w:t>OR</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ORE</w:t>
            </w:r>
          </w:p>
        </w:tc>
        <w:tc>
          <w:tcPr>
            <w:tcW w:w="2180" w:type="dxa"/>
            <w:vAlign w:val="bottom"/>
            <w:tcBorders>
              <w:top w:val="single" w:sz="8" w:color="auto"/>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OARD OF</w:t>
            </w:r>
          </w:p>
        </w:tc>
        <w:tc>
          <w:tcPr>
            <w:tcW w:w="0" w:type="dxa"/>
            <w:vAlign w:val="bottom"/>
          </w:tcPr>
          <w:p>
            <w:pPr>
              <w:spacing w:after="0"/>
              <w:rPr>
                <w:sz w:val="1"/>
                <w:szCs w:val="1"/>
                <w:color w:val="auto"/>
              </w:rPr>
            </w:pPr>
          </w:p>
        </w:tc>
      </w:tr>
      <w:tr>
        <w:trPr>
          <w:trHeight w:val="148"/>
        </w:trPr>
        <w:tc>
          <w:tcPr>
            <w:tcW w:w="7060" w:type="dxa"/>
            <w:vAlign w:val="bottom"/>
            <w:tcBorders>
              <w:left w:val="single" w:sz="8" w:color="auto"/>
            </w:tcBorders>
            <w:vMerge w:val="restart"/>
            <w:shd w:val="clear" w:color="auto" w:fill="4DC1E4"/>
          </w:tcPr>
          <w:p>
            <w:pPr>
              <w:ind w:left="160"/>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ATTERS</w:t>
            </w:r>
          </w:p>
        </w:tc>
        <w:tc>
          <w:tcPr>
            <w:tcW w:w="1340" w:type="dxa"/>
            <w:vAlign w:val="bottom"/>
            <w:vMerge w:val="continue"/>
            <w:shd w:val="clear" w:color="auto" w:fill="4DC1E4"/>
          </w:tcPr>
          <w:p>
            <w:pPr>
              <w:spacing w:after="0"/>
              <w:rPr>
                <w:sz w:val="12"/>
                <w:szCs w:val="12"/>
                <w:color w:val="auto"/>
              </w:rPr>
            </w:pPr>
          </w:p>
        </w:tc>
        <w:tc>
          <w:tcPr>
            <w:tcW w:w="2180" w:type="dxa"/>
            <w:vAlign w:val="bottom"/>
            <w:tcBorders>
              <w:right w:val="single" w:sz="8" w:color="auto"/>
            </w:tcBorders>
            <w:shd w:val="clear" w:color="auto" w:fill="4DC1E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IRECTORS</w:t>
            </w:r>
          </w:p>
        </w:tc>
        <w:tc>
          <w:tcPr>
            <w:tcW w:w="0" w:type="dxa"/>
            <w:vAlign w:val="bottom"/>
          </w:tcPr>
          <w:p>
            <w:pPr>
              <w:spacing w:after="0"/>
              <w:rPr>
                <w:sz w:val="1"/>
                <w:szCs w:val="1"/>
                <w:color w:val="auto"/>
              </w:rPr>
            </w:pPr>
          </w:p>
        </w:tc>
      </w:tr>
      <w:tr>
        <w:trPr>
          <w:trHeight w:val="195"/>
        </w:trPr>
        <w:tc>
          <w:tcPr>
            <w:tcW w:w="7060" w:type="dxa"/>
            <w:vAlign w:val="bottom"/>
            <w:tcBorders>
              <w:left w:val="single" w:sz="8" w:color="auto"/>
              <w:bottom w:val="single" w:sz="8" w:color="auto"/>
            </w:tcBorders>
            <w:vMerge w:val="continue"/>
            <w:shd w:val="clear" w:color="auto" w:fill="4DC1E4"/>
          </w:tcPr>
          <w:p>
            <w:pPr>
              <w:spacing w:after="0"/>
              <w:rPr>
                <w:sz w:val="16"/>
                <w:szCs w:val="16"/>
                <w:color w:val="auto"/>
              </w:rPr>
            </w:pPr>
          </w:p>
        </w:tc>
        <w:tc>
          <w:tcPr>
            <w:tcW w:w="1340" w:type="dxa"/>
            <w:vAlign w:val="bottom"/>
            <w:tcBorders>
              <w:bottom w:val="single" w:sz="8" w:color="auto"/>
            </w:tcBorders>
            <w:shd w:val="clear" w:color="auto" w:fill="4DC1E4"/>
          </w:tcPr>
          <w:p>
            <w:pPr>
              <w:ind w:left="320"/>
              <w:spacing w:after="0"/>
              <w:rPr>
                <w:sz w:val="20"/>
                <w:szCs w:val="20"/>
                <w:color w:val="auto"/>
              </w:rPr>
            </w:pPr>
            <w:r>
              <w:rPr>
                <w:rFonts w:ascii="Times New Roman" w:cs="Times New Roman" w:eastAsia="Times New Roman" w:hAnsi="Times New Roman"/>
                <w:sz w:val="14"/>
                <w:szCs w:val="14"/>
                <w:b w:val="1"/>
                <w:bCs w:val="1"/>
                <w:color w:val="FFFFFF"/>
              </w:rPr>
              <w:t>I</w:t>
            </w:r>
            <w:r>
              <w:rPr>
                <w:rFonts w:ascii="Times New Roman" w:cs="Times New Roman" w:eastAsia="Times New Roman" w:hAnsi="Times New Roman"/>
                <w:sz w:val="11"/>
                <w:szCs w:val="11"/>
                <w:b w:val="1"/>
                <w:bCs w:val="1"/>
                <w:color w:val="FFFFFF"/>
              </w:rPr>
              <w:t>NFORMATION</w:t>
            </w:r>
          </w:p>
        </w:tc>
        <w:tc>
          <w:tcPr>
            <w:tcW w:w="2180" w:type="dxa"/>
            <w:vAlign w:val="bottom"/>
            <w:tcBorders>
              <w:bottom w:val="single" w:sz="8" w:color="auto"/>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4"/>
                <w:szCs w:val="14"/>
                <w:b w:val="1"/>
                <w:bCs w:val="1"/>
                <w:color w:val="FFFFFF"/>
              </w:rPr>
              <w:t>R</w:t>
            </w:r>
            <w:r>
              <w:rPr>
                <w:rFonts w:ascii="Times New Roman" w:cs="Times New Roman" w:eastAsia="Times New Roman" w:hAnsi="Times New Roman"/>
                <w:sz w:val="11"/>
                <w:szCs w:val="11"/>
                <w:b w:val="1"/>
                <w:bCs w:val="1"/>
                <w:color w:val="FFFFFF"/>
              </w:rPr>
              <w:t>ECOMMENDATION</w:t>
            </w:r>
          </w:p>
        </w:tc>
        <w:tc>
          <w:tcPr>
            <w:tcW w:w="0" w:type="dxa"/>
            <w:vAlign w:val="bottom"/>
          </w:tcPr>
          <w:p>
            <w:pPr>
              <w:spacing w:after="0"/>
              <w:rPr>
                <w:sz w:val="1"/>
                <w:szCs w:val="1"/>
                <w:color w:val="auto"/>
              </w:rPr>
            </w:pPr>
          </w:p>
        </w:tc>
      </w:tr>
      <w:tr>
        <w:trPr>
          <w:trHeight w:val="264"/>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 Directors for a Three-Year Term Expiring in 2026</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Page 33</w:t>
            </w:r>
          </w:p>
        </w:tc>
        <w:tc>
          <w:tcPr>
            <w:tcW w:w="218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Our Nominees</w:t>
            </w:r>
          </w:p>
        </w:tc>
        <w:tc>
          <w:tcPr>
            <w:tcW w:w="0" w:type="dxa"/>
            <w:vAlign w:val="bottom"/>
          </w:tcPr>
          <w:p>
            <w:pPr>
              <w:spacing w:after="0"/>
              <w:rPr>
                <w:sz w:val="1"/>
                <w:szCs w:val="1"/>
                <w:color w:val="auto"/>
              </w:rPr>
            </w:pPr>
          </w:p>
        </w:tc>
      </w:tr>
      <w:tr>
        <w:trPr>
          <w:trHeight w:val="234"/>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  Carole S. Ben-Maimon, M.D.  Joseph Truitt</w:t>
            </w:r>
          </w:p>
        </w:tc>
        <w:tc>
          <w:tcPr>
            <w:tcW w:w="134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060" w:type="dxa"/>
            <w:vAlign w:val="bottom"/>
            <w:tcBorders>
              <w:left w:val="single" w:sz="8" w:color="auto"/>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 the</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Page 34</w:t>
            </w:r>
          </w:p>
        </w:tc>
        <w:tc>
          <w:tcPr>
            <w:tcW w:w="218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0" w:type="dxa"/>
            <w:vAlign w:val="bottom"/>
          </w:tcPr>
          <w:p>
            <w:pPr>
              <w:spacing w:after="0"/>
              <w:rPr>
                <w:sz w:val="1"/>
                <w:szCs w:val="1"/>
                <w:color w:val="auto"/>
              </w:rPr>
            </w:pPr>
          </w:p>
        </w:tc>
      </w:tr>
      <w:tr>
        <w:trPr>
          <w:trHeight w:val="234"/>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Compensation of our Named Executive Officers in 2022</w:t>
            </w:r>
          </w:p>
        </w:tc>
        <w:tc>
          <w:tcPr>
            <w:tcW w:w="134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 Appointment of PricewaterhouseCoopers LLP as our</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Page 35</w:t>
            </w:r>
          </w:p>
        </w:tc>
        <w:tc>
          <w:tcPr>
            <w:tcW w:w="218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c>
          <w:tcPr>
            <w:tcW w:w="0" w:type="dxa"/>
            <w:vAlign w:val="bottom"/>
          </w:tcPr>
          <w:p>
            <w:pPr>
              <w:spacing w:after="0"/>
              <w:rPr>
                <w:sz w:val="1"/>
                <w:szCs w:val="1"/>
                <w:color w:val="auto"/>
              </w:rPr>
            </w:pPr>
          </w:p>
        </w:tc>
      </w:tr>
      <w:tr>
        <w:trPr>
          <w:trHeight w:val="234"/>
        </w:trPr>
        <w:tc>
          <w:tcPr>
            <w:tcW w:w="70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Independent Registered Public Accounting Firm for the 2023 Fiscal Year</w:t>
            </w:r>
          </w:p>
        </w:tc>
        <w:tc>
          <w:tcPr>
            <w:tcW w:w="1340" w:type="dxa"/>
            <w:vAlign w:val="bottom"/>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Director Nominees</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You are being asked to vote on the election of Frank Thomas, Carole S. Ben-Maimon, M.D. and Joseph Truitt as Class III directors, each to serve for a three-year term expiring at our 2026 Annual Meeting of Stockholders.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Peter Barrett, Ph.D. currently serves as a Class I director of our Board of Directors (the “Board”) with a term expiring at our 2024 Annual Meeting of Stockholders. Dr. Barrett has tendered his resignation and his service as a member of our Board will end effective as of the date of the Annual Meeting. After careful consideration, we have elected to reduce the size of our Board from six to five directors, effective as of the date of the Annual Meeting. Our Board is divided into three classes, each of which has a three-year term. Class I consists of two directors and will be reduced to one director following the Annual Meeting, Class II consists of one director and Class III consists of three directors.</w:t>
      </w:r>
    </w:p>
    <w:p>
      <w:pPr>
        <w:spacing w:after="0" w:line="143"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term of office of our Class III directors expires at the Annual Meeting. We are nominating Frank Thomas, Carole S. Ben-Maimon, M.D. and Joseph Truitt for re-election at the Annual Meeting to serve until the 2026 Annual Meeting of Stockholders and until their successors, if any, are duly elected and qualified or appointed, or until their earlier death, resignation or removal. Directors are elected by a plurality of the votes cast by our stockholders at the Annual Meeting. The three nominees receiving the most FOR votes (among votes properly cast online during the Annual Meeting or by proxy) will be elected. If no contrary indication is made, shares represented by executed proxies will be voted FOR the election of Mr. Thomas, Dr. Ben-Maimon and Mr. Truitt. Each nominee has agreed to serve as a director if elected, and we have no reason to believe that any nominee will be unable to serve.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979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pacing w:after="0" w:line="19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4"/>
          <w:szCs w:val="14"/>
          <w:b w:val="1"/>
          <w:bCs w:val="1"/>
          <w:color w:val="FFFFFF"/>
        </w:rPr>
        <w:t>OMMITTEE</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4"/>
          <w:szCs w:val="14"/>
          <w:b w:val="1"/>
          <w:bCs w:val="1"/>
          <w:color w:val="FFFFFF"/>
        </w:rPr>
        <w:t>EMBERSHIP</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shd w:val="clear" w:color="auto" w:fill="4DC1E4"/>
          </w:tcPr>
          <w:p>
            <w:pPr>
              <w:spacing w:after="0"/>
              <w:rPr>
                <w:sz w:val="17"/>
                <w:szCs w:val="17"/>
                <w:color w:val="auto"/>
              </w:rPr>
            </w:pPr>
          </w:p>
        </w:tc>
        <w:tc>
          <w:tcPr>
            <w:tcW w:w="11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4"/>
                <w:szCs w:val="14"/>
                <w:b w:val="1"/>
                <w:bCs w:val="1"/>
                <w:color w:val="FFFFFF"/>
              </w:rPr>
              <w:t>IRECTOR</w:t>
            </w:r>
          </w:p>
        </w:tc>
        <w:tc>
          <w:tcPr>
            <w:tcW w:w="2100" w:type="dxa"/>
            <w:vAlign w:val="bottom"/>
            <w:shd w:val="clear" w:color="auto" w:fill="4DC1E4"/>
          </w:tcPr>
          <w:p>
            <w:pPr>
              <w:spacing w:after="0"/>
              <w:rPr>
                <w:sz w:val="17"/>
                <w:szCs w:val="17"/>
                <w:color w:val="auto"/>
              </w:rPr>
            </w:pPr>
          </w:p>
        </w:tc>
        <w:tc>
          <w:tcPr>
            <w:tcW w:w="1560" w:type="dxa"/>
            <w:vAlign w:val="bottom"/>
            <w:shd w:val="clear" w:color="auto" w:fill="4DC1E4"/>
          </w:tcPr>
          <w:p>
            <w:pPr>
              <w:spacing w:after="0"/>
              <w:rPr>
                <w:sz w:val="17"/>
                <w:szCs w:val="17"/>
                <w:color w:val="auto"/>
              </w:rPr>
            </w:pPr>
          </w:p>
        </w:tc>
        <w:tc>
          <w:tcPr>
            <w:tcW w:w="1140" w:type="dxa"/>
            <w:vAlign w:val="bottom"/>
            <w:shd w:val="clear" w:color="auto" w:fill="4DC1E4"/>
          </w:tcPr>
          <w:p>
            <w:pPr>
              <w:spacing w:after="0"/>
              <w:rPr>
                <w:sz w:val="17"/>
                <w:szCs w:val="17"/>
                <w:color w:val="auto"/>
              </w:rPr>
            </w:pPr>
          </w:p>
        </w:tc>
        <w:tc>
          <w:tcPr>
            <w:tcW w:w="640" w:type="dxa"/>
            <w:vAlign w:val="bottom"/>
            <w:shd w:val="clear" w:color="auto" w:fill="4DC1E4"/>
          </w:tcPr>
          <w:p>
            <w:pPr>
              <w:spacing w:after="0"/>
              <w:rPr>
                <w:sz w:val="17"/>
                <w:szCs w:val="17"/>
                <w:color w:val="auto"/>
              </w:rPr>
            </w:pPr>
          </w:p>
        </w:tc>
        <w:tc>
          <w:tcPr>
            <w:tcW w:w="1000" w:type="dxa"/>
            <w:vAlign w:val="bottom"/>
            <w:shd w:val="clear" w:color="auto" w:fill="4DC1E4"/>
          </w:tcPr>
          <w:p>
            <w:pPr>
              <w:spacing w:after="0"/>
              <w:rPr>
                <w:sz w:val="17"/>
                <w:szCs w:val="17"/>
                <w:color w:val="auto"/>
              </w:rPr>
            </w:pPr>
          </w:p>
        </w:tc>
      </w:tr>
      <w:tr>
        <w:trPr>
          <w:trHeight w:val="238"/>
        </w:trPr>
        <w:tc>
          <w:tcPr>
            <w:tcW w:w="24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4"/>
                <w:szCs w:val="14"/>
                <w:b w:val="1"/>
                <w:bCs w:val="1"/>
                <w:color w:val="FFFFFF"/>
              </w:rPr>
              <w:t>AME</w:t>
            </w:r>
          </w:p>
        </w:tc>
        <w:tc>
          <w:tcPr>
            <w:tcW w:w="160" w:type="dxa"/>
            <w:vAlign w:val="bottom"/>
          </w:tcPr>
          <w:p>
            <w:pPr>
              <w:spacing w:after="0"/>
              <w:rPr>
                <w:sz w:val="20"/>
                <w:szCs w:val="20"/>
                <w:color w:val="auto"/>
              </w:rPr>
            </w:pPr>
          </w:p>
        </w:tc>
        <w:tc>
          <w:tcPr>
            <w:tcW w:w="720" w:type="dxa"/>
            <w:vAlign w:val="bottom"/>
            <w:shd w:val="clear" w:color="auto" w:fill="4DC1E4"/>
          </w:tcPr>
          <w:p>
            <w:pPr>
              <w:jc w:val="center"/>
              <w:ind w:left="56"/>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4"/>
                <w:szCs w:val="14"/>
                <w:b w:val="1"/>
                <w:bCs w:val="1"/>
                <w:color w:val="FFFFFF"/>
              </w:rPr>
              <w:t>GE</w:t>
            </w:r>
          </w:p>
        </w:tc>
        <w:tc>
          <w:tcPr>
            <w:tcW w:w="11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4"/>
                <w:szCs w:val="14"/>
                <w:b w:val="1"/>
                <w:bCs w:val="1"/>
                <w:color w:val="FFFFFF"/>
              </w:rPr>
              <w:t>INCE</w:t>
            </w:r>
          </w:p>
        </w:tc>
        <w:tc>
          <w:tcPr>
            <w:tcW w:w="2100" w:type="dxa"/>
            <w:vAlign w:val="bottom"/>
            <w:shd w:val="clear" w:color="auto" w:fill="4DC1E4"/>
          </w:tcPr>
          <w:p>
            <w:pPr>
              <w:ind w:left="500"/>
              <w:spacing w:after="0"/>
              <w:rPr>
                <w:sz w:val="20"/>
                <w:szCs w:val="20"/>
                <w:color w:val="auto"/>
              </w:rPr>
            </w:pPr>
            <w:r>
              <w:rPr>
                <w:rFonts w:ascii="Times New Roman" w:cs="Times New Roman" w:eastAsia="Times New Roman" w:hAnsi="Times New Roman"/>
                <w:sz w:val="18"/>
                <w:szCs w:val="18"/>
                <w:b w:val="1"/>
                <w:bCs w:val="1"/>
                <w:color w:val="FFFFFF"/>
              </w:rPr>
              <w:t>O</w:t>
            </w:r>
            <w:r>
              <w:rPr>
                <w:rFonts w:ascii="Times New Roman" w:cs="Times New Roman" w:eastAsia="Times New Roman" w:hAnsi="Times New Roman"/>
                <w:sz w:val="14"/>
                <w:szCs w:val="14"/>
                <w:b w:val="1"/>
                <w:bCs w:val="1"/>
                <w:color w:val="FFFFFF"/>
              </w:rPr>
              <w:t>CCUPATION</w:t>
            </w:r>
          </w:p>
        </w:tc>
        <w:tc>
          <w:tcPr>
            <w:tcW w:w="156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4"/>
                <w:szCs w:val="14"/>
                <w:b w:val="1"/>
                <w:bCs w:val="1"/>
                <w:color w:val="FFFFFF"/>
              </w:rPr>
              <w:t>NDEPENDENT</w:t>
            </w:r>
          </w:p>
        </w:tc>
        <w:tc>
          <w:tcPr>
            <w:tcW w:w="1140" w:type="dxa"/>
            <w:vAlign w:val="bottom"/>
            <w:shd w:val="clear" w:color="auto" w:fill="4DC1E4"/>
          </w:tcPr>
          <w:p>
            <w:pPr>
              <w:jc w:val="center"/>
              <w:ind w:right="277"/>
              <w:spacing w:after="0"/>
              <w:rPr>
                <w:sz w:val="20"/>
                <w:szCs w:val="20"/>
                <w:color w:val="auto"/>
              </w:rPr>
            </w:pPr>
            <w:r>
              <w:rPr>
                <w:rFonts w:ascii="Times New Roman" w:cs="Times New Roman" w:eastAsia="Times New Roman" w:hAnsi="Times New Roman"/>
                <w:sz w:val="18"/>
                <w:szCs w:val="18"/>
                <w:b w:val="1"/>
                <w:bCs w:val="1"/>
                <w:color w:val="FFFFFF"/>
                <w:w w:val="99"/>
              </w:rPr>
              <w:t>AC</w:t>
            </w:r>
          </w:p>
        </w:tc>
        <w:tc>
          <w:tcPr>
            <w:tcW w:w="640" w:type="dxa"/>
            <w:vAlign w:val="bottom"/>
            <w:shd w:val="clear" w:color="auto" w:fill="4DC1E4"/>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CC</w:t>
            </w:r>
          </w:p>
        </w:tc>
        <w:tc>
          <w:tcPr>
            <w:tcW w:w="1000" w:type="dxa"/>
            <w:vAlign w:val="bottom"/>
            <w:shd w:val="clear" w:color="auto" w:fill="4DC1E4"/>
          </w:tcPr>
          <w:p>
            <w:pPr>
              <w:ind w:left="280"/>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81"/>
        </w:trPr>
        <w:tc>
          <w:tcPr>
            <w:tcW w:w="2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shd w:val="clear" w:color="auto" w:fill="4DC1E4"/>
          </w:tcPr>
          <w:p>
            <w:pPr>
              <w:spacing w:after="0"/>
              <w:rPr>
                <w:sz w:val="7"/>
                <w:szCs w:val="7"/>
                <w:color w:val="auto"/>
              </w:rPr>
            </w:pPr>
          </w:p>
        </w:tc>
        <w:tc>
          <w:tcPr>
            <w:tcW w:w="1120" w:type="dxa"/>
            <w:vAlign w:val="bottom"/>
            <w:tcBorders>
              <w:bottom w:val="single" w:sz="8" w:color="auto"/>
            </w:tcBorders>
            <w:shd w:val="clear" w:color="auto" w:fill="4DC1E4"/>
          </w:tcPr>
          <w:p>
            <w:pPr>
              <w:spacing w:after="0"/>
              <w:rPr>
                <w:sz w:val="7"/>
                <w:szCs w:val="7"/>
                <w:color w:val="auto"/>
              </w:rPr>
            </w:pPr>
          </w:p>
        </w:tc>
        <w:tc>
          <w:tcPr>
            <w:tcW w:w="2100" w:type="dxa"/>
            <w:vAlign w:val="bottom"/>
            <w:tcBorders>
              <w:bottom w:val="single" w:sz="8" w:color="auto"/>
            </w:tcBorders>
            <w:shd w:val="clear" w:color="auto" w:fill="4DC1E4"/>
          </w:tcPr>
          <w:p>
            <w:pPr>
              <w:spacing w:after="0"/>
              <w:rPr>
                <w:sz w:val="7"/>
                <w:szCs w:val="7"/>
                <w:color w:val="auto"/>
              </w:rPr>
            </w:pPr>
          </w:p>
        </w:tc>
        <w:tc>
          <w:tcPr>
            <w:tcW w:w="1560" w:type="dxa"/>
            <w:vAlign w:val="bottom"/>
            <w:tcBorders>
              <w:bottom w:val="single" w:sz="8" w:color="auto"/>
            </w:tcBorders>
            <w:shd w:val="clear" w:color="auto" w:fill="4DC1E4"/>
          </w:tcPr>
          <w:p>
            <w:pPr>
              <w:spacing w:after="0"/>
              <w:rPr>
                <w:sz w:val="7"/>
                <w:szCs w:val="7"/>
                <w:color w:val="auto"/>
              </w:rPr>
            </w:pPr>
          </w:p>
        </w:tc>
        <w:tc>
          <w:tcPr>
            <w:tcW w:w="1140" w:type="dxa"/>
            <w:vAlign w:val="bottom"/>
            <w:tcBorders>
              <w:bottom w:val="single" w:sz="8" w:color="auto"/>
            </w:tcBorders>
            <w:shd w:val="clear" w:color="auto" w:fill="4DC1E4"/>
          </w:tcPr>
          <w:p>
            <w:pPr>
              <w:spacing w:after="0"/>
              <w:rPr>
                <w:sz w:val="7"/>
                <w:szCs w:val="7"/>
                <w:color w:val="auto"/>
              </w:rPr>
            </w:pPr>
          </w:p>
        </w:tc>
        <w:tc>
          <w:tcPr>
            <w:tcW w:w="640" w:type="dxa"/>
            <w:vAlign w:val="bottom"/>
            <w:tcBorders>
              <w:bottom w:val="single" w:sz="8" w:color="auto"/>
            </w:tcBorders>
            <w:shd w:val="clear" w:color="auto" w:fill="4DC1E4"/>
          </w:tcPr>
          <w:p>
            <w:pPr>
              <w:spacing w:after="0"/>
              <w:rPr>
                <w:sz w:val="7"/>
                <w:szCs w:val="7"/>
                <w:color w:val="auto"/>
              </w:rPr>
            </w:pPr>
          </w:p>
        </w:tc>
        <w:tc>
          <w:tcPr>
            <w:tcW w:w="1000" w:type="dxa"/>
            <w:vAlign w:val="bottom"/>
            <w:tcBorders>
              <w:bottom w:val="single" w:sz="8" w:color="auto"/>
            </w:tcBorders>
            <w:shd w:val="clear" w:color="auto" w:fill="4DC1E4"/>
          </w:tcPr>
          <w:p>
            <w:pPr>
              <w:spacing w:after="0"/>
              <w:rPr>
                <w:sz w:val="7"/>
                <w:szCs w:val="7"/>
                <w:color w:val="auto"/>
              </w:rPr>
            </w:pPr>
          </w:p>
        </w:tc>
      </w:tr>
      <w:tr>
        <w:trPr>
          <w:trHeight w:val="191"/>
        </w:trPr>
        <w:tc>
          <w:tcPr>
            <w:tcW w:w="24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Frank Thomas</w:t>
            </w:r>
          </w:p>
        </w:tc>
        <w:tc>
          <w:tcPr>
            <w:tcW w:w="160" w:type="dxa"/>
            <w:vAlign w:val="bottom"/>
          </w:tcPr>
          <w:p>
            <w:pPr>
              <w:spacing w:after="0"/>
              <w:rPr>
                <w:sz w:val="16"/>
                <w:szCs w:val="16"/>
                <w:color w:val="auto"/>
              </w:rPr>
            </w:pPr>
          </w:p>
        </w:tc>
        <w:tc>
          <w:tcPr>
            <w:tcW w:w="720" w:type="dxa"/>
            <w:vAlign w:val="bottom"/>
          </w:tcPr>
          <w:p>
            <w:pPr>
              <w:jc w:val="center"/>
              <w:ind w:left="56"/>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ind w:right="257"/>
              <w:spacing w:after="0" w:line="191" w:lineRule="exact"/>
              <w:rPr>
                <w:sz w:val="20"/>
                <w:szCs w:val="20"/>
                <w:color w:val="auto"/>
              </w:rPr>
            </w:pPr>
            <w:r>
              <w:rPr>
                <w:rFonts w:ascii="Times New Roman" w:cs="Times New Roman" w:eastAsia="Times New Roman" w:hAnsi="Times New Roman"/>
                <w:sz w:val="18"/>
                <w:szCs w:val="18"/>
                <w:color w:val="auto"/>
                <w:w w:val="99"/>
              </w:rPr>
              <w:t>C</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 of</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Orchard Therapeutics plc</w:t>
            </w:r>
          </w:p>
        </w:tc>
        <w:tc>
          <w:tcPr>
            <w:tcW w:w="1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24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c>
          <w:tcPr>
            <w:tcW w:w="880" w:type="dxa"/>
            <w:vAlign w:val="bottom"/>
            <w:gridSpan w:val="2"/>
          </w:tcPr>
          <w:p>
            <w:pPr>
              <w:jc w:val="center"/>
              <w:ind w:left="216"/>
              <w:spacing w:after="0" w:line="191" w:lineRule="exact"/>
              <w:rPr>
                <w:sz w:val="20"/>
                <w:szCs w:val="20"/>
                <w:color w:val="auto"/>
              </w:rPr>
            </w:pPr>
            <w:r>
              <w:rPr>
                <w:rFonts w:ascii="Times New Roman" w:cs="Times New Roman" w:eastAsia="Times New Roman" w:hAnsi="Times New Roman"/>
                <w:sz w:val="18"/>
                <w:szCs w:val="18"/>
                <w:color w:val="auto"/>
                <w:w w:val="99"/>
              </w:rPr>
              <w:t>64</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of</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Larimar Therapeutics, Inc.</w:t>
            </w:r>
          </w:p>
        </w:tc>
        <w:tc>
          <w:tcPr>
            <w:tcW w:w="1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1"/>
        </w:trPr>
        <w:tc>
          <w:tcPr>
            <w:tcW w:w="24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Joseph Truitt</w:t>
            </w:r>
          </w:p>
        </w:tc>
        <w:tc>
          <w:tcPr>
            <w:tcW w:w="880" w:type="dxa"/>
            <w:vAlign w:val="bottom"/>
            <w:gridSpan w:val="2"/>
          </w:tcPr>
          <w:p>
            <w:pPr>
              <w:jc w:val="center"/>
              <w:ind w:left="216"/>
              <w:spacing w:after="0" w:line="191" w:lineRule="exact"/>
              <w:rPr>
                <w:sz w:val="20"/>
                <w:szCs w:val="20"/>
                <w:color w:val="auto"/>
              </w:rPr>
            </w:pPr>
            <w:r>
              <w:rPr>
                <w:rFonts w:ascii="Times New Roman" w:cs="Times New Roman" w:eastAsia="Times New Roman" w:hAnsi="Times New Roman"/>
                <w:sz w:val="18"/>
                <w:szCs w:val="18"/>
                <w:color w:val="auto"/>
                <w:w w:val="99"/>
              </w:rPr>
              <w:t>58</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of</w:t>
            </w: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ind w:right="257"/>
              <w:spacing w:after="0" w:line="191" w:lineRule="exact"/>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tcPr>
          <w:p>
            <w:pPr>
              <w:spacing w:after="0"/>
              <w:rPr>
                <w:sz w:val="16"/>
                <w:szCs w:val="16"/>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iECURE, Inc.</w:t>
            </w:r>
          </w:p>
        </w:tc>
        <w:tc>
          <w:tcPr>
            <w:tcW w:w="1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0"/>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color w:val="auto"/>
              </w:rPr>
              <w:t>AC = Audit Committee</w:t>
            </w:r>
          </w:p>
        </w:tc>
        <w:tc>
          <w:tcPr>
            <w:tcW w:w="2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jc w:val="center"/>
              <w:ind w:left="97"/>
              <w:spacing w:after="0" w:line="160" w:lineRule="exact"/>
              <w:rPr>
                <w:sz w:val="20"/>
                <w:szCs w:val="20"/>
                <w:color w:val="auto"/>
              </w:rPr>
            </w:pPr>
            <w:r>
              <w:rPr>
                <w:rFonts w:ascii="Times New Roman" w:cs="Times New Roman" w:eastAsia="Times New Roman" w:hAnsi="Times New Roman"/>
                <w:sz w:val="14"/>
                <w:szCs w:val="14"/>
                <w:color w:val="auto"/>
              </w:rPr>
              <w:t>M = Member</w:t>
            </w: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8"/>
        </w:trPr>
        <w:tc>
          <w:tcPr>
            <w:tcW w:w="2460" w:type="dxa"/>
            <w:vAlign w:val="bottom"/>
          </w:tcPr>
          <w:p>
            <w:pPr>
              <w:spacing w:after="0"/>
              <w:rPr>
                <w:sz w:val="12"/>
                <w:szCs w:val="12"/>
                <w:color w:val="auto"/>
              </w:rPr>
            </w:pPr>
          </w:p>
        </w:tc>
        <w:tc>
          <w:tcPr>
            <w:tcW w:w="2000" w:type="dxa"/>
            <w:vAlign w:val="bottom"/>
            <w:gridSpan w:val="3"/>
          </w:tcPr>
          <w:p>
            <w:pPr>
              <w:jc w:val="center"/>
              <w:ind w:left="76"/>
              <w:spacing w:after="0" w:line="149" w:lineRule="exact"/>
              <w:rPr>
                <w:sz w:val="20"/>
                <w:szCs w:val="20"/>
                <w:color w:val="auto"/>
              </w:rPr>
            </w:pPr>
            <w:r>
              <w:rPr>
                <w:rFonts w:ascii="Times New Roman" w:cs="Times New Roman" w:eastAsia="Times New Roman" w:hAnsi="Times New Roman"/>
                <w:sz w:val="14"/>
                <w:szCs w:val="14"/>
                <w:color w:val="auto"/>
              </w:rPr>
              <w:t>CC = Compensation Committee</w:t>
            </w:r>
          </w:p>
        </w:tc>
        <w:tc>
          <w:tcPr>
            <w:tcW w:w="2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Pr>
          <w:p>
            <w:pPr>
              <w:jc w:val="center"/>
              <w:ind w:left="97"/>
              <w:spacing w:after="0" w:line="149" w:lineRule="exact"/>
              <w:rPr>
                <w:sz w:val="20"/>
                <w:szCs w:val="20"/>
                <w:color w:val="auto"/>
              </w:rPr>
            </w:pPr>
            <w:r>
              <w:rPr>
                <w:rFonts w:ascii="Times New Roman" w:cs="Times New Roman" w:eastAsia="Times New Roman" w:hAnsi="Times New Roman"/>
                <w:sz w:val="14"/>
                <w:szCs w:val="14"/>
                <w:color w:val="auto"/>
              </w:rPr>
              <w:t>C = Chair</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8"/>
        </w:trPr>
        <w:tc>
          <w:tcPr>
            <w:tcW w:w="6560" w:type="dxa"/>
            <w:vAlign w:val="bottom"/>
            <w:gridSpan w:val="5"/>
          </w:tcPr>
          <w:p>
            <w:pPr>
              <w:jc w:val="center"/>
              <w:ind w:left="434"/>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p>
      <w:pPr>
        <w:spacing w:after="0" w:line="223" w:lineRule="exact"/>
        <w:rPr>
          <w:sz w:val="20"/>
          <w:szCs w:val="20"/>
          <w:color w:val="auto"/>
        </w:rPr>
      </w:pPr>
    </w:p>
    <w:tbl>
      <w:tblPr>
        <w:tblLayout w:type="fixed"/>
        <w:tblInd w:w="410" w:type="dxa"/>
        <w:tblCellMar>
          <w:top w:w="0" w:type="dxa"/>
          <w:left w:w="0" w:type="dxa"/>
          <w:bottom w:w="0" w:type="dxa"/>
          <w:right w:w="0" w:type="dxa"/>
        </w:tblCellMar>
      </w:tblPr>
      <w:tr>
        <w:trPr>
          <w:trHeight w:val="270"/>
        </w:trPr>
        <w:tc>
          <w:tcPr>
            <w:tcW w:w="7500" w:type="dxa"/>
            <w:vAlign w:val="bottom"/>
            <w:tcBorders>
              <w:top w:val="single" w:sz="8" w:color="auto"/>
              <w:left w:val="single" w:sz="8" w:color="auto"/>
              <w:right w:val="single" w:sz="8" w:color="4DC1E4"/>
            </w:tcBorders>
            <w:shd w:val="clear" w:color="auto" w:fill="4DC1E4"/>
          </w:tcPr>
          <w:p>
            <w:pPr>
              <w:ind w:left="4460"/>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4"/>
                <w:szCs w:val="14"/>
                <w:b w:val="1"/>
                <w:bCs w:val="1"/>
                <w:color w:val="FFFFFF"/>
              </w:rPr>
              <w:t>OVERNANCE</w:t>
            </w:r>
            <w:r>
              <w:rPr>
                <w:rFonts w:ascii="Times New Roman" w:cs="Times New Roman" w:eastAsia="Times New Roman" w:hAnsi="Times New Roman"/>
                <w:sz w:val="18"/>
                <w:szCs w:val="18"/>
                <w:b w:val="1"/>
                <w:bCs w:val="1"/>
                <w:color w:val="FFFFFF"/>
              </w:rPr>
              <w:t xml:space="preserve"> I</w:t>
            </w:r>
            <w:r>
              <w:rPr>
                <w:rFonts w:ascii="Times New Roman" w:cs="Times New Roman" w:eastAsia="Times New Roman" w:hAnsi="Times New Roman"/>
                <w:sz w:val="14"/>
                <w:szCs w:val="14"/>
                <w:b w:val="1"/>
                <w:bCs w:val="1"/>
                <w:color w:val="FFFFFF"/>
              </w:rPr>
              <w:t>TEMS</w:t>
            </w:r>
          </w:p>
        </w:tc>
        <w:tc>
          <w:tcPr>
            <w:tcW w:w="2980" w:type="dxa"/>
            <w:vAlign w:val="bottom"/>
            <w:tcBorders>
              <w:top w:val="single" w:sz="8" w:color="auto"/>
              <w:right w:val="single" w:sz="8" w:color="auto"/>
            </w:tcBorders>
            <w:shd w:val="clear" w:color="auto" w:fill="4DC1E4"/>
          </w:tcPr>
          <w:p>
            <w:pPr>
              <w:spacing w:after="0"/>
              <w:rPr>
                <w:sz w:val="23"/>
                <w:szCs w:val="23"/>
                <w:color w:val="auto"/>
              </w:rPr>
            </w:pPr>
          </w:p>
        </w:tc>
      </w:tr>
      <w:tr>
        <w:trPr>
          <w:trHeight w:val="81"/>
        </w:trPr>
        <w:tc>
          <w:tcPr>
            <w:tcW w:w="7500" w:type="dxa"/>
            <w:vAlign w:val="bottom"/>
            <w:tcBorders>
              <w:left w:val="single" w:sz="8" w:color="auto"/>
              <w:bottom w:val="single" w:sz="8" w:color="auto"/>
              <w:right w:val="single" w:sz="8" w:color="4DC1E4"/>
            </w:tcBorders>
            <w:shd w:val="clear" w:color="auto" w:fill="4DC1E4"/>
          </w:tcPr>
          <w:p>
            <w:pPr>
              <w:spacing w:after="0"/>
              <w:rPr>
                <w:sz w:val="7"/>
                <w:szCs w:val="7"/>
                <w:color w:val="auto"/>
              </w:rPr>
            </w:pPr>
          </w:p>
        </w:tc>
        <w:tc>
          <w:tcPr>
            <w:tcW w:w="2980" w:type="dxa"/>
            <w:vAlign w:val="bottom"/>
            <w:tcBorders>
              <w:bottom w:val="single" w:sz="8" w:color="auto"/>
              <w:right w:val="single" w:sz="8" w:color="auto"/>
            </w:tcBorders>
            <w:shd w:val="clear" w:color="auto" w:fill="4DC1E4"/>
          </w:tcPr>
          <w:p>
            <w:pPr>
              <w:spacing w:after="0"/>
              <w:rPr>
                <w:sz w:val="7"/>
                <w:szCs w:val="7"/>
                <w:color w:val="auto"/>
              </w:rPr>
            </w:pP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6 (5 after Annual Meeting)</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5 (4 after Annual Meeting)</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Chairperson of the Board</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Board Self-Evaluation</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Annual</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Annual</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Voting Standard for Election of Directors in Uncontested Elections</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Plurality</w:t>
            </w:r>
          </w:p>
        </w:tc>
      </w:tr>
      <w:tr>
        <w:trPr>
          <w:trHeight w:val="223"/>
        </w:trPr>
        <w:tc>
          <w:tcPr>
            <w:tcW w:w="7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Diversity of Board background, experience and skills</w:t>
            </w:r>
          </w:p>
        </w:tc>
        <w:tc>
          <w:tcPr>
            <w:tcW w:w="298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135" w:lineRule="exact"/>
        <w:rPr>
          <w:sz w:val="20"/>
          <w:szCs w:val="20"/>
          <w:color w:val="auto"/>
        </w:rPr>
      </w:pPr>
    </w:p>
    <w:p>
      <w:pPr>
        <w:ind w:left="1080" w:right="4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U.S. Food and Drug Administration (“FDA”) lifted its previously imposed full clinical hold on the CTI-1601 program and imposed a partial hold under which dose escalation in the Phase 2 trial will be subject to FDA review.</w:t>
      </w:r>
    </w:p>
    <w:p>
      <w:pPr>
        <w:ind w:left="1080" w:right="160" w:hanging="424"/>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we closed an underwritten offering of 25,558,750 shares of our common stock, which included the exercise in full by the underwriters of their option to purchase additional shares of our common stock.</w:t>
      </w:r>
    </w:p>
    <w:p>
      <w:pPr>
        <w:ind w:left="1080" w:right="340" w:hanging="424"/>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we received a patent, titled “Materials and Methods for Treating Friedreich’s Ataxia,” which provides composition of matter protection for CTI-1601 into at least July 2040.</w:t>
      </w:r>
    </w:p>
    <w:p>
      <w:pPr>
        <w:ind w:left="1080" w:right="48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we appointed Gopi Shankar, Ph.D., MBA, FAAPS to the newly created position of Chief Development Officer. Dr. Shankar is responsible for the strategic development of our clinical and research and development programs, including additional applications of our platform technology.</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ii</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SUMMARY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331"/>
        </w:trPr>
        <w:tc>
          <w:tcPr>
            <w:tcW w:w="2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8180" w:type="dxa"/>
            <w:vAlign w:val="bottom"/>
            <w:gridSpan w:val="3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r>
      <w:tr>
        <w:trPr>
          <w:trHeight w:val="20"/>
        </w:trPr>
        <w:tc>
          <w:tcPr>
            <w:tcW w:w="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40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GENERAL INFORMATION ABOUT THE MEETING</w:t>
            </w:r>
          </w:p>
        </w:tc>
        <w:tc>
          <w:tcPr>
            <w:tcW w:w="634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BOARD OF DIRECTORS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STRUCTURE AND COMPOSITION</w:t>
            </w:r>
          </w:p>
        </w:tc>
        <w:tc>
          <w:tcPr>
            <w:tcW w:w="632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CRITERIA FOR BOARD MEMBERSHIP</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DIVERSITY</w:t>
            </w:r>
          </w:p>
        </w:tc>
        <w:tc>
          <w:tcPr>
            <w:tcW w:w="1480" w:type="dxa"/>
            <w:vAlign w:val="bottom"/>
            <w:tcBorders>
              <w:top w:val="single" w:sz="8" w:color="0000EE"/>
            </w:tcBorders>
            <w:gridSpan w:val="18"/>
          </w:tcPr>
          <w:p>
            <w:pPr>
              <w:spacing w:after="0"/>
              <w:rPr>
                <w:sz w:val="17"/>
                <w:szCs w:val="17"/>
                <w:color w:val="auto"/>
              </w:rPr>
            </w:pPr>
          </w:p>
        </w:tc>
        <w:tc>
          <w:tcPr>
            <w:tcW w:w="664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20" w:type="dxa"/>
            <w:vAlign w:val="bottom"/>
          </w:tcPr>
          <w:p>
            <w:pPr>
              <w:spacing w:after="0"/>
              <w:rPr>
                <w:sz w:val="17"/>
                <w:szCs w:val="17"/>
                <w:color w:val="auto"/>
              </w:rPr>
            </w:pPr>
          </w:p>
        </w:tc>
        <w:tc>
          <w:tcPr>
            <w:tcW w:w="93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OVERSIGHT OF COMPANY CULTURE AND ENVIRONMENTAL, SOCIAL AND GOVERNANCE HIGHLIGHTS</w:t>
            </w:r>
          </w:p>
        </w:tc>
        <w:tc>
          <w:tcPr>
            <w:tcW w:w="38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20" w:type="dxa"/>
            <w:vAlign w:val="bottom"/>
          </w:tcPr>
          <w:p>
            <w:pPr>
              <w:spacing w:after="0"/>
              <w:rPr>
                <w:sz w:val="17"/>
                <w:szCs w:val="17"/>
                <w:color w:val="auto"/>
              </w:rPr>
            </w:pPr>
          </w:p>
        </w:tc>
        <w:tc>
          <w:tcPr>
            <w:tcW w:w="1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NOMINEES</w:t>
            </w:r>
          </w:p>
        </w:tc>
        <w:tc>
          <w:tcPr>
            <w:tcW w:w="7880" w:type="dxa"/>
            <w:vAlign w:val="bottom"/>
            <w:gridSpan w:val="3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62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CONTINUING DIRECTORS</w:t>
            </w:r>
          </w:p>
        </w:tc>
        <w:tc>
          <w:tcPr>
            <w:tcW w:w="7580" w:type="dxa"/>
            <w:vAlign w:val="bottom"/>
            <w:gridSpan w:val="2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31"/>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CORPORATE GOVERNANCE AND RISK 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62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INDEPENDENCE</w:t>
            </w:r>
          </w:p>
        </w:tc>
        <w:tc>
          <w:tcPr>
            <w:tcW w:w="1880" w:type="dxa"/>
            <w:vAlign w:val="bottom"/>
            <w:tcBorders>
              <w:top w:val="single" w:sz="8" w:color="0000EE"/>
            </w:tcBorders>
            <w:gridSpan w:val="16"/>
          </w:tcPr>
          <w:p>
            <w:pPr>
              <w:spacing w:after="0"/>
              <w:rPr>
                <w:sz w:val="17"/>
                <w:szCs w:val="17"/>
                <w:color w:val="auto"/>
              </w:rPr>
            </w:pPr>
          </w:p>
        </w:tc>
        <w:tc>
          <w:tcPr>
            <w:tcW w:w="58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62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LEADERSHIP STRUCTURE</w:t>
            </w:r>
          </w:p>
        </w:tc>
        <w:tc>
          <w:tcPr>
            <w:tcW w:w="6880" w:type="dxa"/>
            <w:vAlign w:val="bottom"/>
            <w:gridSpan w:val="2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62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COMMITTEES</w:t>
            </w:r>
          </w:p>
        </w:tc>
        <w:tc>
          <w:tcPr>
            <w:tcW w:w="7900" w:type="dxa"/>
            <w:vAlign w:val="bottom"/>
            <w:gridSpan w:val="3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RISK MANAGEMENT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EVALUATING BOARD EFFECTIVENESS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620" w:type="dxa"/>
            <w:vAlign w:val="bottom"/>
          </w:tcPr>
          <w:p>
            <w:pPr>
              <w:spacing w:after="0"/>
              <w:rPr>
                <w:sz w:val="17"/>
                <w:szCs w:val="17"/>
                <w:color w:val="auto"/>
              </w:rPr>
            </w:pPr>
          </w:p>
        </w:tc>
        <w:tc>
          <w:tcPr>
            <w:tcW w:w="32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CODE OF CONDUCT</w:t>
            </w:r>
          </w:p>
        </w:tc>
        <w:tc>
          <w:tcPr>
            <w:tcW w:w="652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ORIENTATION AND CONTINUING EDUCATION</w:t>
            </w:r>
          </w:p>
        </w:tc>
        <w:tc>
          <w:tcPr>
            <w:tcW w:w="494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620" w:type="dxa"/>
            <w:vAlign w:val="bottom"/>
          </w:tcPr>
          <w:p>
            <w:pPr>
              <w:spacing w:after="0"/>
              <w:rPr>
                <w:sz w:val="17"/>
                <w:szCs w:val="17"/>
                <w:color w:val="auto"/>
              </w:rPr>
            </w:pPr>
          </w:p>
        </w:tc>
        <w:tc>
          <w:tcPr>
            <w:tcW w:w="34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GUIDELINES</w:t>
            </w:r>
          </w:p>
        </w:tc>
        <w:tc>
          <w:tcPr>
            <w:tcW w:w="630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BOARD ATTENDANCE, COMMITTEE MEETINGS AND COMMITTEE MEMBERSHIP</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6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6"/>
              </w:rPr>
              <w:t>FAMILY RELATIONSHIPS</w:t>
            </w:r>
          </w:p>
        </w:tc>
        <w:tc>
          <w:tcPr>
            <w:tcW w:w="4660" w:type="dxa"/>
            <w:vAlign w:val="bottom"/>
            <w:tcBorders>
              <w:top w:val="single" w:sz="8" w:color="0000EE"/>
            </w:tcBorders>
            <w:gridSpan w:val="25"/>
          </w:tcPr>
          <w:p>
            <w:pPr>
              <w:spacing w:after="0"/>
              <w:rPr>
                <w:sz w:val="17"/>
                <w:szCs w:val="17"/>
                <w:color w:val="auto"/>
              </w:rPr>
            </w:pPr>
          </w:p>
        </w:tc>
        <w:tc>
          <w:tcPr>
            <w:tcW w:w="302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62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ENGAGEMENT</w:t>
            </w:r>
          </w:p>
        </w:tc>
        <w:tc>
          <w:tcPr>
            <w:tcW w:w="3580" w:type="dxa"/>
            <w:vAlign w:val="bottom"/>
            <w:tcBorders>
              <w:top w:val="single" w:sz="8" w:color="0000EE"/>
            </w:tcBorders>
            <w:gridSpan w:val="20"/>
          </w:tcPr>
          <w:p>
            <w:pPr>
              <w:spacing w:after="0"/>
              <w:rPr>
                <w:sz w:val="17"/>
                <w:szCs w:val="17"/>
                <w:color w:val="auto"/>
              </w:rPr>
            </w:pPr>
          </w:p>
        </w:tc>
        <w:tc>
          <w:tcPr>
            <w:tcW w:w="356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331"/>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 POLICY</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620" w:type="dxa"/>
            <w:vAlign w:val="bottom"/>
          </w:tcPr>
          <w:p>
            <w:pPr>
              <w:spacing w:after="0"/>
              <w:rPr>
                <w:sz w:val="17"/>
                <w:szCs w:val="17"/>
                <w:color w:val="auto"/>
              </w:rPr>
            </w:pPr>
          </w:p>
        </w:tc>
        <w:tc>
          <w:tcPr>
            <w:tcW w:w="44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 TABLE</w:t>
            </w:r>
          </w:p>
        </w:tc>
        <w:tc>
          <w:tcPr>
            <w:tcW w:w="528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48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58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 FEES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PRE-APPROVAL POLICIES AND PROCEDURES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2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7980" w:type="dxa"/>
            <w:vAlign w:val="bottom"/>
            <w:gridSpan w:val="3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31"/>
        </w:trPr>
        <w:tc>
          <w:tcPr>
            <w:tcW w:w="1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8440" w:type="dxa"/>
            <w:vAlign w:val="bottom"/>
            <w:gridSpan w:val="3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31"/>
        </w:trPr>
        <w:tc>
          <w:tcPr>
            <w:tcW w:w="2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940" w:type="dxa"/>
            <w:vAlign w:val="bottom"/>
            <w:gridSpan w:val="3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96"/>
        </w:trPr>
        <w:tc>
          <w:tcPr>
            <w:tcW w:w="620" w:type="dxa"/>
            <w:vAlign w:val="bottom"/>
          </w:tcPr>
          <w:p>
            <w:pPr>
              <w:spacing w:after="0"/>
              <w:rPr>
                <w:sz w:val="17"/>
                <w:szCs w:val="17"/>
                <w:color w:val="auto"/>
              </w:rPr>
            </w:pPr>
          </w:p>
        </w:tc>
        <w:tc>
          <w:tcPr>
            <w:tcW w:w="33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2022 SUMMARY COMPENSATION TABLE</w:t>
            </w:r>
          </w:p>
        </w:tc>
        <w:tc>
          <w:tcPr>
            <w:tcW w:w="638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620" w:type="dxa"/>
            <w:vAlign w:val="bottom"/>
          </w:tcPr>
          <w:p>
            <w:pPr>
              <w:spacing w:after="0"/>
              <w:rPr>
                <w:sz w:val="17"/>
                <w:szCs w:val="17"/>
                <w:color w:val="auto"/>
              </w:rPr>
            </w:pPr>
          </w:p>
        </w:tc>
        <w:tc>
          <w:tcPr>
            <w:tcW w:w="30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PLEDGING AND HEDGING POLICIES</w:t>
            </w:r>
          </w:p>
        </w:tc>
        <w:tc>
          <w:tcPr>
            <w:tcW w:w="672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2022 YEAR-END</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620" w:type="dxa"/>
            <w:vAlign w:val="bottom"/>
          </w:tcPr>
          <w:p>
            <w:pPr>
              <w:spacing w:after="0"/>
              <w:rPr>
                <w:sz w:val="17"/>
                <w:szCs w:val="17"/>
                <w:color w:val="auto"/>
              </w:rPr>
            </w:pPr>
          </w:p>
        </w:tc>
        <w:tc>
          <w:tcPr>
            <w:tcW w:w="508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AGREEMENTS</w:t>
            </w:r>
          </w:p>
        </w:tc>
        <w:tc>
          <w:tcPr>
            <w:tcW w:w="468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620" w:type="dxa"/>
            <w:vAlign w:val="bottom"/>
          </w:tcPr>
          <w:p>
            <w:pPr>
              <w:spacing w:after="0"/>
              <w:rPr>
                <w:sz w:val="17"/>
                <w:szCs w:val="17"/>
                <w:color w:val="auto"/>
              </w:rPr>
            </w:pPr>
          </w:p>
        </w:tc>
        <w:tc>
          <w:tcPr>
            <w:tcW w:w="25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PAY VERSUS PERFORMANCE</w:t>
            </w:r>
          </w:p>
        </w:tc>
        <w:tc>
          <w:tcPr>
            <w:tcW w:w="7260" w:type="dxa"/>
            <w:vAlign w:val="bottom"/>
            <w:gridSpan w:val="2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620" w:type="dxa"/>
            <w:vAlign w:val="bottom"/>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980" w:type="dxa"/>
            <w:vAlign w:val="bottom"/>
            <w:gridSpan w:val="1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1"/>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AGREEMENTS</w:t>
            </w:r>
          </w:p>
        </w:tc>
        <w:tc>
          <w:tcPr>
            <w:tcW w:w="1980" w:type="dxa"/>
            <w:vAlign w:val="bottom"/>
            <w:tcBorders>
              <w:top w:val="single" w:sz="8" w:color="0000EE"/>
            </w:tcBorders>
            <w:gridSpan w:val="14"/>
          </w:tcPr>
          <w:p>
            <w:pPr>
              <w:spacing w:after="0"/>
              <w:rPr>
                <w:sz w:val="17"/>
                <w:szCs w:val="17"/>
                <w:color w:val="auto"/>
              </w:rPr>
            </w:pPr>
          </w:p>
        </w:tc>
        <w:tc>
          <w:tcPr>
            <w:tcW w:w="492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2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TRANSACTIONS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20" w:type="dxa"/>
            <w:vAlign w:val="bottom"/>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3820" w:type="dxa"/>
            <w:vAlign w:val="bottom"/>
            <w:gridSpan w:val="25"/>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POLICIES AND PROCEDURES FOR RELATED PERSON TRANSACTIONS</w:t>
            </w:r>
          </w:p>
        </w:tc>
        <w:tc>
          <w:tcPr>
            <w:tcW w:w="392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bl>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iii</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TABLE OF CONTENTS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3700" w:type="dxa"/>
            <w:vAlign w:val="bottom"/>
            <w:gridSpan w:val="7"/>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31"/>
        </w:trPr>
        <w:tc>
          <w:tcPr>
            <w:tcW w:w="76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1"/>
        </w:trPr>
        <w:tc>
          <w:tcPr>
            <w:tcW w:w="20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ITEMS TO BE VOTED ON</w:t>
            </w:r>
          </w:p>
        </w:tc>
        <w:tc>
          <w:tcPr>
            <w:tcW w:w="4660" w:type="dxa"/>
            <w:vAlign w:val="bottom"/>
            <w:tcBorders>
              <w:top w:val="single" w:sz="8" w:color="0000EE"/>
            </w:tcBorders>
            <w:gridSpan w:val="8"/>
          </w:tcPr>
          <w:p>
            <w:pPr>
              <w:spacing w:after="0"/>
              <w:rPr>
                <w:sz w:val="24"/>
                <w:szCs w:val="24"/>
                <w:color w:val="auto"/>
              </w:rPr>
            </w:pPr>
          </w:p>
        </w:tc>
        <w:tc>
          <w:tcPr>
            <w:tcW w:w="880" w:type="dxa"/>
            <w:vAlign w:val="bottom"/>
            <w:gridSpan w:val="5"/>
          </w:tcPr>
          <w:p>
            <w:pPr>
              <w:spacing w:after="0"/>
              <w:rPr>
                <w:sz w:val="24"/>
                <w:szCs w:val="2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620" w:type="dxa"/>
            <w:vAlign w:val="bottom"/>
          </w:tcPr>
          <w:p>
            <w:pPr>
              <w:spacing w:after="0"/>
              <w:rPr>
                <w:sz w:val="17"/>
                <w:szCs w:val="17"/>
                <w:color w:val="auto"/>
              </w:rPr>
            </w:pPr>
          </w:p>
        </w:tc>
        <w:tc>
          <w:tcPr>
            <w:tcW w:w="6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CLASS III DIRECTORS FOR A THREE-YEAR TERM</w:t>
            </w:r>
          </w:p>
        </w:tc>
        <w:tc>
          <w:tcPr>
            <w:tcW w:w="500" w:type="dxa"/>
            <w:vAlign w:val="bottom"/>
            <w:gridSpan w:val="4"/>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EXPIRING IN 2026</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PROPOSAL 2: APPROVAL, ON AN ADVISORY BASIS, OF THE COMPENSATION OF</w:t>
            </w:r>
          </w:p>
        </w:tc>
        <w:tc>
          <w:tcPr>
            <w:tcW w:w="336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9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OUR NAMED EXECUTIVE OFFICERS IN 2022</w:t>
            </w:r>
          </w:p>
        </w:tc>
        <w:tc>
          <w:tcPr>
            <w:tcW w:w="300" w:type="dxa"/>
            <w:vAlign w:val="bottom"/>
            <w:gridSpan w:val="2"/>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PROPOSAL 3: RATIFICATION OF APPOINTMENT OF PRICEWATERHOUSECOOPERS</w:t>
            </w:r>
          </w:p>
        </w:tc>
        <w:tc>
          <w:tcPr>
            <w:tcW w:w="336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LLP AS OUR INDEPENDENT REGISTERED PUBLIC ACCOUNTING FIRM FOR</w:t>
            </w:r>
          </w:p>
        </w:tc>
        <w:tc>
          <w:tcPr>
            <w:tcW w:w="336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THE 2023 FISCAL YEAR</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31"/>
        </w:trPr>
        <w:tc>
          <w:tcPr>
            <w:tcW w:w="76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6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MATTERS</w:t>
            </w:r>
          </w:p>
        </w:tc>
        <w:tc>
          <w:tcPr>
            <w:tcW w:w="5500" w:type="dxa"/>
            <w:vAlign w:val="bottom"/>
            <w:gridSpan w:val="12"/>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620" w:type="dxa"/>
            <w:vAlign w:val="bottom"/>
          </w:tcPr>
          <w:p>
            <w:pPr>
              <w:spacing w:after="0"/>
              <w:rPr>
                <w:sz w:val="17"/>
                <w:szCs w:val="17"/>
                <w:color w:val="auto"/>
              </w:rPr>
            </w:pPr>
          </w:p>
        </w:tc>
        <w:tc>
          <w:tcPr>
            <w:tcW w:w="6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REQUIREMENTS FOR SUBMISSION OF STOCKHOLDER PROPOSALS FOR NEXT</w:t>
            </w:r>
          </w:p>
        </w:tc>
        <w:tc>
          <w:tcPr>
            <w:tcW w:w="336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YEAR’S ANNUAL MEETING</w:t>
            </w:r>
          </w:p>
        </w:tc>
        <w:tc>
          <w:tcPr>
            <w:tcW w:w="3500" w:type="dxa"/>
            <w:vAlign w:val="bottom"/>
            <w:tcBorders>
              <w:top w:val="single" w:sz="8" w:color="0000EE"/>
            </w:tcBorders>
            <w:gridSpan w:val="5"/>
          </w:tcPr>
          <w:p>
            <w:pPr>
              <w:spacing w:after="0"/>
              <w:rPr>
                <w:sz w:val="17"/>
                <w:szCs w:val="17"/>
                <w:color w:val="auto"/>
              </w:rPr>
            </w:pPr>
          </w:p>
        </w:tc>
        <w:tc>
          <w:tcPr>
            <w:tcW w:w="440" w:type="dxa"/>
            <w:vAlign w:val="bottom"/>
            <w:gridSpan w:val="3"/>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620" w:type="dxa"/>
            <w:vAlign w:val="bottom"/>
          </w:tcPr>
          <w:p>
            <w:pPr>
              <w:spacing w:after="0"/>
              <w:rPr>
                <w:sz w:val="17"/>
                <w:szCs w:val="17"/>
                <w:color w:val="auto"/>
              </w:rPr>
            </w:pPr>
          </w:p>
        </w:tc>
        <w:tc>
          <w:tcPr>
            <w:tcW w:w="6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STOCKHOLDER COMMUNICATIONS TO THE BOARD</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620" w:type="dxa"/>
            <w:vAlign w:val="bottom"/>
          </w:tcPr>
          <w:p>
            <w:pPr>
              <w:spacing w:after="0"/>
              <w:rPr>
                <w:sz w:val="17"/>
                <w:szCs w:val="17"/>
                <w:color w:val="auto"/>
              </w:rPr>
            </w:pPr>
          </w:p>
        </w:tc>
        <w:tc>
          <w:tcPr>
            <w:tcW w:w="43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HOUSEHOLDING</w:t>
            </w:r>
          </w:p>
        </w:tc>
        <w:tc>
          <w:tcPr>
            <w:tcW w:w="2600" w:type="dxa"/>
            <w:vAlign w:val="bottom"/>
            <w:gridSpan w:val="6"/>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6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AVAILABILITY OF MATERIALS</w:t>
            </w:r>
          </w:p>
        </w:tc>
        <w:tc>
          <w:tcPr>
            <w:tcW w:w="3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6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iv</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Tuesday, May 9, 2023, at 9:30 a.m., Eastern Time via the Internet at </w:t>
      </w:r>
      <w:r>
        <w:rPr>
          <w:rFonts w:ascii="Times New Roman" w:cs="Times New Roman" w:eastAsia="Times New Roman" w:hAnsi="Times New Roman"/>
          <w:sz w:val="18"/>
          <w:szCs w:val="18"/>
          <w:u w:val="single" w:color="auto"/>
          <w:color w:val="auto"/>
        </w:rPr>
        <w:t>meetnow.global/MD7Q9WF</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v</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0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To participate in the virtual meeting, visit </w:t>
      </w:r>
      <w:r>
        <w:rPr>
          <w:rFonts w:ascii="Times New Roman" w:cs="Times New Roman" w:eastAsia="Times New Roman" w:hAnsi="Times New Roman"/>
          <w:sz w:val="18"/>
          <w:szCs w:val="18"/>
          <w:u w:val="single" w:color="auto"/>
          <w:color w:val="auto"/>
        </w:rPr>
        <w:t>meetnow.global/MD7Q9WF</w:t>
      </w:r>
      <w:r>
        <w:rPr>
          <w:rFonts w:ascii="Times New Roman" w:cs="Times New Roman" w:eastAsia="Times New Roman" w:hAnsi="Times New Roman"/>
          <w:sz w:val="18"/>
          <w:szCs w:val="18"/>
          <w:color w:val="auto"/>
        </w:rPr>
        <w:t>. You will need to enter the 16-digit control number included on your Notice or on your proxy card. The meeting will begin promptly at 9:30 a.m., Eastern Time on Tuesday, May 9, 2023. We encourage you to access the meeting prior to the start time leaving ample time for the check in.</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4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Proxy Statement contains information on these matters to assist you in voting your shares.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and the proxy card are first being mailed to our stockholders on or about April 11, 2023.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2022 Annual Report are available to beneficial holders of our common stock at </w:t>
      </w:r>
      <w:r>
        <w:rPr>
          <w:rFonts w:ascii="Times New Roman" w:cs="Times New Roman" w:eastAsia="Times New Roman" w:hAnsi="Times New Roman"/>
          <w:sz w:val="18"/>
          <w:szCs w:val="18"/>
          <w:u w:val="single" w:color="auto"/>
          <w:color w:val="2175FF"/>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175FF"/>
        </w:rPr>
        <w:t>http://www.envisionreports.com/LRMR</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All stockholders of record of our common stock at the close of business on March 30, 2023 (the “Record Date”) are entitled to receive the Notice and to vote their shares at the Annual Meeting. As of the Record Date, 43,269,200 shares of our common stock were outstanding. Each share is entitled to one vote on each matter properly brought to the meeting.</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4DC1E4"/>
        </w:rPr>
        <w:t xml:space="preserve">Notice of Annual Meeting of Stockholders </w:t>
      </w:r>
      <w:r>
        <w:rPr>
          <w:rFonts w:ascii="Times New Roman" w:cs="Times New Roman" w:eastAsia="Times New Roman" w:hAnsi="Times New Roman"/>
          <w:sz w:val="17"/>
          <w:szCs w:val="17"/>
          <w:b w:val="1"/>
          <w:bCs w:val="1"/>
          <w:color w:val="000000"/>
        </w:rPr>
        <w:t>and 2023 Proxy Statement | 1</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117475</wp:posOffset>
            </wp:positionV>
            <wp:extent cx="402590"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2590" cy="38608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134620</wp:posOffset>
            </wp:positionV>
            <wp:extent cx="497205"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205" cy="36893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160655</wp:posOffset>
            </wp:positionV>
            <wp:extent cx="40259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2590" cy="3429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168910</wp:posOffset>
            </wp:positionV>
            <wp:extent cx="514350" cy="334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186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auto"/>
              </w:rPr>
              <w:t>MAIL</w:t>
            </w:r>
          </w:p>
        </w:tc>
        <w:tc>
          <w:tcPr>
            <w:tcW w:w="320" w:type="dxa"/>
            <w:vAlign w:val="bottom"/>
          </w:tcPr>
          <w:p>
            <w:pPr>
              <w:spacing w:after="0"/>
              <w:rPr>
                <w:sz w:val="24"/>
                <w:szCs w:val="24"/>
                <w:color w:val="auto"/>
              </w:rPr>
            </w:pPr>
          </w:p>
        </w:tc>
        <w:tc>
          <w:tcPr>
            <w:tcW w:w="540" w:type="dxa"/>
            <w:vAlign w:val="bottom"/>
            <w:tcBorders>
              <w:bottom w:val="single" w:sz="8" w:color="4DC1E4"/>
            </w:tcBorders>
            <w:shd w:val="clear" w:color="auto" w:fill="4DC1E4"/>
          </w:tcPr>
          <w:p>
            <w:pPr>
              <w:spacing w:after="0"/>
              <w:rPr>
                <w:sz w:val="24"/>
                <w:szCs w:val="24"/>
                <w:color w:val="auto"/>
              </w:rPr>
            </w:pPr>
          </w:p>
        </w:tc>
        <w:tc>
          <w:tcPr>
            <w:tcW w:w="2440" w:type="dxa"/>
            <w:vAlign w:val="bottom"/>
            <w:tcBorders>
              <w:bottom w:val="single" w:sz="8" w:color="4DC1E4"/>
            </w:tcBorders>
            <w:gridSpan w:val="2"/>
            <w:shd w:val="clear" w:color="auto" w:fill="4DC1E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INTERNET</w:t>
            </w:r>
          </w:p>
        </w:tc>
        <w:tc>
          <w:tcPr>
            <w:tcW w:w="320" w:type="dxa"/>
            <w:vAlign w:val="bottom"/>
          </w:tcPr>
          <w:p>
            <w:pPr>
              <w:spacing w:after="0"/>
              <w:rPr>
                <w:sz w:val="24"/>
                <w:szCs w:val="24"/>
                <w:color w:val="auto"/>
              </w:rPr>
            </w:pPr>
          </w:p>
        </w:tc>
        <w:tc>
          <w:tcPr>
            <w:tcW w:w="2260" w:type="dxa"/>
            <w:vAlign w:val="bottom"/>
            <w:tcBorders>
              <w:bottom w:val="single" w:sz="8" w:color="4DC1E4"/>
            </w:tcBorders>
            <w:shd w:val="clear" w:color="auto" w:fill="4DC1E4"/>
          </w:tcPr>
          <w:p>
            <w:pPr>
              <w:jc w:val="center"/>
              <w:ind w:left="51"/>
              <w:spacing w:after="0"/>
              <w:rPr>
                <w:sz w:val="20"/>
                <w:szCs w:val="20"/>
                <w:color w:val="auto"/>
              </w:rPr>
            </w:pPr>
            <w:r>
              <w:rPr>
                <w:rFonts w:ascii="Times New Roman" w:cs="Times New Roman" w:eastAsia="Times New Roman" w:hAnsi="Times New Roman"/>
                <w:sz w:val="16"/>
                <w:szCs w:val="16"/>
                <w:b w:val="1"/>
                <w:bCs w:val="1"/>
                <w:color w:val="auto"/>
              </w:rPr>
              <w:t>PHONE</w:t>
            </w:r>
          </w:p>
        </w:tc>
        <w:tc>
          <w:tcPr>
            <w:tcW w:w="320" w:type="dxa"/>
            <w:vAlign w:val="bottom"/>
          </w:tcPr>
          <w:p>
            <w:pPr>
              <w:spacing w:after="0"/>
              <w:rPr>
                <w:sz w:val="24"/>
                <w:szCs w:val="24"/>
                <w:color w:val="auto"/>
              </w:rPr>
            </w:pPr>
          </w:p>
        </w:tc>
        <w:tc>
          <w:tcPr>
            <w:tcW w:w="2960" w:type="dxa"/>
            <w:vAlign w:val="bottom"/>
            <w:tcBorders>
              <w:bottom w:val="single" w:sz="8" w:color="4DC1E4"/>
            </w:tcBorders>
            <w:gridSpan w:val="3"/>
            <w:shd w:val="clear" w:color="auto" w:fill="4DC1E4"/>
          </w:tcPr>
          <w:p>
            <w:pPr>
              <w:jc w:val="center"/>
              <w:ind w:left="4"/>
              <w:spacing w:after="0"/>
              <w:rPr>
                <w:sz w:val="20"/>
                <w:szCs w:val="20"/>
                <w:color w:val="auto"/>
              </w:rPr>
            </w:pPr>
            <w:r>
              <w:rPr>
                <w:rFonts w:ascii="Times New Roman" w:cs="Times New Roman" w:eastAsia="Times New Roman" w:hAnsi="Times New Roman"/>
                <w:sz w:val="16"/>
                <w:szCs w:val="16"/>
                <w:b w:val="1"/>
                <w:bCs w:val="1"/>
                <w:color w:val="auto"/>
                <w:w w:val="99"/>
              </w:rPr>
              <w:t>ONLINE AT THE MEETING</w:t>
            </w:r>
          </w:p>
        </w:tc>
        <w:tc>
          <w:tcPr>
            <w:tcW w:w="0" w:type="dxa"/>
            <w:vAlign w:val="bottom"/>
          </w:tcPr>
          <w:p>
            <w:pPr>
              <w:spacing w:after="0"/>
              <w:rPr>
                <w:sz w:val="1"/>
                <w:szCs w:val="1"/>
                <w:color w:val="auto"/>
              </w:rPr>
            </w:pPr>
          </w:p>
        </w:tc>
      </w:tr>
      <w:tr>
        <w:trPr>
          <w:trHeight w:val="126"/>
        </w:trPr>
        <w:tc>
          <w:tcPr>
            <w:tcW w:w="1860" w:type="dxa"/>
            <w:vAlign w:val="bottom"/>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Mailing your signed</w:t>
            </w:r>
          </w:p>
        </w:tc>
        <w:tc>
          <w:tcPr>
            <w:tcW w:w="320" w:type="dxa"/>
            <w:vAlign w:val="bottom"/>
          </w:tcPr>
          <w:p>
            <w:pPr>
              <w:spacing w:after="0"/>
              <w:rPr>
                <w:sz w:val="10"/>
                <w:szCs w:val="10"/>
                <w:color w:val="auto"/>
              </w:rPr>
            </w:pPr>
          </w:p>
        </w:tc>
        <w:tc>
          <w:tcPr>
            <w:tcW w:w="540" w:type="dxa"/>
            <w:vAlign w:val="bottom"/>
            <w:shd w:val="clear" w:color="auto" w:fill="F2F2F2"/>
          </w:tcPr>
          <w:p>
            <w:pPr>
              <w:spacing w:after="0"/>
              <w:rPr>
                <w:sz w:val="10"/>
                <w:szCs w:val="10"/>
                <w:color w:val="auto"/>
              </w:rPr>
            </w:pPr>
          </w:p>
        </w:tc>
        <w:tc>
          <w:tcPr>
            <w:tcW w:w="2440" w:type="dxa"/>
            <w:vAlign w:val="bottom"/>
            <w:gridSpan w:val="2"/>
            <w:shd w:val="clear" w:color="auto" w:fill="F2F2F2"/>
          </w:tcPr>
          <w:p>
            <w:pPr>
              <w:jc w:val="center"/>
              <w:ind w:right="420"/>
              <w:spacing w:after="0" w:line="126" w:lineRule="exact"/>
              <w:rPr>
                <w:sz w:val="20"/>
                <w:szCs w:val="20"/>
                <w:color w:val="auto"/>
              </w:rPr>
            </w:pPr>
            <w:r>
              <w:rPr>
                <w:rFonts w:ascii="Times New Roman" w:cs="Times New Roman" w:eastAsia="Times New Roman" w:hAnsi="Times New Roman"/>
                <w:sz w:val="14"/>
                <w:szCs w:val="14"/>
                <w:color w:val="auto"/>
              </w:rPr>
              <w:t>Using the Internet at</w:t>
            </w:r>
          </w:p>
        </w:tc>
        <w:tc>
          <w:tcPr>
            <w:tcW w:w="320" w:type="dxa"/>
            <w:vAlign w:val="bottom"/>
          </w:tcPr>
          <w:p>
            <w:pPr>
              <w:spacing w:after="0"/>
              <w:rPr>
                <w:sz w:val="10"/>
                <w:szCs w:val="10"/>
                <w:color w:val="auto"/>
              </w:rPr>
            </w:pPr>
          </w:p>
        </w:tc>
        <w:tc>
          <w:tcPr>
            <w:tcW w:w="2260" w:type="dxa"/>
            <w:vAlign w:val="bottom"/>
            <w:shd w:val="clear" w:color="auto" w:fill="F2F2F2"/>
          </w:tcPr>
          <w:p>
            <w:pPr>
              <w:jc w:val="center"/>
              <w:ind w:left="51"/>
              <w:spacing w:after="0" w:line="126" w:lineRule="exact"/>
              <w:rPr>
                <w:sz w:val="20"/>
                <w:szCs w:val="20"/>
                <w:color w:val="auto"/>
              </w:rPr>
            </w:pPr>
            <w:r>
              <w:rPr>
                <w:rFonts w:ascii="Times New Roman" w:cs="Times New Roman" w:eastAsia="Times New Roman" w:hAnsi="Times New Roman"/>
                <w:sz w:val="14"/>
                <w:szCs w:val="14"/>
                <w:color w:val="auto"/>
              </w:rPr>
              <w:t>Calling toll-free from the</w:t>
            </w:r>
          </w:p>
        </w:tc>
        <w:tc>
          <w:tcPr>
            <w:tcW w:w="320" w:type="dxa"/>
            <w:vAlign w:val="bottom"/>
          </w:tcPr>
          <w:p>
            <w:pPr>
              <w:spacing w:after="0"/>
              <w:rPr>
                <w:sz w:val="10"/>
                <w:szCs w:val="10"/>
                <w:color w:val="auto"/>
              </w:rPr>
            </w:pPr>
          </w:p>
        </w:tc>
        <w:tc>
          <w:tcPr>
            <w:tcW w:w="2960" w:type="dxa"/>
            <w:vAlign w:val="bottom"/>
            <w:gridSpan w:val="3"/>
            <w:shd w:val="clear" w:color="auto" w:fill="F2F2F2"/>
          </w:tcPr>
          <w:p>
            <w:pPr>
              <w:jc w:val="center"/>
              <w:ind w:left="4"/>
              <w:spacing w:after="0" w:line="126" w:lineRule="exact"/>
              <w:rPr>
                <w:sz w:val="20"/>
                <w:szCs w:val="20"/>
                <w:color w:val="auto"/>
              </w:rPr>
            </w:pPr>
            <w:r>
              <w:rPr>
                <w:rFonts w:ascii="Times New Roman" w:cs="Times New Roman" w:eastAsia="Times New Roman" w:hAnsi="Times New Roman"/>
                <w:sz w:val="14"/>
                <w:szCs w:val="14"/>
                <w:color w:val="auto"/>
              </w:rPr>
              <w:t>You can vote at the meeting at</w:t>
            </w:r>
          </w:p>
        </w:tc>
        <w:tc>
          <w:tcPr>
            <w:tcW w:w="0" w:type="dxa"/>
            <w:vAlign w:val="bottom"/>
          </w:tcPr>
          <w:p>
            <w:pPr>
              <w:spacing w:after="0"/>
              <w:rPr>
                <w:sz w:val="1"/>
                <w:szCs w:val="1"/>
                <w:color w:val="auto"/>
              </w:rPr>
            </w:pPr>
          </w:p>
        </w:tc>
      </w:tr>
      <w:tr>
        <w:trPr>
          <w:trHeight w:val="158"/>
        </w:trPr>
        <w:tc>
          <w:tcPr>
            <w:tcW w:w="1860" w:type="dxa"/>
            <w:vAlign w:val="bottom"/>
            <w:tcBorders>
              <w:bottom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4"/>
                <w:szCs w:val="14"/>
                <w:color w:val="auto"/>
              </w:rPr>
              <w:t>proxy card or voter</w:t>
            </w:r>
          </w:p>
        </w:tc>
        <w:tc>
          <w:tcPr>
            <w:tcW w:w="320" w:type="dxa"/>
            <w:vAlign w:val="bottom"/>
          </w:tcPr>
          <w:p>
            <w:pPr>
              <w:spacing w:after="0"/>
              <w:rPr>
                <w:sz w:val="13"/>
                <w:szCs w:val="13"/>
                <w:color w:val="auto"/>
              </w:rPr>
            </w:pPr>
          </w:p>
        </w:tc>
        <w:tc>
          <w:tcPr>
            <w:tcW w:w="540" w:type="dxa"/>
            <w:vAlign w:val="bottom"/>
            <w:tcBorders>
              <w:bottom w:val="single" w:sz="8" w:color="F2F2F2"/>
            </w:tcBorders>
            <w:shd w:val="clear" w:color="auto" w:fill="F2F2F2"/>
          </w:tcPr>
          <w:p>
            <w:pPr>
              <w:spacing w:after="0"/>
              <w:rPr>
                <w:sz w:val="13"/>
                <w:szCs w:val="13"/>
                <w:color w:val="auto"/>
              </w:rPr>
            </w:pPr>
          </w:p>
        </w:tc>
        <w:tc>
          <w:tcPr>
            <w:tcW w:w="2440" w:type="dxa"/>
            <w:vAlign w:val="bottom"/>
            <w:tcBorders>
              <w:bottom w:val="single" w:sz="8" w:color="F2F2F2"/>
            </w:tcBorders>
            <w:gridSpan w:val="2"/>
            <w:vMerge w:val="restart"/>
            <w:shd w:val="clear" w:color="auto" w:fill="F2F2F2"/>
          </w:tcPr>
          <w:p>
            <w:pPr>
              <w:jc w:val="center"/>
              <w:ind w:right="480"/>
              <w:spacing w:after="0"/>
              <w:rPr>
                <w:sz w:val="20"/>
                <w:szCs w:val="20"/>
                <w:color w:val="auto"/>
              </w:rPr>
            </w:pPr>
            <w:r>
              <w:rPr>
                <w:rFonts w:ascii="Times New Roman" w:cs="Times New Roman" w:eastAsia="Times New Roman" w:hAnsi="Times New Roman"/>
                <w:sz w:val="14"/>
                <w:szCs w:val="14"/>
                <w:color w:val="2B7CF4"/>
              </w:rPr>
              <w:t>www.envisionreports.com/LRMR</w:t>
            </w:r>
          </w:p>
        </w:tc>
        <w:tc>
          <w:tcPr>
            <w:tcW w:w="320" w:type="dxa"/>
            <w:vAlign w:val="bottom"/>
          </w:tcPr>
          <w:p>
            <w:pPr>
              <w:spacing w:after="0"/>
              <w:rPr>
                <w:sz w:val="13"/>
                <w:szCs w:val="13"/>
                <w:color w:val="auto"/>
              </w:rPr>
            </w:pPr>
          </w:p>
        </w:tc>
        <w:tc>
          <w:tcPr>
            <w:tcW w:w="2260" w:type="dxa"/>
            <w:vAlign w:val="bottom"/>
            <w:tcBorders>
              <w:bottom w:val="single" w:sz="8" w:color="F2F2F2"/>
            </w:tcBorders>
            <w:vMerge w:val="restart"/>
            <w:shd w:val="clear" w:color="auto" w:fill="F2F2F2"/>
          </w:tcPr>
          <w:p>
            <w:pPr>
              <w:jc w:val="center"/>
              <w:ind w:left="51"/>
              <w:spacing w:after="0"/>
              <w:rPr>
                <w:sz w:val="20"/>
                <w:szCs w:val="20"/>
                <w:color w:val="auto"/>
              </w:rPr>
            </w:pPr>
            <w:r>
              <w:rPr>
                <w:rFonts w:ascii="Times New Roman" w:cs="Times New Roman" w:eastAsia="Times New Roman" w:hAnsi="Times New Roman"/>
                <w:sz w:val="14"/>
                <w:szCs w:val="14"/>
                <w:color w:val="auto"/>
              </w:rPr>
              <w:t>United States, U.S.</w:t>
            </w:r>
          </w:p>
        </w:tc>
        <w:tc>
          <w:tcPr>
            <w:tcW w:w="320" w:type="dxa"/>
            <w:vAlign w:val="bottom"/>
          </w:tcPr>
          <w:p>
            <w:pPr>
              <w:spacing w:after="0"/>
              <w:rPr>
                <w:sz w:val="13"/>
                <w:szCs w:val="13"/>
                <w:color w:val="auto"/>
              </w:rPr>
            </w:pPr>
          </w:p>
        </w:tc>
        <w:tc>
          <w:tcPr>
            <w:tcW w:w="700" w:type="dxa"/>
            <w:vAlign w:val="bottom"/>
            <w:tcBorders>
              <w:bottom w:val="single" w:sz="8" w:color="F2F2F2"/>
            </w:tcBorders>
            <w:vMerge w:val="restart"/>
            <w:shd w:val="clear" w:color="auto" w:fill="F2F2F2"/>
          </w:tcPr>
          <w:p>
            <w:pPr>
              <w:spacing w:after="0"/>
              <w:rPr>
                <w:sz w:val="13"/>
                <w:szCs w:val="13"/>
                <w:color w:val="auto"/>
              </w:rPr>
            </w:pPr>
          </w:p>
        </w:tc>
        <w:tc>
          <w:tcPr>
            <w:tcW w:w="1640" w:type="dxa"/>
            <w:vAlign w:val="bottom"/>
            <w:tcBorders>
              <w:bottom w:val="single" w:sz="8" w:color="auto"/>
            </w:tcBorders>
            <w:shd w:val="clear" w:color="auto" w:fill="F2F2F2"/>
          </w:tcPr>
          <w:p>
            <w:pPr>
              <w:jc w:val="center"/>
              <w:spacing w:after="0" w:line="138" w:lineRule="exact"/>
              <w:rPr>
                <w:sz w:val="20"/>
                <w:szCs w:val="20"/>
                <w:color w:val="auto"/>
              </w:rPr>
            </w:pPr>
            <w:r>
              <w:rPr>
                <w:rFonts w:ascii="Times New Roman" w:cs="Times New Roman" w:eastAsia="Times New Roman" w:hAnsi="Times New Roman"/>
                <w:sz w:val="14"/>
                <w:szCs w:val="14"/>
                <w:color w:val="auto"/>
              </w:rPr>
              <w:t>meetnow.global/MD7Q9WF</w:t>
            </w:r>
          </w:p>
        </w:tc>
        <w:tc>
          <w:tcPr>
            <w:tcW w:w="620" w:type="dxa"/>
            <w:vAlign w:val="bottom"/>
            <w:tcBorders>
              <w:bottom w:val="single" w:sz="8" w:color="F2F2F2"/>
            </w:tcBorders>
            <w:vMerge w:val="restart"/>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vMerge w:val="continue"/>
            <w:shd w:val="clear" w:color="auto" w:fill="F2F2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F2F2F2"/>
          </w:tcPr>
          <w:p>
            <w:pPr>
              <w:spacing w:after="0" w:line="20" w:lineRule="exact"/>
              <w:rPr>
                <w:sz w:val="1"/>
                <w:szCs w:val="1"/>
                <w:color w:val="auto"/>
              </w:rPr>
            </w:pPr>
          </w:p>
        </w:tc>
        <w:tc>
          <w:tcPr>
            <w:tcW w:w="2440" w:type="dxa"/>
            <w:vAlign w:val="bottom"/>
            <w:gridSpan w:val="2"/>
            <w:vMerge w:val="continue"/>
            <w:shd w:val="clear" w:color="auto" w:fill="F2F2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vMerge w:val="continue"/>
            <w:shd w:val="clear" w:color="auto" w:fill="F2F2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vMerge w:val="continue"/>
            <w:shd w:val="clear" w:color="auto" w:fill="F2F2F2"/>
          </w:tcPr>
          <w:p>
            <w:pPr>
              <w:spacing w:after="0" w:line="20" w:lineRule="exact"/>
              <w:rPr>
                <w:sz w:val="1"/>
                <w:szCs w:val="1"/>
                <w:color w:val="auto"/>
              </w:rPr>
            </w:pPr>
          </w:p>
        </w:tc>
        <w:tc>
          <w:tcPr>
            <w:tcW w:w="1640" w:type="dxa"/>
            <w:vAlign w:val="bottom"/>
            <w:shd w:val="clear" w:color="auto" w:fill="F2F2F2"/>
          </w:tcPr>
          <w:p>
            <w:pPr>
              <w:spacing w:after="0" w:line="20" w:lineRule="exact"/>
              <w:rPr>
                <w:sz w:val="1"/>
                <w:szCs w:val="1"/>
                <w:color w:val="auto"/>
              </w:rPr>
            </w:pPr>
          </w:p>
        </w:tc>
        <w:tc>
          <w:tcPr>
            <w:tcW w:w="620" w:type="dxa"/>
            <w:vAlign w:val="bottom"/>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860" w:type="dxa"/>
            <w:vAlign w:val="bottom"/>
            <w:tcBorders>
              <w:top w:val="single" w:sz="8" w:color="F2F2F2"/>
            </w:tcBorders>
            <w:shd w:val="clear" w:color="auto" w:fill="F2F2F2"/>
          </w:tcPr>
          <w:p>
            <w:pPr>
              <w:jc w:val="center"/>
              <w:spacing w:after="0" w:line="79" w:lineRule="exact"/>
              <w:rPr>
                <w:sz w:val="20"/>
                <w:szCs w:val="20"/>
                <w:color w:val="auto"/>
              </w:rPr>
            </w:pPr>
            <w:r>
              <w:rPr>
                <w:rFonts w:ascii="Times New Roman" w:cs="Times New Roman" w:eastAsia="Times New Roman" w:hAnsi="Times New Roman"/>
                <w:sz w:val="9"/>
                <w:szCs w:val="9"/>
                <w:color w:val="auto"/>
              </w:rPr>
              <w:t>instruction card.</w:t>
            </w:r>
          </w:p>
        </w:tc>
        <w:tc>
          <w:tcPr>
            <w:tcW w:w="320" w:type="dxa"/>
            <w:vAlign w:val="bottom"/>
          </w:tcPr>
          <w:p>
            <w:pPr>
              <w:spacing w:after="0"/>
              <w:rPr>
                <w:sz w:val="6"/>
                <w:szCs w:val="6"/>
                <w:color w:val="auto"/>
              </w:rPr>
            </w:pPr>
          </w:p>
        </w:tc>
        <w:tc>
          <w:tcPr>
            <w:tcW w:w="540" w:type="dxa"/>
            <w:vAlign w:val="bottom"/>
            <w:tcBorders>
              <w:top w:val="single" w:sz="8" w:color="F2F2F2"/>
            </w:tcBorders>
            <w:shd w:val="clear" w:color="auto" w:fill="F2F2F2"/>
          </w:tcPr>
          <w:p>
            <w:pPr>
              <w:spacing w:after="0"/>
              <w:rPr>
                <w:sz w:val="6"/>
                <w:szCs w:val="6"/>
                <w:color w:val="auto"/>
              </w:rPr>
            </w:pPr>
          </w:p>
        </w:tc>
        <w:tc>
          <w:tcPr>
            <w:tcW w:w="1960" w:type="dxa"/>
            <w:vAlign w:val="bottom"/>
            <w:tcBorders>
              <w:top w:val="single" w:sz="8" w:color="2B7CF4"/>
            </w:tcBorders>
            <w:shd w:val="clear" w:color="auto" w:fill="F2F2F2"/>
          </w:tcPr>
          <w:p>
            <w:pPr>
              <w:spacing w:after="0"/>
              <w:rPr>
                <w:sz w:val="6"/>
                <w:szCs w:val="6"/>
                <w:color w:val="auto"/>
              </w:rPr>
            </w:pPr>
          </w:p>
        </w:tc>
        <w:tc>
          <w:tcPr>
            <w:tcW w:w="480" w:type="dxa"/>
            <w:vAlign w:val="bottom"/>
            <w:tcBorders>
              <w:top w:val="single" w:sz="8" w:color="F2F2F2"/>
            </w:tcBorders>
            <w:shd w:val="clear" w:color="auto" w:fill="F2F2F2"/>
          </w:tcPr>
          <w:p>
            <w:pPr>
              <w:spacing w:after="0"/>
              <w:rPr>
                <w:sz w:val="6"/>
                <w:szCs w:val="6"/>
                <w:color w:val="auto"/>
              </w:rPr>
            </w:pPr>
          </w:p>
        </w:tc>
        <w:tc>
          <w:tcPr>
            <w:tcW w:w="320" w:type="dxa"/>
            <w:vAlign w:val="bottom"/>
          </w:tcPr>
          <w:p>
            <w:pPr>
              <w:spacing w:after="0"/>
              <w:rPr>
                <w:sz w:val="6"/>
                <w:szCs w:val="6"/>
                <w:color w:val="auto"/>
              </w:rPr>
            </w:pPr>
          </w:p>
        </w:tc>
        <w:tc>
          <w:tcPr>
            <w:tcW w:w="2260" w:type="dxa"/>
            <w:vAlign w:val="bottom"/>
            <w:tcBorders>
              <w:top w:val="single" w:sz="8" w:color="F2F2F2"/>
            </w:tcBorders>
            <w:shd w:val="clear" w:color="auto" w:fill="F2F2F2"/>
          </w:tcPr>
          <w:p>
            <w:pPr>
              <w:jc w:val="center"/>
              <w:ind w:left="31"/>
              <w:spacing w:after="0" w:line="79" w:lineRule="exact"/>
              <w:rPr>
                <w:sz w:val="20"/>
                <w:szCs w:val="20"/>
                <w:color w:val="auto"/>
              </w:rPr>
            </w:pPr>
            <w:r>
              <w:rPr>
                <w:rFonts w:ascii="Times New Roman" w:cs="Times New Roman" w:eastAsia="Times New Roman" w:hAnsi="Times New Roman"/>
                <w:sz w:val="9"/>
                <w:szCs w:val="9"/>
                <w:color w:val="auto"/>
              </w:rPr>
              <w:t>territories and</w:t>
            </w:r>
          </w:p>
        </w:tc>
        <w:tc>
          <w:tcPr>
            <w:tcW w:w="320" w:type="dxa"/>
            <w:vAlign w:val="bottom"/>
          </w:tcPr>
          <w:p>
            <w:pPr>
              <w:spacing w:after="0"/>
              <w:rPr>
                <w:sz w:val="6"/>
                <w:szCs w:val="6"/>
                <w:color w:val="auto"/>
              </w:rPr>
            </w:pPr>
          </w:p>
        </w:tc>
        <w:tc>
          <w:tcPr>
            <w:tcW w:w="700" w:type="dxa"/>
            <w:vAlign w:val="bottom"/>
            <w:tcBorders>
              <w:top w:val="single" w:sz="8" w:color="F2F2F2"/>
            </w:tcBorders>
            <w:shd w:val="clear" w:color="auto" w:fill="F2F2F2"/>
          </w:tcPr>
          <w:p>
            <w:pPr>
              <w:spacing w:after="0"/>
              <w:rPr>
                <w:sz w:val="6"/>
                <w:szCs w:val="6"/>
                <w:color w:val="auto"/>
              </w:rPr>
            </w:pPr>
          </w:p>
        </w:tc>
        <w:tc>
          <w:tcPr>
            <w:tcW w:w="1640" w:type="dxa"/>
            <w:vAlign w:val="bottom"/>
            <w:tcBorders>
              <w:top w:val="single" w:sz="8" w:color="F2F2F2"/>
            </w:tcBorders>
            <w:shd w:val="clear" w:color="auto" w:fill="F2F2F2"/>
          </w:tcPr>
          <w:p>
            <w:pPr>
              <w:spacing w:after="0"/>
              <w:rPr>
                <w:sz w:val="6"/>
                <w:szCs w:val="6"/>
                <w:color w:val="auto"/>
              </w:rPr>
            </w:pPr>
          </w:p>
        </w:tc>
        <w:tc>
          <w:tcPr>
            <w:tcW w:w="620" w:type="dxa"/>
            <w:vAlign w:val="bottom"/>
            <w:tcBorders>
              <w:top w:val="single" w:sz="8" w:color="F2F2F2"/>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F2F2F2"/>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shd w:val="clear" w:color="auto" w:fill="F2F2F2"/>
          </w:tcPr>
          <w:p>
            <w:pPr>
              <w:spacing w:after="0"/>
              <w:rPr>
                <w:sz w:val="12"/>
                <w:szCs w:val="12"/>
                <w:color w:val="auto"/>
              </w:rPr>
            </w:pPr>
          </w:p>
        </w:tc>
        <w:tc>
          <w:tcPr>
            <w:tcW w:w="196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shd w:val="clear" w:color="auto" w:fill="F2F2F2"/>
          </w:tcPr>
          <w:p>
            <w:pPr>
              <w:jc w:val="center"/>
              <w:ind w:left="51"/>
              <w:spacing w:after="0" w:line="149" w:lineRule="exact"/>
              <w:rPr>
                <w:sz w:val="20"/>
                <w:szCs w:val="20"/>
                <w:color w:val="auto"/>
              </w:rPr>
            </w:pPr>
            <w:r>
              <w:rPr>
                <w:rFonts w:ascii="Times New Roman" w:cs="Times New Roman" w:eastAsia="Times New Roman" w:hAnsi="Times New Roman"/>
                <w:sz w:val="14"/>
                <w:szCs w:val="14"/>
                <w:color w:val="auto"/>
              </w:rPr>
              <w:t>Canada to</w:t>
            </w:r>
          </w:p>
        </w:tc>
        <w:tc>
          <w:tcPr>
            <w:tcW w:w="320" w:type="dxa"/>
            <w:vAlign w:val="bottom"/>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6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F2F2F2"/>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196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shd w:val="clear" w:color="auto" w:fill="F2F2F2"/>
          </w:tcPr>
          <w:p>
            <w:pPr>
              <w:jc w:val="center"/>
              <w:ind w:left="51"/>
              <w:spacing w:after="0"/>
              <w:rPr>
                <w:sz w:val="20"/>
                <w:szCs w:val="20"/>
                <w:color w:val="auto"/>
              </w:rPr>
            </w:pPr>
            <w:r>
              <w:rPr>
                <w:rFonts w:ascii="Times New Roman" w:cs="Times New Roman" w:eastAsia="Times New Roman" w:hAnsi="Times New Roman"/>
                <w:sz w:val="14"/>
                <w:szCs w:val="14"/>
                <w:color w:val="auto"/>
              </w:rPr>
              <w:t>1-800-652-8683</w:t>
            </w:r>
          </w:p>
        </w:tc>
        <w:tc>
          <w:tcPr>
            <w:tcW w:w="320" w:type="dxa"/>
            <w:vAlign w:val="bottom"/>
          </w:tcPr>
          <w:p>
            <w:pPr>
              <w:spacing w:after="0"/>
              <w:rPr>
                <w:sz w:val="16"/>
                <w:szCs w:val="16"/>
                <w:color w:val="auto"/>
              </w:rPr>
            </w:pPr>
          </w:p>
        </w:tc>
        <w:tc>
          <w:tcPr>
            <w:tcW w:w="70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6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shd w:val="clear" w:color="auto" w:fill="F2F2F2"/>
          </w:tcPr>
          <w:p>
            <w:pPr>
              <w:spacing w:after="0"/>
              <w:rPr>
                <w:sz w:val="3"/>
                <w:szCs w:val="3"/>
                <w:color w:val="auto"/>
              </w:rPr>
            </w:pPr>
          </w:p>
        </w:tc>
        <w:tc>
          <w:tcPr>
            <w:tcW w:w="1960" w:type="dxa"/>
            <w:vAlign w:val="bottom"/>
            <w:shd w:val="clear" w:color="auto" w:fill="F2F2F2"/>
          </w:tcPr>
          <w:p>
            <w:pPr>
              <w:spacing w:after="0"/>
              <w:rPr>
                <w:sz w:val="3"/>
                <w:szCs w:val="3"/>
                <w:color w:val="auto"/>
              </w:rPr>
            </w:pPr>
          </w:p>
        </w:tc>
        <w:tc>
          <w:tcPr>
            <w:tcW w:w="480" w:type="dxa"/>
            <w:vAlign w:val="bottom"/>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2260" w:type="dxa"/>
            <w:vAlign w:val="bottom"/>
            <w:shd w:val="clear" w:color="auto" w:fill="F2F2F2"/>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shd w:val="clear" w:color="auto" w:fill="F2F2F2"/>
          </w:tcPr>
          <w:p>
            <w:pPr>
              <w:spacing w:after="0"/>
              <w:rPr>
                <w:sz w:val="3"/>
                <w:szCs w:val="3"/>
                <w:color w:val="auto"/>
              </w:rPr>
            </w:pPr>
          </w:p>
        </w:tc>
        <w:tc>
          <w:tcPr>
            <w:tcW w:w="1640" w:type="dxa"/>
            <w:vAlign w:val="bottom"/>
            <w:shd w:val="clear" w:color="auto" w:fill="F2F2F2"/>
          </w:tcPr>
          <w:p>
            <w:pPr>
              <w:spacing w:after="0"/>
              <w:rPr>
                <w:sz w:val="3"/>
                <w:szCs w:val="3"/>
                <w:color w:val="auto"/>
              </w:rPr>
            </w:pPr>
          </w:p>
        </w:tc>
        <w:tc>
          <w:tcPr>
            <w:tcW w:w="620" w:type="dxa"/>
            <w:vAlign w:val="bottom"/>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8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176" w:lineRule="exact"/>
        <w:rPr>
          <w:sz w:val="20"/>
          <w:szCs w:val="20"/>
          <w:color w:val="auto"/>
        </w:rPr>
      </w:pPr>
    </w:p>
    <w:p>
      <w:pPr>
        <w:ind w:left="1640" w:right="420" w:hanging="755"/>
        <w:spacing w:after="0" w:line="261"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 11:59 p.m., Eastern Time, on May 8, 2023.</w:t>
      </w:r>
    </w:p>
    <w:p>
      <w:pPr>
        <w:ind w:left="1640" w:right="100" w:hanging="755"/>
        <w:spacing w:after="0" w:line="250"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May 8, 2023. Only your latest dated proxy card will be counted.</w:t>
      </w:r>
    </w:p>
    <w:p>
      <w:pPr>
        <w:ind w:left="1640" w:hanging="755"/>
        <w:spacing w:after="0"/>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Secretary written notice before or during the meeting that you want to revoke your proxy.</w:t>
      </w:r>
    </w:p>
    <w:p>
      <w:pPr>
        <w:spacing w:after="0" w:line="9" w:lineRule="exact"/>
        <w:rPr>
          <w:rFonts w:ascii="Times New Roman" w:cs="Times New Roman" w:eastAsia="Times New Roman" w:hAnsi="Times New Roman"/>
          <w:sz w:val="18"/>
          <w:szCs w:val="18"/>
          <w:color w:val="auto"/>
        </w:rPr>
      </w:pPr>
    </w:p>
    <w:p>
      <w:pPr>
        <w:ind w:left="1640" w:right="460" w:hanging="755"/>
        <w:spacing w:after="0" w:line="260"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Virtually attend the Annual Meeting at </w:t>
      </w:r>
      <w:r>
        <w:rPr>
          <w:rFonts w:ascii="Times New Roman" w:cs="Times New Roman" w:eastAsia="Times New Roman" w:hAnsi="Times New Roman"/>
          <w:sz w:val="18"/>
          <w:szCs w:val="18"/>
          <w:u w:val="single" w:color="auto"/>
          <w:color w:val="auto"/>
        </w:rPr>
        <w:t>meetnow.global/MD7Q9WF</w:t>
      </w:r>
      <w:r>
        <w:rPr>
          <w:rFonts w:ascii="Times New Roman" w:cs="Times New Roman" w:eastAsia="Times New Roman" w:hAnsi="Times New Roman"/>
          <w:sz w:val="18"/>
          <w:szCs w:val="18"/>
          <w:color w:val="auto"/>
        </w:rPr>
        <w:t>. Virtually attending the Annual Meeting will not by itself revoke a previously granted proxy.</w:t>
      </w:r>
    </w:p>
    <w:p>
      <w:pPr>
        <w:spacing w:after="0" w:line="14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w:t>
      </w:r>
    </w:p>
    <w:p>
      <w:pPr>
        <w:spacing w:after="0" w:line="147"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Deadline for Voting</w:t>
      </w:r>
      <w:r>
        <w:rPr>
          <w:rFonts w:ascii="Times New Roman" w:cs="Times New Roman" w:eastAsia="Times New Roman" w:hAnsi="Times New Roman"/>
          <w:sz w:val="18"/>
          <w:szCs w:val="18"/>
          <w:color w:val="auto"/>
        </w:rPr>
        <w:t>. The deadline for voting by telephone or Internet, other than by virtually attending the Annual Meeting, is 11:59 p.m. Eastern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8, 2023. If you are a registered stockholder and virtually attend the Annual Meeting, you may deliver your vote online during the Annual Meeting.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18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5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361" w:lineRule="exact"/>
        <w:rPr>
          <w:sz w:val="20"/>
          <w:szCs w:val="20"/>
          <w:color w:val="auto"/>
        </w:rPr>
      </w:pPr>
    </w:p>
    <w:tbl>
      <w:tblPr>
        <w:tblLayout w:type="fixed"/>
        <w:tblInd w:w="130" w:type="dxa"/>
        <w:tblCellMar>
          <w:top w:w="0" w:type="dxa"/>
          <w:left w:w="0" w:type="dxa"/>
          <w:bottom w:w="0" w:type="dxa"/>
          <w:right w:w="0" w:type="dxa"/>
        </w:tblCellMar>
      </w:tblPr>
      <w:tr>
        <w:trPr>
          <w:trHeight w:val="137"/>
        </w:trPr>
        <w:tc>
          <w:tcPr>
            <w:tcW w:w="3500" w:type="dxa"/>
            <w:vAlign w:val="bottom"/>
            <w:tcBorders>
              <w:top w:val="single" w:sz="8" w:color="auto"/>
              <w:left w:val="single" w:sz="8" w:color="auto"/>
            </w:tcBorders>
            <w:shd w:val="clear" w:color="auto" w:fill="4DC1E4"/>
          </w:tcPr>
          <w:p>
            <w:pPr>
              <w:spacing w:after="0"/>
              <w:rPr>
                <w:sz w:val="11"/>
                <w:szCs w:val="11"/>
                <w:color w:val="auto"/>
              </w:rPr>
            </w:pPr>
          </w:p>
        </w:tc>
        <w:tc>
          <w:tcPr>
            <w:tcW w:w="2320" w:type="dxa"/>
            <w:vAlign w:val="bottom"/>
            <w:tcBorders>
              <w:top w:val="single" w:sz="8" w:color="auto"/>
            </w:tcBorders>
            <w:shd w:val="clear" w:color="auto" w:fill="4DC1E4"/>
          </w:tcPr>
          <w:p>
            <w:pPr>
              <w:spacing w:after="0"/>
              <w:rPr>
                <w:sz w:val="11"/>
                <w:szCs w:val="11"/>
                <w:color w:val="auto"/>
              </w:rPr>
            </w:pPr>
          </w:p>
        </w:tc>
        <w:tc>
          <w:tcPr>
            <w:tcW w:w="3400" w:type="dxa"/>
            <w:vAlign w:val="bottom"/>
            <w:tcBorders>
              <w:top w:val="single" w:sz="8" w:color="auto"/>
            </w:tcBorders>
            <w:shd w:val="clear" w:color="auto" w:fill="4DC1E4"/>
          </w:tcPr>
          <w:p>
            <w:pPr>
              <w:jc w:val="center"/>
              <w:ind w:left="16"/>
              <w:spacing w:after="0" w:line="137" w:lineRule="exact"/>
              <w:rPr>
                <w:sz w:val="20"/>
                <w:szCs w:val="20"/>
                <w:color w:val="auto"/>
              </w:rPr>
            </w:pPr>
            <w:r>
              <w:rPr>
                <w:rFonts w:ascii="Times New Roman" w:cs="Times New Roman" w:eastAsia="Times New Roman" w:hAnsi="Times New Roman"/>
                <w:sz w:val="14"/>
                <w:szCs w:val="14"/>
                <w:b w:val="1"/>
                <w:bCs w:val="1"/>
                <w:color w:val="FFFFFF"/>
              </w:rPr>
              <w:t>T</w:t>
            </w:r>
            <w:r>
              <w:rPr>
                <w:rFonts w:ascii="Times New Roman" w:cs="Times New Roman" w:eastAsia="Times New Roman" w:hAnsi="Times New Roman"/>
                <w:sz w:val="11"/>
                <w:szCs w:val="11"/>
                <w:b w:val="1"/>
                <w:bCs w:val="1"/>
                <w:color w:val="FFFFFF"/>
              </w:rPr>
              <w:t>REATMENT OF</w:t>
            </w:r>
          </w:p>
        </w:tc>
        <w:tc>
          <w:tcPr>
            <w:tcW w:w="1260" w:type="dxa"/>
            <w:vAlign w:val="bottom"/>
            <w:tcBorders>
              <w:top w:val="single" w:sz="8" w:color="auto"/>
              <w:right w:val="single" w:sz="8" w:color="auto"/>
            </w:tcBorders>
            <w:vMerge w:val="restart"/>
            <w:shd w:val="clear" w:color="auto" w:fill="4DC1E4"/>
          </w:tcPr>
          <w:p>
            <w:pPr>
              <w:jc w:val="center"/>
              <w:ind w:left="19"/>
              <w:spacing w:after="0"/>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ROKER</w:t>
            </w:r>
          </w:p>
        </w:tc>
        <w:tc>
          <w:tcPr>
            <w:tcW w:w="0" w:type="dxa"/>
            <w:vAlign w:val="bottom"/>
          </w:tcPr>
          <w:p>
            <w:pPr>
              <w:spacing w:after="0"/>
              <w:rPr>
                <w:sz w:val="1"/>
                <w:szCs w:val="1"/>
                <w:color w:val="auto"/>
              </w:rPr>
            </w:pPr>
          </w:p>
        </w:tc>
      </w:tr>
      <w:tr>
        <w:trPr>
          <w:trHeight w:val="149"/>
        </w:trPr>
        <w:tc>
          <w:tcPr>
            <w:tcW w:w="3500" w:type="dxa"/>
            <w:vAlign w:val="bottom"/>
            <w:tcBorders>
              <w:left w:val="single" w:sz="8" w:color="auto"/>
            </w:tcBorders>
            <w:shd w:val="clear" w:color="auto" w:fill="4DC1E4"/>
          </w:tcPr>
          <w:p>
            <w:pPr>
              <w:spacing w:after="0"/>
              <w:rPr>
                <w:sz w:val="12"/>
                <w:szCs w:val="12"/>
                <w:color w:val="auto"/>
              </w:rPr>
            </w:pPr>
          </w:p>
        </w:tc>
        <w:tc>
          <w:tcPr>
            <w:tcW w:w="2320" w:type="dxa"/>
            <w:vAlign w:val="bottom"/>
            <w:shd w:val="clear" w:color="auto" w:fill="4DC1E4"/>
          </w:tcPr>
          <w:p>
            <w:pPr>
              <w:spacing w:after="0"/>
              <w:rPr>
                <w:sz w:val="12"/>
                <w:szCs w:val="12"/>
                <w:color w:val="auto"/>
              </w:rPr>
            </w:pPr>
          </w:p>
        </w:tc>
        <w:tc>
          <w:tcPr>
            <w:tcW w:w="3400" w:type="dxa"/>
            <w:vAlign w:val="bottom"/>
            <w:shd w:val="clear" w:color="auto" w:fill="4DC1E4"/>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OTES</w:t>
            </w:r>
            <w:r>
              <w:rPr>
                <w:rFonts w:ascii="Times New Roman" w:cs="Times New Roman" w:eastAsia="Times New Roman" w:hAnsi="Times New Roman"/>
                <w:sz w:val="14"/>
                <w:szCs w:val="14"/>
                <w:b w:val="1"/>
                <w:bCs w:val="1"/>
                <w:color w:val="FFFFFF"/>
              </w:rPr>
              <w:t xml:space="preserve"> W</w:t>
            </w:r>
            <w:r>
              <w:rPr>
                <w:rFonts w:ascii="Times New Roman" w:cs="Times New Roman" w:eastAsia="Times New Roman" w:hAnsi="Times New Roman"/>
                <w:sz w:val="11"/>
                <w:szCs w:val="11"/>
                <w:b w:val="1"/>
                <w:bCs w:val="1"/>
                <w:color w:val="FFFFFF"/>
              </w:rPr>
              <w:t>ITHHELD</w:t>
            </w:r>
            <w:r>
              <w:rPr>
                <w:rFonts w:ascii="Times New Roman" w:cs="Times New Roman" w:eastAsia="Times New Roman" w:hAnsi="Times New Roman"/>
                <w:sz w:val="14"/>
                <w:szCs w:val="14"/>
                <w:b w:val="1"/>
                <w:bCs w:val="1"/>
                <w:color w:val="FFFFFF"/>
              </w:rPr>
              <w:t>, A</w:t>
            </w:r>
            <w:r>
              <w:rPr>
                <w:rFonts w:ascii="Times New Roman" w:cs="Times New Roman" w:eastAsia="Times New Roman" w:hAnsi="Times New Roman"/>
                <w:sz w:val="11"/>
                <w:szCs w:val="11"/>
                <w:b w:val="1"/>
                <w:bCs w:val="1"/>
                <w:color w:val="FFFFFF"/>
              </w:rPr>
              <w:t>BSTENTIONS AND</w:t>
            </w:r>
          </w:p>
        </w:tc>
        <w:tc>
          <w:tcPr>
            <w:tcW w:w="1260" w:type="dxa"/>
            <w:vAlign w:val="bottom"/>
            <w:tcBorders>
              <w:right w:val="single" w:sz="8" w:color="auto"/>
            </w:tcBorders>
            <w:vMerge w:val="continue"/>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Borders>
              <w:left w:val="single" w:sz="8" w:color="auto"/>
            </w:tcBorders>
            <w:vMerge w:val="restart"/>
            <w:shd w:val="clear" w:color="auto" w:fill="4DC1E4"/>
          </w:tcPr>
          <w:p>
            <w:pPr>
              <w:ind w:left="1140"/>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r>
              <w:rPr>
                <w:rFonts w:ascii="Times New Roman" w:cs="Times New Roman" w:eastAsia="Times New Roman" w:hAnsi="Times New Roman"/>
                <w:sz w:val="14"/>
                <w:szCs w:val="14"/>
                <w:b w:val="1"/>
                <w:bCs w:val="1"/>
                <w:color w:val="FFFFFF"/>
              </w:rPr>
              <w:t xml:space="preserve"> M</w:t>
            </w:r>
            <w:r>
              <w:rPr>
                <w:rFonts w:ascii="Times New Roman" w:cs="Times New Roman" w:eastAsia="Times New Roman" w:hAnsi="Times New Roman"/>
                <w:sz w:val="11"/>
                <w:szCs w:val="11"/>
                <w:b w:val="1"/>
                <w:bCs w:val="1"/>
                <w:color w:val="FFFFFF"/>
              </w:rPr>
              <w:t>ATTERS</w:t>
            </w:r>
          </w:p>
        </w:tc>
        <w:tc>
          <w:tcPr>
            <w:tcW w:w="232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OTES</w:t>
            </w:r>
            <w:r>
              <w:rPr>
                <w:rFonts w:ascii="Times New Roman" w:cs="Times New Roman" w:eastAsia="Times New Roman" w:hAnsi="Times New Roman"/>
                <w:sz w:val="14"/>
                <w:szCs w:val="14"/>
                <w:b w:val="1"/>
                <w:bCs w:val="1"/>
                <w:color w:val="FFFFFF"/>
              </w:rPr>
              <w:t xml:space="preserve"> R</w:t>
            </w:r>
            <w:r>
              <w:rPr>
                <w:rFonts w:ascii="Times New Roman" w:cs="Times New Roman" w:eastAsia="Times New Roman" w:hAnsi="Times New Roman"/>
                <w:sz w:val="11"/>
                <w:szCs w:val="11"/>
                <w:b w:val="1"/>
                <w:bCs w:val="1"/>
                <w:color w:val="FFFFFF"/>
              </w:rPr>
              <w:t>EQUIRED</w:t>
            </w:r>
          </w:p>
        </w:tc>
        <w:tc>
          <w:tcPr>
            <w:tcW w:w="3400" w:type="dxa"/>
            <w:vAlign w:val="bottom"/>
            <w:shd w:val="clear" w:color="auto" w:fill="4DC1E4"/>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FFFFFF"/>
              </w:rPr>
              <w:t>B</w:t>
            </w:r>
            <w:r>
              <w:rPr>
                <w:rFonts w:ascii="Times New Roman" w:cs="Times New Roman" w:eastAsia="Times New Roman" w:hAnsi="Times New Roman"/>
                <w:sz w:val="11"/>
                <w:szCs w:val="11"/>
                <w:b w:val="1"/>
                <w:bCs w:val="1"/>
                <w:color w:val="FFFFFF"/>
              </w:rPr>
              <w:t>ROKER</w:t>
            </w:r>
          </w:p>
        </w:tc>
        <w:tc>
          <w:tcPr>
            <w:tcW w:w="1260" w:type="dxa"/>
            <w:vAlign w:val="bottom"/>
            <w:tcBorders>
              <w:right w:val="single" w:sz="8" w:color="auto"/>
            </w:tcBorders>
            <w:shd w:val="clear" w:color="auto" w:fill="4DC1E4"/>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ISCRETIONARY</w:t>
            </w:r>
          </w:p>
        </w:tc>
        <w:tc>
          <w:tcPr>
            <w:tcW w:w="0" w:type="dxa"/>
            <w:vAlign w:val="bottom"/>
          </w:tcPr>
          <w:p>
            <w:pPr>
              <w:spacing w:after="0"/>
              <w:rPr>
                <w:sz w:val="1"/>
                <w:szCs w:val="1"/>
                <w:color w:val="auto"/>
              </w:rPr>
            </w:pPr>
          </w:p>
        </w:tc>
      </w:tr>
      <w:tr>
        <w:trPr>
          <w:trHeight w:val="173"/>
        </w:trPr>
        <w:tc>
          <w:tcPr>
            <w:tcW w:w="3500" w:type="dxa"/>
            <w:vAlign w:val="bottom"/>
            <w:tcBorders>
              <w:left w:val="single" w:sz="8" w:color="auto"/>
              <w:bottom w:val="single" w:sz="8" w:color="auto"/>
            </w:tcBorders>
            <w:vMerge w:val="continue"/>
            <w:shd w:val="clear" w:color="auto" w:fill="4DC1E4"/>
          </w:tcPr>
          <w:p>
            <w:pPr>
              <w:spacing w:after="0"/>
              <w:rPr>
                <w:sz w:val="15"/>
                <w:szCs w:val="15"/>
                <w:color w:val="auto"/>
              </w:rPr>
            </w:pPr>
          </w:p>
        </w:tc>
        <w:tc>
          <w:tcPr>
            <w:tcW w:w="2320" w:type="dxa"/>
            <w:vAlign w:val="bottom"/>
            <w:tcBorders>
              <w:bottom w:val="single" w:sz="8" w:color="auto"/>
            </w:tcBorders>
            <w:vMerge w:val="continue"/>
            <w:shd w:val="clear" w:color="auto" w:fill="4DC1E4"/>
          </w:tcPr>
          <w:p>
            <w:pPr>
              <w:spacing w:after="0"/>
              <w:rPr>
                <w:sz w:val="15"/>
                <w:szCs w:val="15"/>
                <w:color w:val="auto"/>
              </w:rPr>
            </w:pPr>
          </w:p>
        </w:tc>
        <w:tc>
          <w:tcPr>
            <w:tcW w:w="3400" w:type="dxa"/>
            <w:vAlign w:val="bottom"/>
            <w:tcBorders>
              <w:bottom w:val="single" w:sz="8" w:color="auto"/>
            </w:tcBorders>
            <w:shd w:val="clear" w:color="auto" w:fill="4DC1E4"/>
          </w:tcPr>
          <w:p>
            <w:pPr>
              <w:jc w:val="center"/>
              <w:ind w:left="36"/>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ON</w:t>
            </w: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OTES</w:t>
            </w:r>
          </w:p>
        </w:tc>
        <w:tc>
          <w:tcPr>
            <w:tcW w:w="1260" w:type="dxa"/>
            <w:vAlign w:val="bottom"/>
            <w:tcBorders>
              <w:bottom w:val="single" w:sz="8" w:color="auto"/>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4"/>
                <w:szCs w:val="14"/>
                <w:b w:val="1"/>
                <w:bCs w:val="1"/>
                <w:color w:val="FFFFFF"/>
              </w:rPr>
              <w:t>V</w:t>
            </w:r>
            <w:r>
              <w:rPr>
                <w:rFonts w:ascii="Times New Roman" w:cs="Times New Roman" w:eastAsia="Times New Roman" w:hAnsi="Times New Roman"/>
                <w:sz w:val="11"/>
                <w:szCs w:val="11"/>
                <w:b w:val="1"/>
                <w:bCs w:val="1"/>
                <w:color w:val="FFFFFF"/>
              </w:rPr>
              <w:t>OTING</w:t>
            </w:r>
          </w:p>
        </w:tc>
        <w:tc>
          <w:tcPr>
            <w:tcW w:w="0" w:type="dxa"/>
            <w:vAlign w:val="bottom"/>
          </w:tcPr>
          <w:p>
            <w:pPr>
              <w:spacing w:after="0"/>
              <w:rPr>
                <w:sz w:val="1"/>
                <w:szCs w:val="1"/>
                <w:color w:val="auto"/>
              </w:rPr>
            </w:pPr>
          </w:p>
        </w:tc>
      </w:tr>
      <w:tr>
        <w:trPr>
          <w:trHeight w:val="232"/>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Plurality of the votes cast</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Votes withheld and broker non-votes will</w:t>
            </w:r>
          </w:p>
        </w:tc>
        <w:tc>
          <w:tcPr>
            <w:tcW w:w="1260" w:type="dxa"/>
            <w:vAlign w:val="bottom"/>
            <w:tcBorders>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Directors for a Three-Year Term Expiring</w:t>
            </w:r>
          </w:p>
        </w:tc>
        <w:tc>
          <w:tcPr>
            <w:tcW w:w="2320" w:type="dxa"/>
            <w:vAlign w:val="bottom"/>
          </w:tcPr>
          <w:p>
            <w:pPr>
              <w:spacing w:after="0"/>
              <w:rPr>
                <w:sz w:val="18"/>
                <w:szCs w:val="18"/>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in 2026</w:t>
            </w:r>
          </w:p>
        </w:tc>
        <w:tc>
          <w:tcPr>
            <w:tcW w:w="2320" w:type="dxa"/>
            <w:vAlign w:val="bottom"/>
          </w:tcPr>
          <w:p>
            <w:pPr>
              <w:spacing w:after="0"/>
              <w:rPr>
                <w:sz w:val="20"/>
                <w:szCs w:val="20"/>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Majority of the votes cast</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260" w:type="dxa"/>
            <w:vAlign w:val="bottom"/>
            <w:tcBorders>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Basis, of the Compensation of our Named</w:t>
            </w:r>
          </w:p>
        </w:tc>
        <w:tc>
          <w:tcPr>
            <w:tcW w:w="2320" w:type="dxa"/>
            <w:vAlign w:val="bottom"/>
          </w:tcPr>
          <w:p>
            <w:pPr>
              <w:spacing w:after="0"/>
              <w:rPr>
                <w:sz w:val="18"/>
                <w:szCs w:val="18"/>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Executive Officers in 2022</w:t>
            </w:r>
          </w:p>
        </w:tc>
        <w:tc>
          <w:tcPr>
            <w:tcW w:w="2320" w:type="dxa"/>
            <w:vAlign w:val="bottom"/>
          </w:tcPr>
          <w:p>
            <w:pPr>
              <w:spacing w:after="0"/>
              <w:rPr>
                <w:sz w:val="20"/>
                <w:szCs w:val="20"/>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Ratification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Majority of the votes cast</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260" w:type="dxa"/>
            <w:vAlign w:val="bottom"/>
            <w:tcBorders>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Appointment of PricewaterhouseCoopers</w:t>
            </w:r>
          </w:p>
        </w:tc>
        <w:tc>
          <w:tcPr>
            <w:tcW w:w="2320" w:type="dxa"/>
            <w:vAlign w:val="bottom"/>
          </w:tcPr>
          <w:p>
            <w:pPr>
              <w:spacing w:after="0"/>
              <w:rPr>
                <w:sz w:val="18"/>
                <w:szCs w:val="18"/>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LLP as our Independent Registered Public</w:t>
            </w:r>
          </w:p>
        </w:tc>
        <w:tc>
          <w:tcPr>
            <w:tcW w:w="2320" w:type="dxa"/>
            <w:vAlign w:val="bottom"/>
          </w:tcPr>
          <w:p>
            <w:pPr>
              <w:spacing w:after="0"/>
              <w:rPr>
                <w:sz w:val="18"/>
                <w:szCs w:val="18"/>
                <w:color w:val="auto"/>
              </w:rPr>
            </w:pP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Accounting Firm for the 2023 Fiscal Year</w:t>
            </w:r>
          </w:p>
        </w:tc>
        <w:tc>
          <w:tcPr>
            <w:tcW w:w="2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500" w:type="dxa"/>
            <w:vAlign w:val="bottom"/>
            <w:tcBorders>
              <w:left w:val="single" w:sz="8" w:color="auto"/>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0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4DC1E4"/>
        </w:rPr>
        <w:t>Our Board has nominated Frank Thomas, Carole S. Ben-Maimon, M.D. and Joseph Truitt for re-election as Class III directors at our Annual Meeting to hold office until our 2026 Annual Meeting of Stockholders.</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35"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with each class holding office for a three-year term. Frank Thomas, Carole S. Ben-Maimon, M.D. and Joseph Truitt, current Class III directors, have been nominated by our Board for re-election at the Annual Meeting for three-year terms that will expire at our 2026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4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Peter Barrett, Ph.D. currently serves as a Class I director of our Board with a term expiring at our 2024 Annual Meeting of Stockholders. Dr. Barrett has tendered his resignation and his service as a member of our Board will end effective as of the date of the Annual Meeting. After careful consideration, we have elected to reduce the size of our Board from six to five directors, effective as of the date of the Annual Meeting.</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8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w:t>
      </w:r>
    </w:p>
    <w:p>
      <w:pPr>
        <w:spacing w:after="0" w:line="143"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number of members of our Board shall be fixed by the Board from time to time. Our Board is currently fixed at six members. However, as described above, after careful consideration we have elected to reduce the size of our Board from six to five directors following Dr. Barrett’s departure from our Board, effective as of the date of the Annual Meeting. Our Board is divided into three classes with staggered three-year terms. The Nominating and Corporate Governance Committee is responsible for identifying individuals that it believes are qualified to become Board members.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8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certain criteria in identifying director nominees. Important general criteria and considerations for Board membership include: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4"/>
          <w:szCs w:val="14"/>
          <w:b w:val="1"/>
          <w:bCs w:val="1"/>
          <w:color w:val="FFFFFF"/>
        </w:rPr>
        <w:t>ENERAL</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4"/>
          <w:szCs w:val="14"/>
          <w:b w:val="1"/>
          <w:bCs w:val="1"/>
          <w:color w:val="FFFFFF"/>
        </w:rPr>
        <w:t>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9" w:lineRule="exact"/>
        <w:rPr>
          <w:sz w:val="20"/>
          <w:szCs w:val="20"/>
          <w:color w:val="auto"/>
        </w:rPr>
      </w:pPr>
    </w:p>
    <w:p>
      <w:pPr>
        <w:ind w:left="1300" w:right="440" w:hanging="752"/>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Board’s range of talent, skill, and experience to provide sound and prudent guidance with respect to the Company’s strategy and operations, including, but not limited to:</w:t>
      </w:r>
    </w:p>
    <w:p>
      <w:pPr>
        <w:ind w:left="2200" w:right="5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Experience at senior levels in public companies; o Financial expertise;</w:t>
      </w: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Experience in leadership roles in clinical and commercial-stage companies in the biotechnology or healthcare fields;</w:t>
      </w:r>
    </w:p>
    <w:p>
      <w:pPr>
        <w:spacing w:after="0" w:line="9" w:lineRule="exact"/>
        <w:rPr>
          <w:rFonts w:ascii="Times New Roman" w:cs="Times New Roman" w:eastAsia="Times New Roman" w:hAnsi="Times New Roman"/>
          <w:sz w:val="18"/>
          <w:szCs w:val="18"/>
          <w:color w:val="auto"/>
        </w:rPr>
      </w:pPr>
    </w:p>
    <w:p>
      <w:pPr>
        <w:ind w:left="1300" w:hanging="75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integrity and ethical character, commitment and independence of thought and judgment;</w:t>
      </w:r>
    </w:p>
    <w:p>
      <w:pPr>
        <w:spacing w:after="0" w:line="9" w:lineRule="exact"/>
        <w:rPr>
          <w:rFonts w:ascii="Times New Roman" w:cs="Times New Roman" w:eastAsia="Times New Roman" w:hAnsi="Times New Roman"/>
          <w:sz w:val="18"/>
          <w:szCs w:val="18"/>
          <w:color w:val="auto"/>
        </w:rPr>
      </w:pPr>
    </w:p>
    <w:p>
      <w:pPr>
        <w:ind w:left="1300" w:hanging="752"/>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to fairly and equally act in the best interest of our stockholders;</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4</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50" w:lineRule="exact"/>
        <w:rPr>
          <w:sz w:val="20"/>
          <w:szCs w:val="20"/>
          <w:color w:val="auto"/>
        </w:rPr>
      </w:pPr>
    </w:p>
    <w:p>
      <w:pPr>
        <w:jc w:val="both"/>
        <w:ind w:left="1300" w:right="420" w:hanging="752"/>
        <w:spacing w:after="0" w:line="257"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and willingness to express ideas and engage in constructive discussion with other Board members and management, to actively participate in the Board’s decision-making process and make difficult decisions in the best interest of the Company and its stockholders;</w:t>
      </w:r>
    </w:p>
    <w:p>
      <w:pPr>
        <w:spacing w:after="0" w:line="1" w:lineRule="exact"/>
        <w:rPr>
          <w:rFonts w:ascii="Times New Roman" w:cs="Times New Roman" w:eastAsia="Times New Roman" w:hAnsi="Times New Roman"/>
          <w:sz w:val="18"/>
          <w:szCs w:val="18"/>
          <w:color w:val="auto"/>
        </w:rPr>
      </w:pPr>
    </w:p>
    <w:p>
      <w:pPr>
        <w:ind w:left="1300" w:hanging="75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diversity of personal and professional experiences, opinions, perspectives, and backgrounds on the Board;</w:t>
      </w:r>
    </w:p>
    <w:p>
      <w:pPr>
        <w:spacing w:after="0" w:line="9" w:lineRule="exact"/>
        <w:rPr>
          <w:rFonts w:ascii="Times New Roman" w:cs="Times New Roman" w:eastAsia="Times New Roman" w:hAnsi="Times New Roman"/>
          <w:sz w:val="18"/>
          <w:szCs w:val="18"/>
          <w:color w:val="auto"/>
        </w:rPr>
      </w:pPr>
    </w:p>
    <w:p>
      <w:pPr>
        <w:ind w:left="1300" w:hanging="75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and ability to devote sufficient time, energy and attention to the affairs of the Company and the Board; and</w:t>
      </w:r>
    </w:p>
    <w:p>
      <w:pPr>
        <w:spacing w:after="0" w:line="9" w:lineRule="exact"/>
        <w:rPr>
          <w:rFonts w:ascii="Times New Roman" w:cs="Times New Roman" w:eastAsia="Times New Roman" w:hAnsi="Times New Roman"/>
          <w:sz w:val="18"/>
          <w:szCs w:val="18"/>
          <w:color w:val="auto"/>
        </w:rPr>
      </w:pPr>
    </w:p>
    <w:p>
      <w:pPr>
        <w:ind w:left="1300" w:hanging="75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actual and potential conflicts of interest.</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and skills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w:t>
      </w:r>
    </w:p>
    <w:p>
      <w:pPr>
        <w:spacing w:after="0" w:line="13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20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8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our Company. While we do not have a formal policy on Board diversity, the Board is committed to building a Board that consists of the optimal mix of skills, expertise, and diversity so that the Board is capable of effectively overseeing the execution of our business and meeting the Company’s evolving needs, with diversity reflecting gender, age, race, ethnicity, sexual orientation, background, professional experience and perspectives. The Nominating and Corporate Governance Committee considers the value of diversity on the Board in evaluating director candidates. Accordingly, the Nominating and Corporate Governance Committee’s evaluation of director nominees includes consideration of their ability to contribute to the diversity of personal and professional experiences, opinions, perspectives and backgrounds on the Board.</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presently constituted, the Board represents a deliberate mix of members who have a deep understanding of our business as well as members who have different skill sets and points of view. The matrix below summarizes the self-identified gender and demographic background statistics for our Board. Each of the categories listed in the matrix below has the meaning given to it in Nasdaq Listing Rule 5605(f).</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5</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3351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335153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Board Diversity Matrix (As of April 11, 2023)</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32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780" w:type="dxa"/>
            <w:vAlign w:val="bottom"/>
            <w:tcBorders>
              <w:top w:val="single" w:sz="8" w:color="auto"/>
              <w:bottom w:val="single" w:sz="8" w:color="auto"/>
            </w:tcBorders>
          </w:tcPr>
          <w:p>
            <w:pPr>
              <w:spacing w:after="0"/>
              <w:rPr>
                <w:sz w:val="22"/>
                <w:szCs w:val="22"/>
                <w:color w:val="auto"/>
              </w:rPr>
            </w:pPr>
          </w:p>
        </w:tc>
        <w:tc>
          <w:tcPr>
            <w:tcW w:w="3720" w:type="dxa"/>
            <w:vAlign w:val="bottom"/>
            <w:tcBorders>
              <w:top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color w:val="auto"/>
              </w:rPr>
              <w:t>6 (5 after Annual Meeting)</w:t>
            </w:r>
          </w:p>
        </w:tc>
        <w:tc>
          <w:tcPr>
            <w:tcW w:w="21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280" w:type="dxa"/>
            <w:vAlign w:val="bottom"/>
            <w:tcBorders>
              <w:right w:val="single" w:sz="8" w:color="auto"/>
            </w:tcBorders>
            <w:shd w:val="clear" w:color="auto" w:fill="4DC1E4"/>
          </w:tcPr>
          <w:p>
            <w:pPr>
              <w:spacing w:after="0"/>
              <w:rPr>
                <w:sz w:val="16"/>
                <w:szCs w:val="16"/>
                <w:color w:val="auto"/>
              </w:rPr>
            </w:pPr>
          </w:p>
        </w:tc>
        <w:tc>
          <w:tcPr>
            <w:tcW w:w="1780" w:type="dxa"/>
            <w:vAlign w:val="bottom"/>
            <w:tcBorders>
              <w:right w:val="single" w:sz="8" w:color="auto"/>
            </w:tcBorders>
            <w:shd w:val="clear" w:color="auto" w:fill="4DC1E4"/>
          </w:tcPr>
          <w:p>
            <w:pPr>
              <w:spacing w:after="0"/>
              <w:rPr>
                <w:sz w:val="16"/>
                <w:szCs w:val="16"/>
                <w:color w:val="auto"/>
              </w:rPr>
            </w:pPr>
          </w:p>
        </w:tc>
        <w:tc>
          <w:tcPr>
            <w:tcW w:w="1900" w:type="dxa"/>
            <w:vAlign w:val="bottom"/>
            <w:tcBorders>
              <w:right w:val="single" w:sz="8" w:color="auto"/>
            </w:tcBorders>
            <w:shd w:val="clear" w:color="auto" w:fill="4DC1E4"/>
          </w:tcPr>
          <w:p>
            <w:pPr>
              <w:spacing w:after="0"/>
              <w:rPr>
                <w:sz w:val="16"/>
                <w:szCs w:val="16"/>
                <w:color w:val="auto"/>
              </w:rPr>
            </w:pPr>
          </w:p>
        </w:tc>
        <w:tc>
          <w:tcPr>
            <w:tcW w:w="1820" w:type="dxa"/>
            <w:vAlign w:val="bottom"/>
            <w:tcBorders>
              <w:right w:val="single" w:sz="8" w:color="auto"/>
            </w:tcBorders>
            <w:shd w:val="clear" w:color="auto" w:fill="4DC1E4"/>
          </w:tcPr>
          <w:p>
            <w:pPr>
              <w:spacing w:after="0"/>
              <w:rPr>
                <w:sz w:val="16"/>
                <w:szCs w:val="16"/>
                <w:color w:val="auto"/>
              </w:rPr>
            </w:pPr>
          </w:p>
        </w:tc>
        <w:tc>
          <w:tcPr>
            <w:tcW w:w="2120" w:type="dxa"/>
            <w:vAlign w:val="bottom"/>
            <w:shd w:val="clear" w:color="auto" w:fill="4DC1E4"/>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FFFFFF"/>
                <w:w w:val="99"/>
              </w:rPr>
              <w:t>Did Not Disclose</w:t>
            </w:r>
          </w:p>
        </w:tc>
        <w:tc>
          <w:tcPr>
            <w:tcW w:w="0" w:type="dxa"/>
            <w:vAlign w:val="bottom"/>
          </w:tcPr>
          <w:p>
            <w:pPr>
              <w:spacing w:after="0"/>
              <w:rPr>
                <w:sz w:val="1"/>
                <w:szCs w:val="1"/>
                <w:color w:val="auto"/>
              </w:rPr>
            </w:pPr>
          </w:p>
        </w:tc>
      </w:tr>
      <w:tr>
        <w:trPr>
          <w:trHeight w:val="295"/>
        </w:trPr>
        <w:tc>
          <w:tcPr>
            <w:tcW w:w="3280" w:type="dxa"/>
            <w:vAlign w:val="bottom"/>
            <w:tcBorders>
              <w:bottom w:val="single" w:sz="8" w:color="4DC1E4"/>
              <w:right w:val="single" w:sz="8" w:color="auto"/>
            </w:tcBorders>
            <w:shd w:val="clear" w:color="auto" w:fill="4DC1E4"/>
          </w:tcPr>
          <w:p>
            <w:pPr>
              <w:spacing w:after="0"/>
              <w:rPr>
                <w:sz w:val="24"/>
                <w:szCs w:val="24"/>
                <w:color w:val="auto"/>
              </w:rPr>
            </w:pPr>
          </w:p>
        </w:tc>
        <w:tc>
          <w:tcPr>
            <w:tcW w:w="1780" w:type="dxa"/>
            <w:vAlign w:val="bottom"/>
            <w:tcBorders>
              <w:bottom w:val="single" w:sz="8" w:color="4DC1E4"/>
              <w:right w:val="single" w:sz="8" w:color="auto"/>
            </w:tcBorders>
            <w:shd w:val="clear" w:color="auto" w:fill="4DC1E4"/>
          </w:tcPr>
          <w:p>
            <w:pPr>
              <w:ind w:left="680"/>
              <w:spacing w:after="0"/>
              <w:rPr>
                <w:sz w:val="20"/>
                <w:szCs w:val="20"/>
                <w:color w:val="auto"/>
              </w:rPr>
            </w:pPr>
            <w:r>
              <w:rPr>
                <w:rFonts w:ascii="Times New Roman" w:cs="Times New Roman" w:eastAsia="Times New Roman" w:hAnsi="Times New Roman"/>
                <w:sz w:val="18"/>
                <w:szCs w:val="18"/>
                <w:i w:val="1"/>
                <w:iCs w:val="1"/>
                <w:color w:val="FFFFFF"/>
              </w:rPr>
              <w:t>Female</w:t>
            </w:r>
          </w:p>
        </w:tc>
        <w:tc>
          <w:tcPr>
            <w:tcW w:w="1900" w:type="dxa"/>
            <w:vAlign w:val="bottom"/>
            <w:tcBorders>
              <w:bottom w:val="single" w:sz="8" w:color="4DC1E4"/>
              <w:right w:val="single" w:sz="8" w:color="auto"/>
            </w:tcBorders>
            <w:shd w:val="clear" w:color="auto" w:fill="4DC1E4"/>
          </w:tcPr>
          <w:p>
            <w:pPr>
              <w:ind w:left="820"/>
              <w:spacing w:after="0"/>
              <w:rPr>
                <w:sz w:val="20"/>
                <w:szCs w:val="20"/>
                <w:color w:val="auto"/>
              </w:rPr>
            </w:pPr>
            <w:r>
              <w:rPr>
                <w:rFonts w:ascii="Times New Roman" w:cs="Times New Roman" w:eastAsia="Times New Roman" w:hAnsi="Times New Roman"/>
                <w:sz w:val="18"/>
                <w:szCs w:val="18"/>
                <w:i w:val="1"/>
                <w:iCs w:val="1"/>
                <w:color w:val="FFFFFF"/>
              </w:rPr>
              <w:t>Male</w:t>
            </w:r>
          </w:p>
        </w:tc>
        <w:tc>
          <w:tcPr>
            <w:tcW w:w="182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i w:val="1"/>
                <w:iCs w:val="1"/>
                <w:color w:val="FFFFFF"/>
                <w:w w:val="98"/>
              </w:rPr>
              <w:t>Non-Binary</w:t>
            </w:r>
          </w:p>
        </w:tc>
        <w:tc>
          <w:tcPr>
            <w:tcW w:w="21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i w:val="1"/>
                <w:iCs w:val="1"/>
                <w:color w:val="FFFFFF"/>
                <w:w w:val="99"/>
              </w:rPr>
              <w:t>Gender</w:t>
            </w:r>
          </w:p>
        </w:tc>
        <w:tc>
          <w:tcPr>
            <w:tcW w:w="0" w:type="dxa"/>
            <w:vAlign w:val="bottom"/>
          </w:tcPr>
          <w:p>
            <w:pPr>
              <w:spacing w:after="0"/>
              <w:rPr>
                <w:sz w:val="1"/>
                <w:szCs w:val="1"/>
                <w:color w:val="auto"/>
              </w:rPr>
            </w:pPr>
          </w:p>
        </w:tc>
      </w:tr>
      <w:tr>
        <w:trPr>
          <w:trHeight w:val="257"/>
        </w:trPr>
        <w:tc>
          <w:tcPr>
            <w:tcW w:w="3280" w:type="dxa"/>
            <w:vAlign w:val="bottom"/>
            <w:tcBorders>
              <w:top w:val="single" w:sz="8" w:color="auto"/>
              <w:bottom w:val="single" w:sz="8" w:color="auto"/>
              <w:right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i w:val="1"/>
                <w:iCs w:val="1"/>
                <w:color w:val="FFFFFF"/>
              </w:rPr>
              <w:t>Part I: Gender Identity</w:t>
            </w:r>
          </w:p>
        </w:tc>
        <w:tc>
          <w:tcPr>
            <w:tcW w:w="1780" w:type="dxa"/>
            <w:vAlign w:val="bottom"/>
            <w:tcBorders>
              <w:top w:val="single" w:sz="8" w:color="auto"/>
              <w:bottom w:val="single" w:sz="8" w:color="auto"/>
              <w:right w:val="single" w:sz="8" w:color="4DC1E4"/>
            </w:tcBorders>
            <w:shd w:val="clear" w:color="auto" w:fill="4DC1E4"/>
          </w:tcPr>
          <w:p>
            <w:pPr>
              <w:spacing w:after="0"/>
              <w:rPr>
                <w:sz w:val="22"/>
                <w:szCs w:val="22"/>
                <w:color w:val="auto"/>
              </w:rPr>
            </w:pPr>
          </w:p>
        </w:tc>
        <w:tc>
          <w:tcPr>
            <w:tcW w:w="1900" w:type="dxa"/>
            <w:vAlign w:val="bottom"/>
            <w:tcBorders>
              <w:top w:val="single" w:sz="8" w:color="auto"/>
              <w:bottom w:val="single" w:sz="8" w:color="auto"/>
              <w:right w:val="single" w:sz="8" w:color="4DC1E4"/>
            </w:tcBorders>
            <w:shd w:val="clear" w:color="auto" w:fill="4DC1E4"/>
          </w:tcPr>
          <w:p>
            <w:pPr>
              <w:spacing w:after="0"/>
              <w:rPr>
                <w:sz w:val="22"/>
                <w:szCs w:val="22"/>
                <w:color w:val="auto"/>
              </w:rPr>
            </w:pPr>
          </w:p>
        </w:tc>
        <w:tc>
          <w:tcPr>
            <w:tcW w:w="1820" w:type="dxa"/>
            <w:vAlign w:val="bottom"/>
            <w:tcBorders>
              <w:top w:val="single" w:sz="8" w:color="auto"/>
              <w:bottom w:val="single" w:sz="8" w:color="auto"/>
              <w:right w:val="single" w:sz="8" w:color="4DC1E4"/>
            </w:tcBorders>
            <w:shd w:val="clear" w:color="auto" w:fill="4DC1E4"/>
          </w:tcPr>
          <w:p>
            <w:pPr>
              <w:spacing w:after="0"/>
              <w:rPr>
                <w:sz w:val="22"/>
                <w:szCs w:val="22"/>
                <w:color w:val="auto"/>
              </w:rPr>
            </w:pPr>
          </w:p>
        </w:tc>
        <w:tc>
          <w:tcPr>
            <w:tcW w:w="2120" w:type="dxa"/>
            <w:vAlign w:val="bottom"/>
            <w:tcBorders>
              <w:top w:val="single" w:sz="8" w:color="auto"/>
              <w:bottom w:val="single" w:sz="8" w:color="auto"/>
            </w:tcBorders>
            <w:shd w:val="clear" w:color="auto" w:fill="4DC1E4"/>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8"/>
                <w:szCs w:val="18"/>
                <w:i w:val="1"/>
                <w:iCs w:val="1"/>
                <w:color w:val="FFFFFF"/>
              </w:rPr>
              <w:t>Part II: Demographic Background</w:t>
            </w:r>
          </w:p>
        </w:tc>
        <w:tc>
          <w:tcPr>
            <w:tcW w:w="1780" w:type="dxa"/>
            <w:vAlign w:val="bottom"/>
            <w:tcBorders>
              <w:bottom w:val="single" w:sz="8" w:color="auto"/>
              <w:right w:val="single" w:sz="8" w:color="auto"/>
            </w:tcBorders>
            <w:shd w:val="clear" w:color="auto" w:fill="4DC1E4"/>
          </w:tcPr>
          <w:p>
            <w:pPr>
              <w:spacing w:after="0"/>
              <w:rPr>
                <w:sz w:val="22"/>
                <w:szCs w:val="22"/>
                <w:color w:val="auto"/>
              </w:rPr>
            </w:pPr>
          </w:p>
        </w:tc>
        <w:tc>
          <w:tcPr>
            <w:tcW w:w="1900" w:type="dxa"/>
            <w:vAlign w:val="bottom"/>
            <w:tcBorders>
              <w:bottom w:val="single" w:sz="8" w:color="auto"/>
              <w:right w:val="single" w:sz="8" w:color="auto"/>
            </w:tcBorders>
            <w:shd w:val="clear" w:color="auto" w:fill="4DC1E4"/>
          </w:tcPr>
          <w:p>
            <w:pPr>
              <w:spacing w:after="0"/>
              <w:rPr>
                <w:sz w:val="22"/>
                <w:szCs w:val="22"/>
                <w:color w:val="auto"/>
              </w:rPr>
            </w:pPr>
          </w:p>
        </w:tc>
        <w:tc>
          <w:tcPr>
            <w:tcW w:w="1820" w:type="dxa"/>
            <w:vAlign w:val="bottom"/>
            <w:tcBorders>
              <w:bottom w:val="single" w:sz="8" w:color="auto"/>
              <w:right w:val="single" w:sz="8" w:color="auto"/>
            </w:tcBorders>
            <w:shd w:val="clear" w:color="auto" w:fill="4DC1E4"/>
          </w:tcPr>
          <w:p>
            <w:pPr>
              <w:spacing w:after="0"/>
              <w:rPr>
                <w:sz w:val="22"/>
                <w:szCs w:val="22"/>
                <w:color w:val="auto"/>
              </w:rPr>
            </w:pPr>
          </w:p>
        </w:tc>
        <w:tc>
          <w:tcPr>
            <w:tcW w:w="2120" w:type="dxa"/>
            <w:vAlign w:val="bottom"/>
            <w:tcBorders>
              <w:bottom w:val="single" w:sz="8" w:color="auto"/>
            </w:tcBorders>
            <w:shd w:val="clear" w:color="auto" w:fill="4DC1E4"/>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Hispanic or Latinx</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1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20" w:type="dxa"/>
            <w:vAlign w:val="bottom"/>
          </w:tcPr>
          <w:p>
            <w:pPr>
              <w:jc w:val="center"/>
              <w:ind w:right="1390"/>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32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28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Did Not Disclose Demographic</w:t>
            </w:r>
          </w:p>
        </w:tc>
        <w:tc>
          <w:tcPr>
            <w:tcW w:w="1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2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Background</w:t>
            </w:r>
          </w:p>
        </w:tc>
        <w:tc>
          <w:tcPr>
            <w:tcW w:w="1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right w:val="single" w:sz="8" w:color="auto"/>
            </w:tcBorders>
            <w:vMerge w:val="continue"/>
          </w:tcPr>
          <w:p>
            <w:pPr>
              <w:spacing w:after="0"/>
              <w:rPr>
                <w:sz w:val="9"/>
                <w:szCs w:val="9"/>
                <w:color w:val="auto"/>
              </w:rPr>
            </w:pPr>
          </w:p>
        </w:tc>
        <w:tc>
          <w:tcPr>
            <w:tcW w:w="17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20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w:t>
      </w:r>
    </w:p>
    <w:p>
      <w:pPr>
        <w:spacing w:after="0" w:line="14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221" w:lineRule="exact"/>
        <w:rPr>
          <w:sz w:val="20"/>
          <w:szCs w:val="20"/>
          <w:color w:val="auto"/>
        </w:rPr>
      </w:pPr>
    </w:p>
    <w:p>
      <w:pPr>
        <w:jc w:val="both"/>
        <w:ind w:left="1080" w:hanging="532"/>
        <w:spacing w:after="0" w:line="25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Separate Chairperson of the Board and Chief Executive Officer: </w:t>
      </w:r>
      <w:r>
        <w:rPr>
          <w:rFonts w:ascii="Times New Roman" w:cs="Times New Roman" w:eastAsia="Times New Roman" w:hAnsi="Times New Roman"/>
          <w:sz w:val="18"/>
          <w:szCs w:val="18"/>
          <w:color w:val="auto"/>
        </w:rPr>
        <w:t>The offices of Chief Executive Officer (“CEO”) and Chairperson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are separated, which allows our CEO to focus on strategic planning 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w:t>
      </w:r>
    </w:p>
    <w:p>
      <w:pPr>
        <w:spacing w:after="0" w:line="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committees consist entirely of independent directors.</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4DC1E4"/>
        </w:rPr>
        <w:t xml:space="preserve">Notice of Annual Meeting of Stockholders </w:t>
      </w:r>
      <w:r>
        <w:rPr>
          <w:rFonts w:ascii="Times New Roman" w:cs="Times New Roman" w:eastAsia="Times New Roman" w:hAnsi="Times New Roman"/>
          <w:sz w:val="17"/>
          <w:szCs w:val="17"/>
          <w:b w:val="1"/>
          <w:bCs w:val="1"/>
          <w:color w:val="000000"/>
        </w:rPr>
        <w:t>and 2023 Proxy Statement | 6</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080" w:right="20" w:hanging="532"/>
        <w:spacing w:after="0" w:line="263"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 executive session on a regular basis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matters relating to the Company and the Board, without members of the management team present.</w:t>
      </w:r>
    </w:p>
    <w:p>
      <w:pPr>
        <w:ind w:left="1080" w:hanging="532"/>
        <w:spacing w:after="0" w:line="25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Conduct, which is available on our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2B7CF4"/>
        </w:rPr>
        <w:t xml:space="preserve"> </w:t>
      </w:r>
      <w:r>
        <w:rPr>
          <w:rFonts w:ascii="Times New Roman" w:cs="Times New Roman" w:eastAsia="Times New Roman" w:hAnsi="Times New Roman"/>
          <w:sz w:val="18"/>
          <w:szCs w:val="18"/>
          <w:color w:val="000000"/>
        </w:rPr>
        <w:t>under “Investors – Corporate Governance.”</w:t>
      </w:r>
    </w:p>
    <w:p>
      <w:pPr>
        <w:jc w:val="both"/>
        <w:ind w:left="1080" w:right="20" w:hanging="532"/>
        <w:spacing w:after="0" w:line="25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 support the development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with a competitive compensation and benefits package, health and wellness programs, internal advancement, and individualized development opportunities.</w:t>
      </w:r>
    </w:p>
    <w:p>
      <w:pPr>
        <w:spacing w:after="0" w:line="1" w:lineRule="exact"/>
        <w:rPr>
          <w:rFonts w:ascii="Times New Roman" w:cs="Times New Roman" w:eastAsia="Times New Roman" w:hAnsi="Times New Roman"/>
          <w:sz w:val="18"/>
          <w:szCs w:val="18"/>
          <w:color w:val="auto"/>
        </w:rPr>
      </w:pPr>
    </w:p>
    <w:p>
      <w:pPr>
        <w:jc w:val="both"/>
        <w:ind w:left="1080" w:hanging="532"/>
        <w:spacing w:after="0" w:line="253"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Diversity and Inclusion</w:t>
      </w:r>
      <w:r>
        <w:rPr>
          <w:rFonts w:ascii="Times New Roman" w:cs="Times New Roman" w:eastAsia="Times New Roman" w:hAnsi="Times New Roman"/>
          <w:sz w:val="18"/>
          <w:szCs w:val="18"/>
          <w:color w:val="auto"/>
        </w:rPr>
        <w:t>: We strive to create a workplace culture that supports a diverse, multi-cultural workforce, treats individuals fairly,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provides an inclusive environment where all employees are empowered to contribute and succeed. As of April 1, 2023, women comprise 63% of our employee workforce and 58% of our employee leaders at the level of director or above. We do not require our employees to self-identify as racial and ethnic minorities and therefore do not maintain metrics on this information.</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4DC1E4"/>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 PRESENT TERMS EXPIRING AT THE ANNUAL MEETING AND PROPOSED TERMS TO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858000" cy="754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00" cy="754380"/>
                    </a:xfrm>
                    <a:prstGeom prst="rect">
                      <a:avLst/>
                    </a:prstGeom>
                    <a:noFill/>
                  </pic:spPr>
                </pic:pic>
              </a:graphicData>
            </a:graphic>
          </wp:anchor>
        </w:drawing>
      </w: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4"/>
          <w:szCs w:val="14"/>
          <w:b w:val="1"/>
          <w:bCs w:val="1"/>
          <w:color w:val="FFFFFF"/>
        </w:rPr>
        <w:t>RANK</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4"/>
          <w:szCs w:val="14"/>
          <w:b w:val="1"/>
          <w:bCs w:val="1"/>
          <w:color w:val="FFFFFF"/>
        </w:rPr>
        <w:t>HOMAS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53</w:t>
            </w:r>
          </w:p>
        </w:tc>
        <w:tc>
          <w:tcPr>
            <w:tcW w:w="3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3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2014</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(Chair)</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Spero Therapeutics, Inc.</w:t>
            </w:r>
          </w:p>
        </w:tc>
      </w:tr>
      <w:tr>
        <w:trPr>
          <w:trHeight w:val="257"/>
        </w:trPr>
        <w:tc>
          <w:tcPr>
            <w:tcW w:w="380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r>
    </w:tbl>
    <w:p>
      <w:pPr>
        <w:spacing w:after="0" w:line="16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Frank Thomas </w:t>
      </w:r>
      <w:r>
        <w:rPr>
          <w:rFonts w:ascii="Times New Roman" w:cs="Times New Roman" w:eastAsia="Times New Roman" w:hAnsi="Times New Roman"/>
          <w:sz w:val="18"/>
          <w:szCs w:val="18"/>
          <w:color w:val="auto"/>
        </w:rPr>
        <w:t>has served as a member of the Board since June 2014. Mr. Thomas has been the President and Chief Operating Officer of Orchard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Prior to joining Orchard, Mr. Thomas served as President and Chief Operating Officer of AMAG Pharmaceuticals, Inc. (“AMAG”), a publicly traded,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public biopharmaceutical company, and Esperion Therapeutics, Inc., a publicly traded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Mr. Thomas was a member of the board of directors of the Massachusetts Biotechnology Council from 2007 to 2015. Mr. Thomas holds a B.B.A. from the University of Michigan, Ann Arbor.</w:t>
      </w:r>
    </w:p>
    <w:p>
      <w:pPr>
        <w:spacing w:after="0" w:line="14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Thomas’ qualifications to sit on the Board include his extensive management experience at biopharmaceutical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with financial matters, including senior leadership roles at various biopharmaceutical companies.</w:t>
      </w:r>
    </w:p>
    <w:p>
      <w:pPr>
        <w:spacing w:after="0" w:line="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4DC1E4"/>
        </w:rPr>
        <w:t xml:space="preserve">Notice of Annual Meeting of Stockholders </w:t>
      </w:r>
      <w:r>
        <w:rPr>
          <w:rFonts w:ascii="Times New Roman" w:cs="Times New Roman" w:eastAsia="Times New Roman" w:hAnsi="Times New Roman"/>
          <w:sz w:val="17"/>
          <w:szCs w:val="17"/>
          <w:b w:val="1"/>
          <w:bCs w:val="1"/>
          <w:color w:val="000000"/>
        </w:rPr>
        <w:t>and 2023 Proxy Statement | 7</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246380</wp:posOffset>
            </wp:positionV>
            <wp:extent cx="6858000" cy="737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0" cy="73723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4"/>
          <w:szCs w:val="14"/>
          <w:b w:val="1"/>
          <w:bCs w:val="1"/>
          <w:color w:val="FFFFFF"/>
        </w:rPr>
        <w:t>AROLE</w:t>
      </w:r>
      <w:r>
        <w:rPr>
          <w:rFonts w:ascii="Times New Roman" w:cs="Times New Roman" w:eastAsia="Times New Roman" w:hAnsi="Times New Roman"/>
          <w:sz w:val="18"/>
          <w:szCs w:val="18"/>
          <w:b w:val="1"/>
          <w:bCs w:val="1"/>
          <w:color w:val="FFFFFF"/>
        </w:rPr>
        <w:t xml:space="preserve"> S. B</w:t>
      </w:r>
      <w:r>
        <w:rPr>
          <w:rFonts w:ascii="Times New Roman" w:cs="Times New Roman" w:eastAsia="Times New Roman" w:hAnsi="Times New Roman"/>
          <w:sz w:val="14"/>
          <w:szCs w:val="14"/>
          <w:b w:val="1"/>
          <w:bCs w:val="1"/>
          <w:color w:val="FFFFFF"/>
        </w:rPr>
        <w:t>EN</w:t>
      </w:r>
      <w:r>
        <w:rPr>
          <w:rFonts w:ascii="Times New Roman" w:cs="Times New Roman" w:eastAsia="Times New Roman" w:hAnsi="Times New Roman"/>
          <w:sz w:val="18"/>
          <w:szCs w:val="18"/>
          <w:b w:val="1"/>
          <w:bCs w:val="1"/>
          <w:color w:val="FFFFFF"/>
        </w:rPr>
        <w:t>-M</w:t>
      </w:r>
      <w:r>
        <w:rPr>
          <w:rFonts w:ascii="Times New Roman" w:cs="Times New Roman" w:eastAsia="Times New Roman" w:hAnsi="Times New Roman"/>
          <w:sz w:val="14"/>
          <w:szCs w:val="14"/>
          <w:b w:val="1"/>
          <w:bCs w:val="1"/>
          <w:color w:val="FFFFFF"/>
        </w:rPr>
        <w:t>AIMON</w:t>
      </w:r>
      <w:r>
        <w:rPr>
          <w:rFonts w:ascii="Times New Roman" w:cs="Times New Roman" w:eastAsia="Times New Roman" w:hAnsi="Times New Roman"/>
          <w:sz w:val="18"/>
          <w:szCs w:val="18"/>
          <w:b w:val="1"/>
          <w:bCs w:val="1"/>
          <w:color w:val="FFFFFF"/>
        </w:rPr>
        <w:t>, M.D.</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64</w:t>
            </w:r>
          </w:p>
        </w:tc>
        <w:tc>
          <w:tcPr>
            <w:tcW w:w="3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3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w:t>
            </w:r>
          </w:p>
        </w:tc>
      </w:tr>
      <w:tr>
        <w:trPr>
          <w:trHeight w:val="229"/>
        </w:trPr>
        <w:tc>
          <w:tcPr>
            <w:tcW w:w="380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r>
    </w:tbl>
    <w:p>
      <w:pPr>
        <w:spacing w:after="0" w:line="167" w:lineRule="exact"/>
        <w:rPr>
          <w:sz w:val="20"/>
          <w:szCs w:val="20"/>
          <w:color w:val="auto"/>
        </w:rPr>
      </w:pPr>
    </w:p>
    <w:p>
      <w:pPr>
        <w:jc w:val="both"/>
        <w:ind w:left="120"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Carole S. Ben-Maimon, M.D. </w:t>
      </w:r>
      <w:r>
        <w:rPr>
          <w:rFonts w:ascii="Times New Roman" w:cs="Times New Roman" w:eastAsia="Times New Roman" w:hAnsi="Times New Roman"/>
          <w:sz w:val="18"/>
          <w:szCs w:val="18"/>
          <w:color w:val="auto"/>
        </w:rPr>
        <w:t>has served as a member of the Board since May 2020. Dr. Ben-Maimon has served as the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Company since May 2020. Dr. Ben-Maimon served as the President, Chief Executive Officer of Chondrial Therapeutics, Inc. (“Chondrial”), with which we completed a business combination with in 2020, and as a member of the Chondrial Board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153"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Dr. Ben-Maimon’s qualifications to sit on the Board include her knowledge of Larimar’s business, as well as her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and biopharmaceutical industry experience, including senior leadership roles at publicly-traded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858000"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0" cy="737235"/>
                    </a:xfrm>
                    <a:prstGeom prst="rect">
                      <a:avLst/>
                    </a:prstGeom>
                    <a:noFill/>
                  </pic:spPr>
                </pic:pic>
              </a:graphicData>
            </a:graphic>
          </wp:anchor>
        </w:drawing>
      </w:r>
    </w:p>
    <w:p>
      <w:pPr>
        <w:spacing w:after="0" w:line="2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4"/>
          <w:szCs w:val="14"/>
          <w:b w:val="1"/>
          <w:bCs w:val="1"/>
          <w:color w:val="FFFFFF"/>
        </w:rPr>
        <w:t>OSEPH</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4"/>
          <w:szCs w:val="14"/>
          <w:b w:val="1"/>
          <w:bCs w:val="1"/>
          <w:color w:val="FFFFFF"/>
        </w:rPr>
        <w:t>RUITT</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58</w:t>
            </w:r>
          </w:p>
        </w:tc>
        <w:tc>
          <w:tcPr>
            <w:tcW w:w="3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3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Compensation (Chair)</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3800" w:type="dxa"/>
            <w:vAlign w:val="bottom"/>
            <w:tcBorders>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r>
    </w:tbl>
    <w:p>
      <w:pPr>
        <w:spacing w:after="0" w:line="153"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Joseph Truitt </w:t>
      </w:r>
      <w:r>
        <w:rPr>
          <w:rFonts w:ascii="Times New Roman" w:cs="Times New Roman" w:eastAsia="Times New Roman" w:hAnsi="Times New Roman"/>
          <w:sz w:val="18"/>
          <w:szCs w:val="18"/>
          <w:color w:val="auto"/>
        </w:rPr>
        <w:t>has served as a member of the Board since May 2020. Mr. Truitt currently serves as the Chief Executive Officer of iECURE, Inc., a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editing company, and is on the Board of CodeBio, a gene therapy development company.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8</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4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Truitt’s qualifications to sit on the Board include extensive management experience, his prior experience as a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director and his deep knowledge of the biopharmaceutical business.</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858000" cy="891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0" cy="891540"/>
                    </a:xfrm>
                    <a:prstGeom prst="rect">
                      <a:avLst/>
                    </a:prstGeom>
                    <a:noFill/>
                  </pic:spPr>
                </pic:pic>
              </a:graphicData>
            </a:graphic>
          </wp:anchor>
        </w:drawing>
      </w: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4"/>
          <w:szCs w:val="14"/>
          <w:b w:val="1"/>
          <w:bCs w:val="1"/>
          <w:color w:val="FFFFFF"/>
        </w:rPr>
        <w:t>ONATHAN</w:t>
      </w:r>
      <w:r>
        <w:rPr>
          <w:rFonts w:ascii="Times New Roman" w:cs="Times New Roman" w:eastAsia="Times New Roman" w:hAnsi="Times New Roman"/>
          <w:sz w:val="18"/>
          <w:szCs w:val="18"/>
          <w:b w:val="1"/>
          <w:bCs w:val="1"/>
          <w:color w:val="FFFFFF"/>
        </w:rPr>
        <w:t xml:space="preserve"> L</w:t>
      </w:r>
      <w:r>
        <w:rPr>
          <w:rFonts w:ascii="Times New Roman" w:cs="Times New Roman" w:eastAsia="Times New Roman" w:hAnsi="Times New Roman"/>
          <w:sz w:val="14"/>
          <w:szCs w:val="14"/>
          <w:b w:val="1"/>
          <w:bCs w:val="1"/>
          <w:color w:val="FFFFFF"/>
        </w:rPr>
        <w:t>EFF</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54</w:t>
            </w:r>
          </w:p>
        </w:tc>
        <w:tc>
          <w:tcPr>
            <w:tcW w:w="3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20"/>
        </w:trPr>
        <w:tc>
          <w:tcPr>
            <w:tcW w:w="3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Nominating and Corporate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ARS Pharmaceuticals, Inc.</w:t>
            </w:r>
          </w:p>
        </w:tc>
      </w:tr>
      <w:tr>
        <w:trPr>
          <w:trHeight w:val="234"/>
        </w:trPr>
        <w:tc>
          <w:tcPr>
            <w:tcW w:w="380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Governance (Chair)</w:t>
            </w:r>
          </w:p>
        </w:tc>
        <w:tc>
          <w:tcPr>
            <w:tcW w:w="3440" w:type="dxa"/>
            <w:vAlign w:val="bottom"/>
          </w:tcPr>
          <w:p>
            <w:pPr>
              <w:spacing w:after="0"/>
              <w:rPr>
                <w:sz w:val="20"/>
                <w:szCs w:val="20"/>
                <w:color w:val="auto"/>
              </w:rPr>
            </w:pPr>
          </w:p>
        </w:tc>
      </w:tr>
      <w:tr>
        <w:trPr>
          <w:trHeight w:val="257"/>
        </w:trPr>
        <w:tc>
          <w:tcPr>
            <w:tcW w:w="380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r>
    </w:tbl>
    <w:p>
      <w:pPr>
        <w:spacing w:after="0" w:line="153"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Leff </w:t>
      </w:r>
      <w:r>
        <w:rPr>
          <w:rFonts w:ascii="Times New Roman" w:cs="Times New Roman" w:eastAsia="Times New Roman" w:hAnsi="Times New Roman"/>
          <w:sz w:val="18"/>
          <w:szCs w:val="18"/>
          <w:color w:val="auto"/>
        </w:rPr>
        <w:t>has served as a member of the Board since May 2020. Mr. Leff served as a member of the Chondrial Board from December 2016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He currently serves on the board of directors of ARS Pharmaceuticals, Inc., a publicly traded biopharmaceutical company. Mr. Leff also previously served on the boards of several other publicly-traded biotechnology and pharmaceutical companies, including Proteon Therapeutics, Inc. from 2017 to 2019, AveXis, Inc. from 2014 to 2017 and Nivalis Therapeutics, Inc. from 2014 to 2016.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w:t>
      </w:r>
    </w:p>
    <w:p>
      <w:pPr>
        <w:spacing w:after="0" w:line="160"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Leff’s qualifications to sit on the Board include his extensive leadership, executive, managerial and business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life sciences companies, including experience in the investment, development and sale of multiple companies in the life sciences sector.</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 TERMS EXPIRING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858000" cy="754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00" cy="754380"/>
                    </a:xfrm>
                    <a:prstGeom prst="rect">
                      <a:avLst/>
                    </a:prstGeom>
                    <a:noFill/>
                  </pic:spPr>
                </pic:pic>
              </a:graphicData>
            </a:graphic>
          </wp:anchor>
        </w:drawing>
      </w: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4"/>
          <w:szCs w:val="14"/>
          <w:b w:val="1"/>
          <w:bCs w:val="1"/>
          <w:color w:val="FFFFFF"/>
        </w:rPr>
        <w:t>HOMAS</w:t>
      </w:r>
      <w:r>
        <w:rPr>
          <w:rFonts w:ascii="Times New Roman" w:cs="Times New Roman" w:eastAsia="Times New Roman" w:hAnsi="Times New Roman"/>
          <w:sz w:val="18"/>
          <w:szCs w:val="18"/>
          <w:b w:val="1"/>
          <w:bCs w:val="1"/>
          <w:color w:val="FFFFFF"/>
        </w:rPr>
        <w:t xml:space="preserve"> E. H</w:t>
      </w:r>
      <w:r>
        <w:rPr>
          <w:rFonts w:ascii="Times New Roman" w:cs="Times New Roman" w:eastAsia="Times New Roman" w:hAnsi="Times New Roman"/>
          <w:sz w:val="14"/>
          <w:szCs w:val="14"/>
          <w:b w:val="1"/>
          <w:bCs w:val="1"/>
          <w:color w:val="FFFFFF"/>
        </w:rPr>
        <w:t>AMILTON</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55</w:t>
            </w:r>
          </w:p>
        </w:tc>
        <w:tc>
          <w:tcPr>
            <w:tcW w:w="3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Directorships</w:t>
            </w:r>
            <w:r>
              <w:rPr>
                <w:rFonts w:ascii="Times New Roman" w:cs="Times New Roman" w:eastAsia="Times New Roman" w:hAnsi="Times New Roman"/>
                <w:sz w:val="18"/>
                <w:szCs w:val="18"/>
                <w:color w:val="auto"/>
              </w:rPr>
              <w:t>:</w:t>
            </w:r>
          </w:p>
        </w:tc>
      </w:tr>
      <w:tr>
        <w:trPr>
          <w:trHeight w:val="238"/>
        </w:trPr>
        <w:tc>
          <w:tcPr>
            <w:tcW w:w="38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2020</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Annaly Capital Management Inc.</w:t>
            </w:r>
          </w:p>
        </w:tc>
      </w:tr>
      <w:tr>
        <w:trPr>
          <w:trHeight w:val="257"/>
        </w:trPr>
        <w:tc>
          <w:tcPr>
            <w:tcW w:w="3800" w:type="dxa"/>
            <w:vAlign w:val="bottom"/>
            <w:tcBorders>
              <w:bottom w:val="single" w:sz="8" w:color="auto"/>
              <w:right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r>
    </w:tbl>
    <w:p>
      <w:pPr>
        <w:spacing w:after="0" w:line="153"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Thomas E. Hamilton </w:t>
      </w:r>
      <w:r>
        <w:rPr>
          <w:rFonts w:ascii="Times New Roman" w:cs="Times New Roman" w:eastAsia="Times New Roman" w:hAnsi="Times New Roman"/>
          <w:sz w:val="18"/>
          <w:szCs w:val="18"/>
          <w:color w:val="auto"/>
        </w:rPr>
        <w:t>has served as a member of the Board since May 2020. Mr. Hamilton served as the Chairman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Chondrial (the “Chondrial Board”)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4DC1E4"/>
        </w:rPr>
        <w:t xml:space="preserve">Notice of Annual Meeting of Stockholders </w:t>
      </w:r>
      <w:r>
        <w:rPr>
          <w:rFonts w:ascii="Times New Roman" w:cs="Times New Roman" w:eastAsia="Times New Roman" w:hAnsi="Times New Roman"/>
          <w:sz w:val="17"/>
          <w:szCs w:val="17"/>
          <w:b w:val="1"/>
          <w:bCs w:val="1"/>
          <w:color w:val="000000"/>
        </w:rPr>
        <w:t>and 2023 Proxy Statement | 9</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5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w:t>
      </w:r>
    </w:p>
    <w:p>
      <w:pPr>
        <w:spacing w:after="0" w:line="145"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Skills &amp; Qualifications</w:t>
      </w:r>
      <w:r>
        <w:rPr>
          <w:rFonts w:ascii="Times New Roman" w:cs="Times New Roman" w:eastAsia="Times New Roman" w:hAnsi="Times New Roman"/>
          <w:sz w:val="18"/>
          <w:szCs w:val="18"/>
          <w:color w:val="auto"/>
        </w:rPr>
        <w:t>: Mr. Hamilton’s qualifications to sit on the Board include his extensive experience in the financial industry and leadership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a cure for Friedreich’s ataxia, including leadership roles in organizations focused on the development of a cure for Friedreich’s ataxia.</w:t>
      </w:r>
    </w:p>
    <w:p>
      <w:pPr>
        <w:spacing w:after="0" w:line="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10</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CORPORATE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4DC1E4"/>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4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4DC1E4"/>
        </w:rPr>
        <w:t xml:space="preserve">Our governance practices are documented in our Ninth Amended and Restated Certificate of Incorporation, as amended (the “Certificate”), our Bylaws, our Code of Conduct, our Corporate Governance Guidelines and the charters of the committees of the Board (the “Committees”). Aspects of our governance documents are summarized below. You can find our charters for each Committee and our Code of Conduct on our website at </w:t>
      </w:r>
      <w:r>
        <w:rPr>
          <w:rFonts w:ascii="Times New Roman" w:cs="Times New Roman" w:eastAsia="Times New Roman" w:hAnsi="Times New Roman"/>
          <w:sz w:val="18"/>
          <w:szCs w:val="18"/>
          <w:u w:val="single" w:color="auto"/>
          <w:color w:val="4DC1E4"/>
        </w:rPr>
        <w:t>www.larimartx.com</w:t>
      </w:r>
      <w:r>
        <w:rPr>
          <w:rFonts w:ascii="Times New Roman" w:cs="Times New Roman" w:eastAsia="Times New Roman" w:hAnsi="Times New Roman"/>
          <w:sz w:val="18"/>
          <w:szCs w:val="18"/>
          <w:color w:val="4DC1E4"/>
        </w:rPr>
        <w:t xml:space="preserve"> under “Investors — Corporate Governance.”</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Our Board has determined that each of our current directors, with the exception of Dr. Ben-Maimon, and each former director who served as a member of the Board during the last fiscal year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3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11</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0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8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t>
      </w:r>
      <w:r>
        <w:rPr>
          <w:rFonts w:ascii="Times New Roman" w:cs="Times New Roman" w:eastAsia="Times New Roman" w:hAnsi="Times New Roman"/>
          <w:sz w:val="18"/>
          <w:szCs w:val="18"/>
          <w:u w:val="single" w:color="auto"/>
          <w:color w:val="1E5EFF"/>
        </w:rPr>
        <w:t>www.larimartx.com</w:t>
      </w:r>
      <w:r>
        <w:rPr>
          <w:rFonts w:ascii="Times New Roman" w:cs="Times New Roman" w:eastAsia="Times New Roman" w:hAnsi="Times New Roman"/>
          <w:sz w:val="18"/>
          <w:szCs w:val="18"/>
          <w:color w:val="auto"/>
        </w:rPr>
        <w:t xml:space="preserve"> under “Investors – Corporate Governance.”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20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227" w:lineRule="exact"/>
        <w:rPr>
          <w:sz w:val="20"/>
          <w:szCs w:val="20"/>
          <w:color w:val="auto"/>
        </w:rPr>
      </w:pPr>
    </w:p>
    <w:tbl>
      <w:tblPr>
        <w:tblLayout w:type="fixed"/>
        <w:tblInd w:w="130" w:type="dxa"/>
        <w:tblCellMar>
          <w:top w:w="0" w:type="dxa"/>
          <w:left w:w="0" w:type="dxa"/>
          <w:bottom w:w="0" w:type="dxa"/>
          <w:right w:w="0" w:type="dxa"/>
        </w:tblCellMar>
      </w:tblPr>
      <w:tr>
        <w:trPr>
          <w:trHeight w:val="284"/>
        </w:trPr>
        <w:tc>
          <w:tcPr>
            <w:tcW w:w="6520" w:type="dxa"/>
            <w:vAlign w:val="bottom"/>
            <w:tcBorders>
              <w:top w:val="single" w:sz="8" w:color="auto"/>
              <w:left w:val="single" w:sz="8" w:color="auto"/>
            </w:tcBorders>
            <w:shd w:val="clear" w:color="auto" w:fill="4DC1E4"/>
          </w:tcPr>
          <w:p>
            <w:pPr>
              <w:ind w:left="154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4"/>
                <w:szCs w:val="14"/>
                <w:b w:val="1"/>
                <w:bCs w:val="1"/>
                <w:color w:val="FFFFFF"/>
              </w:rPr>
              <w:t>IRECTOR</w:t>
            </w:r>
          </w:p>
        </w:tc>
        <w:tc>
          <w:tcPr>
            <w:tcW w:w="1760" w:type="dxa"/>
            <w:vAlign w:val="bottom"/>
            <w:tcBorders>
              <w:top w:val="single" w:sz="8" w:color="auto"/>
            </w:tcBorders>
            <w:shd w:val="clear" w:color="auto" w:fill="4DC1E4"/>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shd w:val="clear" w:color="auto" w:fill="4DC1E4"/>
              </w:rPr>
              <w:t>I</w:t>
            </w:r>
            <w:r>
              <w:rPr>
                <w:rFonts w:ascii="Times New Roman" w:cs="Times New Roman" w:eastAsia="Times New Roman" w:hAnsi="Times New Roman"/>
                <w:sz w:val="14"/>
                <w:szCs w:val="14"/>
                <w:b w:val="1"/>
                <w:bCs w:val="1"/>
                <w:color w:val="FFFFFF"/>
                <w:shd w:val="clear" w:color="auto" w:fill="4DC1E4"/>
              </w:rPr>
              <w:t>NDEPENDENCE</w:t>
            </w:r>
          </w:p>
        </w:tc>
        <w:tc>
          <w:tcPr>
            <w:tcW w:w="88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shd w:val="clear" w:color="auto" w:fill="4DC1E4"/>
              </w:rPr>
              <w:t>B</w:t>
            </w:r>
            <w:r>
              <w:rPr>
                <w:rFonts w:ascii="Times New Roman" w:cs="Times New Roman" w:eastAsia="Times New Roman" w:hAnsi="Times New Roman"/>
                <w:sz w:val="14"/>
                <w:szCs w:val="14"/>
                <w:b w:val="1"/>
                <w:bCs w:val="1"/>
                <w:color w:val="FFFFFF"/>
                <w:shd w:val="clear" w:color="auto" w:fill="4DC1E4"/>
              </w:rPr>
              <w:t>OARD</w:t>
            </w:r>
          </w:p>
        </w:tc>
        <w:tc>
          <w:tcPr>
            <w:tcW w:w="1640" w:type="dxa"/>
            <w:vAlign w:val="bottom"/>
            <w:tcBorders>
              <w:top w:val="single" w:sz="8" w:color="auto"/>
              <w:right w:val="single" w:sz="8" w:color="auto"/>
            </w:tcBorders>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shd w:val="clear" w:color="auto" w:fill="4DC1E4"/>
              </w:rPr>
              <w:t>AC   CC  NCGC</w:t>
            </w:r>
          </w:p>
        </w:tc>
      </w:tr>
      <w:tr>
        <w:trPr>
          <w:trHeight w:val="81"/>
        </w:trPr>
        <w:tc>
          <w:tcPr>
            <w:tcW w:w="6520" w:type="dxa"/>
            <w:vAlign w:val="bottom"/>
            <w:tcBorders>
              <w:left w:val="single" w:sz="8" w:color="auto"/>
              <w:bottom w:val="single" w:sz="8" w:color="auto"/>
            </w:tcBorders>
            <w:shd w:val="clear" w:color="auto" w:fill="4DC1E4"/>
          </w:tcPr>
          <w:p>
            <w:pPr>
              <w:spacing w:after="0"/>
              <w:rPr>
                <w:sz w:val="7"/>
                <w:szCs w:val="7"/>
                <w:color w:val="auto"/>
              </w:rPr>
            </w:pPr>
          </w:p>
        </w:tc>
        <w:tc>
          <w:tcPr>
            <w:tcW w:w="1760" w:type="dxa"/>
            <w:vAlign w:val="bottom"/>
            <w:tcBorders>
              <w:bottom w:val="single" w:sz="8" w:color="auto"/>
            </w:tcBorders>
            <w:shd w:val="clear" w:color="auto" w:fill="4DC1E4"/>
          </w:tcPr>
          <w:p>
            <w:pPr>
              <w:spacing w:after="0"/>
              <w:rPr>
                <w:sz w:val="7"/>
                <w:szCs w:val="7"/>
                <w:color w:val="auto"/>
              </w:rPr>
            </w:pPr>
          </w:p>
        </w:tc>
        <w:tc>
          <w:tcPr>
            <w:tcW w:w="880" w:type="dxa"/>
            <w:vAlign w:val="bottom"/>
            <w:tcBorders>
              <w:bottom w:val="single" w:sz="8" w:color="auto"/>
            </w:tcBorders>
            <w:shd w:val="clear" w:color="auto" w:fill="4DC1E4"/>
          </w:tcPr>
          <w:p>
            <w:pPr>
              <w:spacing w:after="0"/>
              <w:rPr>
                <w:sz w:val="7"/>
                <w:szCs w:val="7"/>
                <w:color w:val="auto"/>
              </w:rPr>
            </w:pPr>
          </w:p>
        </w:tc>
        <w:tc>
          <w:tcPr>
            <w:tcW w:w="1640" w:type="dxa"/>
            <w:vAlign w:val="bottom"/>
            <w:tcBorders>
              <w:bottom w:val="single" w:sz="8" w:color="auto"/>
              <w:right w:val="single" w:sz="8" w:color="auto"/>
            </w:tcBorders>
            <w:shd w:val="clear" w:color="auto" w:fill="4DC1E4"/>
          </w:tcPr>
          <w:p>
            <w:pPr>
              <w:spacing w:after="0"/>
              <w:rPr>
                <w:sz w:val="7"/>
                <w:szCs w:val="7"/>
                <w:color w:val="auto"/>
              </w:rPr>
            </w:pPr>
          </w:p>
        </w:tc>
      </w:tr>
      <w:tr>
        <w:trPr>
          <w:trHeight w:val="210"/>
        </w:trPr>
        <w:tc>
          <w:tcPr>
            <w:tcW w:w="65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Peter Barrett, Ph.D.</w:t>
            </w:r>
          </w:p>
        </w:tc>
        <w:tc>
          <w:tcPr>
            <w:tcW w:w="1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2"/>
              </w:rPr>
              <w:t>Yes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MM</w:t>
            </w:r>
          </w:p>
        </w:tc>
      </w:tr>
      <w:tr>
        <w:trPr>
          <w:trHeight w:val="209"/>
        </w:trPr>
        <w:tc>
          <w:tcPr>
            <w:tcW w:w="65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Carole S. Ben-Maimon, M.D.</w:t>
            </w:r>
          </w:p>
        </w:tc>
        <w:tc>
          <w:tcPr>
            <w:tcW w:w="1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No</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65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Thomas E. Hamilton</w:t>
            </w:r>
          </w:p>
        </w:tc>
        <w:tc>
          <w:tcPr>
            <w:tcW w:w="1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2"/>
              </w:rPr>
              <w:t>Yes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w:t>
            </w:r>
          </w:p>
        </w:tc>
      </w:tr>
    </w:tbl>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12</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48"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4340" w:type="dxa"/>
            <w:vAlign w:val="bottom"/>
            <w:tcBorders>
              <w:top w:val="single" w:sz="8" w:color="auto"/>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Jonathan Leff</w:t>
            </w:r>
          </w:p>
        </w:tc>
        <w:tc>
          <w:tcPr>
            <w:tcW w:w="3900" w:type="dxa"/>
            <w:vAlign w:val="bottom"/>
            <w:tcBorders>
              <w:top w:val="single" w:sz="8" w:color="auto"/>
              <w:bottom w:val="single" w:sz="8" w:color="auto"/>
            </w:tcBorders>
          </w:tcPr>
          <w:p>
            <w:pPr>
              <w:ind w:left="310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w:t>
            </w: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    C</w:t>
            </w:r>
          </w:p>
        </w:tc>
      </w:tr>
      <w:tr>
        <w:trPr>
          <w:trHeight w:val="209"/>
        </w:trPr>
        <w:tc>
          <w:tcPr>
            <w:tcW w:w="434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Frank Thomas</w:t>
            </w:r>
          </w:p>
        </w:tc>
        <w:tc>
          <w:tcPr>
            <w:tcW w:w="390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434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Joseph Truitt</w:t>
            </w:r>
          </w:p>
        </w:tc>
        <w:tc>
          <w:tcPr>
            <w:tcW w:w="390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color w:val="auto"/>
              </w:rPr>
              <w:t>Yes</w:t>
            </w: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w:t>
            </w:r>
          </w:p>
        </w:tc>
        <w:tc>
          <w:tcPr>
            <w:tcW w:w="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w:t>
            </w:r>
          </w:p>
        </w:tc>
        <w:tc>
          <w:tcPr>
            <w:tcW w:w="10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w:t>
            </w:r>
          </w:p>
        </w:tc>
      </w:tr>
    </w:tbl>
    <w:p>
      <w:pPr>
        <w:spacing w:after="0" w:line="18" w:lineRule="exact"/>
        <w:rPr>
          <w:sz w:val="20"/>
          <w:szCs w:val="20"/>
          <w:color w:val="auto"/>
        </w:rPr>
      </w:pPr>
    </w:p>
    <w:p>
      <w:pPr>
        <w:sectPr>
          <w:pgSz w:w="11900" w:h="16838" w:orient="portrait"/>
          <w:cols w:equalWidth="0" w:num="1">
            <w:col w:w="11140"/>
          </w:cols>
          <w:pgMar w:left="320" w:top="455" w:right="439" w:bottom="1440" w:gutter="0" w:footer="0" w:header="0"/>
        </w:sectPr>
      </w:pPr>
    </w:p>
    <w:p>
      <w:pPr>
        <w:jc w:val="center"/>
        <w:ind w:right="1580"/>
        <w:spacing w:after="0"/>
        <w:rPr>
          <w:sz w:val="20"/>
          <w:szCs w:val="20"/>
          <w:color w:val="auto"/>
        </w:rPr>
      </w:pPr>
      <w:r>
        <w:rPr>
          <w:rFonts w:ascii="Times New Roman" w:cs="Times New Roman" w:eastAsia="Times New Roman" w:hAnsi="Times New Roman"/>
          <w:sz w:val="14"/>
          <w:szCs w:val="14"/>
          <w:color w:val="auto"/>
        </w:rPr>
        <w:t>AC = Audit Committee</w:t>
      </w:r>
    </w:p>
    <w:p>
      <w:pPr>
        <w:spacing w:after="0" w:line="4"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CC = Compensation Committee</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color w:val="auto"/>
        </w:rPr>
        <w:t>M = Member</w:t>
      </w:r>
    </w:p>
    <w:p>
      <w:pPr>
        <w:spacing w:after="0" w:line="4"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4"/>
          <w:szCs w:val="14"/>
          <w:color w:val="auto"/>
        </w:rPr>
        <w:t>C = Chair</w:t>
      </w:r>
    </w:p>
    <w:p>
      <w:pPr>
        <w:spacing w:after="0" w:line="39" w:lineRule="exact"/>
        <w:rPr>
          <w:sz w:val="20"/>
          <w:szCs w:val="20"/>
          <w:color w:val="auto"/>
        </w:rPr>
      </w:pPr>
    </w:p>
    <w:p>
      <w:pPr>
        <w:sectPr>
          <w:pgSz w:w="11900" w:h="16838" w:orient="portrait"/>
          <w:cols w:equalWidth="0" w:num="2">
            <w:col w:w="7440" w:space="720"/>
            <w:col w:w="2980"/>
          </w:cols>
          <w:pgMar w:left="320" w:top="455" w:right="4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p>
      <w:pPr>
        <w:sectPr>
          <w:pgSz w:w="11900" w:h="16838" w:orient="portrait"/>
          <w:cols w:equalWidth="0" w:num="1">
            <w:col w:w="11140"/>
          </w:cols>
          <w:pgMar w:left="320" w:top="455" w:right="439" w:bottom="1440" w:gutter="0" w:footer="0" w:header="0"/>
          <w:type w:val="continuous"/>
        </w:sectPr>
      </w:pPr>
    </w:p>
    <w:p>
      <w:pPr>
        <w:spacing w:after="0" w:line="18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During 2022, our Board held eleven meetings, our Audit Committee held five meetings, our Compensation Committee held four meetings and our Nominating and Corporate Governance Committee held two meetings. Each director attended at least 75% of the meetings of the Board and meetings of each Committee on which he or she served during 2022.</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 Six of our then serving directors attended the 2022 Annual Meeting of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0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the Audit Committee’s responsibilities include:</w:t>
      </w:r>
    </w:p>
    <w:p>
      <w:pPr>
        <w:spacing w:after="0" w:line="225" w:lineRule="exact"/>
        <w:rPr>
          <w:sz w:val="20"/>
          <w:szCs w:val="20"/>
          <w:color w:val="auto"/>
        </w:rPr>
      </w:pP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accounting firm to audit our consolidated financial statements;</w:t>
      </w:r>
    </w:p>
    <w:p>
      <w:pPr>
        <w:spacing w:after="0" w:line="27"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1640" w:right="880" w:hanging="755"/>
        <w:spacing w:after="0" w:line="250"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code of business and conduct and ethics for financial management;</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9" w:lineRule="exact"/>
        <w:rPr>
          <w:rFonts w:ascii="Times New Roman" w:cs="Times New Roman" w:eastAsia="Times New Roman" w:hAnsi="Times New Roman"/>
          <w:sz w:val="18"/>
          <w:szCs w:val="18"/>
          <w:color w:val="auto"/>
        </w:rPr>
      </w:pPr>
    </w:p>
    <w:p>
      <w:pPr>
        <w:ind w:left="1640" w:right="380" w:hanging="755"/>
        <w:spacing w:after="0" w:line="260" w:lineRule="auto"/>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14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183" w:lineRule="exact"/>
        <w:rPr>
          <w:sz w:val="20"/>
          <w:szCs w:val="20"/>
          <w:color w:val="auto"/>
        </w:rPr>
      </w:pPr>
    </w:p>
    <w:p>
      <w:pPr>
        <w:ind w:left="1640" w:hanging="755"/>
        <w:spacing w:after="0"/>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w:t>
      </w:r>
    </w:p>
    <w:p>
      <w:pPr>
        <w:spacing w:after="0" w:line="27"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matters.</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13</w:t>
      </w:r>
    </w:p>
    <w:p>
      <w:pPr>
        <w:sectPr>
          <w:pgSz w:w="11900" w:h="16838" w:orient="portrait"/>
          <w:cols w:equalWidth="0" w:num="1">
            <w:col w:w="11140"/>
          </w:cols>
          <w:pgMar w:left="320" w:top="455"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w:t>
      </w:r>
    </w:p>
    <w:p>
      <w:pPr>
        <w:spacing w:after="0" w:line="14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Leff (chair) and Dr. Barrett. Dr. Barrett’s service as a member of our Board and Nominating and Corporate Governance Committee will end effective as of the date of the Annual Meeting. The Board has determined that all Nominating and Corporate Governance Committee members are independent under the listing standards of Nasdaq.</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w:t>
      </w:r>
    </w:p>
    <w:p>
      <w:pPr>
        <w:spacing w:after="0" w:line="180" w:lineRule="exact"/>
        <w:rPr>
          <w:sz w:val="20"/>
          <w:szCs w:val="20"/>
          <w:color w:val="auto"/>
        </w:rPr>
      </w:pPr>
    </w:p>
    <w:p>
      <w:pPr>
        <w:ind w:left="1640" w:hanging="755"/>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w:t>
      </w:r>
    </w:p>
    <w:p>
      <w:pPr>
        <w:spacing w:after="0" w:line="27"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 and</w:t>
      </w:r>
    </w:p>
    <w:p>
      <w:pPr>
        <w:spacing w:after="0" w:line="9" w:lineRule="exact"/>
        <w:rPr>
          <w:rFonts w:ascii="Times New Roman" w:cs="Times New Roman" w:eastAsia="Times New Roman" w:hAnsi="Times New Roman"/>
          <w:sz w:val="18"/>
          <w:szCs w:val="18"/>
          <w:color w:val="auto"/>
        </w:rPr>
      </w:pPr>
    </w:p>
    <w:p>
      <w:pPr>
        <w:ind w:left="1640" w:hanging="755"/>
        <w:spacing w:after="0"/>
        <w:tabs>
          <w:tab w:leader="none" w:pos="1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43"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Radford (an operating unit of Aon plc and a widely recognized leader in gathering and analyzing industry compensation trends) serves as our independent compensation consultant for executive compensation.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an affiliate of Radford, serves as our insurance broker for all of our commercial lines of insurance.</w:t>
      </w:r>
    </w:p>
    <w:p>
      <w:pPr>
        <w:spacing w:after="0" w:line="14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Mr. Truitt (Chair), Dr. Barrett and Mr. Leff. Dr. Barrett’s service as a member of our Board and Compensation Committee will end effective as of the date of the Annual Meeting.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2022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14</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20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8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Our goal is to communicate with our stockholders through various platforms, including via our website at </w:t>
      </w:r>
      <w:r>
        <w:rPr>
          <w:rFonts w:ascii="Times New Roman" w:cs="Times New Roman" w:eastAsia="Times New Roman" w:hAnsi="Times New Roman"/>
          <w:sz w:val="18"/>
          <w:szCs w:val="18"/>
          <w:u w:val="single" w:color="auto"/>
          <w:color w:val="1E5EFF"/>
        </w:rPr>
        <w:t>www.larimartx.com</w:t>
      </w:r>
      <w:r>
        <w:rPr>
          <w:rFonts w:ascii="Times New Roman" w:cs="Times New Roman" w:eastAsia="Times New Roman" w:hAnsi="Times New Roman"/>
          <w:sz w:val="18"/>
          <w:szCs w:val="18"/>
          <w:color w:val="auto"/>
        </w:rPr>
        <w:t>, in print and in person at investor presentations or stockholder meetings. We view communication between our stockholders and the Board as a dialogue.</w:t>
      </w:r>
    </w:p>
    <w:p>
      <w:pPr>
        <w:spacing w:after="0" w:line="158"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5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How to</w:t>
            </w:r>
          </w:p>
        </w:tc>
        <w:tc>
          <w:tcPr>
            <w:tcW w:w="37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By mail:</w:t>
            </w:r>
          </w:p>
        </w:tc>
      </w:tr>
      <w:tr>
        <w:trPr>
          <w:trHeight w:val="220"/>
        </w:trPr>
        <w:tc>
          <w:tcPr>
            <w:tcW w:w="358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Communicate with our Directors</w:t>
            </w:r>
          </w:p>
        </w:tc>
        <w:tc>
          <w:tcPr>
            <w:tcW w:w="37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Secretary, Larimar Therapeutics, Inc.</w:t>
            </w:r>
          </w:p>
        </w:tc>
      </w:tr>
      <w:tr>
        <w:trPr>
          <w:trHeight w:val="216"/>
        </w:trPr>
        <w:tc>
          <w:tcPr>
            <w:tcW w:w="3580" w:type="dxa"/>
            <w:vAlign w:val="bottom"/>
          </w:tcPr>
          <w:p>
            <w:pPr>
              <w:spacing w:after="0"/>
              <w:rPr>
                <w:sz w:val="18"/>
                <w:szCs w:val="18"/>
                <w:color w:val="auto"/>
              </w:rPr>
            </w:pPr>
          </w:p>
        </w:tc>
        <w:tc>
          <w:tcPr>
            <w:tcW w:w="37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Three Bala Plaza East, Suite 506</w:t>
            </w:r>
          </w:p>
        </w:tc>
      </w:tr>
      <w:tr>
        <w:trPr>
          <w:trHeight w:val="234"/>
        </w:trPr>
        <w:tc>
          <w:tcPr>
            <w:tcW w:w="3580" w:type="dxa"/>
            <w:vAlign w:val="bottom"/>
          </w:tcPr>
          <w:p>
            <w:pPr>
              <w:spacing w:after="0"/>
              <w:rPr>
                <w:sz w:val="20"/>
                <w:szCs w:val="20"/>
                <w:color w:val="auto"/>
              </w:rPr>
            </w:pPr>
          </w:p>
        </w:tc>
        <w:tc>
          <w:tcPr>
            <w:tcW w:w="37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4457700" cy="1499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577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15</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2022 non-employee director compensation policy is set forth in the table below.</w:t>
      </w:r>
    </w:p>
    <w:p>
      <w:pPr>
        <w:spacing w:after="0" w:line="223"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10800" w:type="dxa"/>
            <w:vAlign w:val="bottom"/>
            <w:tcBorders>
              <w:top w:val="single" w:sz="8" w:color="auto"/>
              <w:left w:val="single" w:sz="8" w:color="auto"/>
              <w:right w:val="single" w:sz="8" w:color="auto"/>
            </w:tcBorders>
            <w:gridSpan w:val="2"/>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4"/>
                <w:szCs w:val="14"/>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4"/>
                <w:szCs w:val="14"/>
                <w:b w:val="1"/>
                <w:bCs w:val="1"/>
                <w:color w:val="FFFFFF"/>
              </w:rPr>
              <w:t>LEMENTS</w:t>
            </w:r>
            <w:r>
              <w:rPr>
                <w:rFonts w:ascii="Times New Roman" w:cs="Times New Roman" w:eastAsia="Times New Roman" w:hAnsi="Times New Roman"/>
                <w:sz w:val="18"/>
                <w:szCs w:val="18"/>
                <w:b w:val="1"/>
                <w:bCs w:val="1"/>
                <w:color w:val="FFFFFF"/>
              </w:rPr>
              <w:t xml:space="preserve"> – N</w:t>
            </w:r>
            <w:r>
              <w:rPr>
                <w:rFonts w:ascii="Times New Roman" w:cs="Times New Roman" w:eastAsia="Times New Roman" w:hAnsi="Times New Roman"/>
                <w:sz w:val="14"/>
                <w:szCs w:val="14"/>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4"/>
                <w:szCs w:val="14"/>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4"/>
                <w:szCs w:val="14"/>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4"/>
                <w:szCs w:val="14"/>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4"/>
                <w:szCs w:val="14"/>
                <w:b w:val="1"/>
                <w:bCs w:val="1"/>
                <w:color w:val="FFFFFF"/>
              </w:rPr>
              <w:t>ROGRAM</w:t>
            </w:r>
          </w:p>
        </w:tc>
      </w:tr>
      <w:tr>
        <w:trPr>
          <w:trHeight w:val="68"/>
        </w:trPr>
        <w:tc>
          <w:tcPr>
            <w:tcW w:w="5420" w:type="dxa"/>
            <w:vAlign w:val="bottom"/>
            <w:tcBorders>
              <w:left w:val="single" w:sz="8" w:color="auto"/>
              <w:bottom w:val="single" w:sz="8" w:color="auto"/>
              <w:right w:val="single" w:sz="8" w:color="4DC1E4"/>
            </w:tcBorders>
            <w:shd w:val="clear" w:color="auto" w:fill="4DC1E4"/>
          </w:tcPr>
          <w:p>
            <w:pPr>
              <w:spacing w:after="0"/>
              <w:rPr>
                <w:sz w:val="5"/>
                <w:szCs w:val="5"/>
                <w:color w:val="auto"/>
              </w:rPr>
            </w:pPr>
          </w:p>
        </w:tc>
        <w:tc>
          <w:tcPr>
            <w:tcW w:w="5380" w:type="dxa"/>
            <w:vAlign w:val="bottom"/>
            <w:tcBorders>
              <w:bottom w:val="single" w:sz="8" w:color="auto"/>
              <w:right w:val="single" w:sz="8" w:color="auto"/>
            </w:tcBorders>
            <w:shd w:val="clear" w:color="auto" w:fill="4DC1E4"/>
          </w:tcPr>
          <w:p>
            <w:pPr>
              <w:spacing w:after="0"/>
              <w:rPr>
                <w:sz w:val="5"/>
                <w:szCs w:val="5"/>
                <w:color w:val="auto"/>
              </w:rPr>
            </w:pPr>
          </w:p>
        </w:tc>
      </w:tr>
      <w:tr>
        <w:trPr>
          <w:trHeight w:val="232"/>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5380" w:type="dxa"/>
            <w:vAlign w:val="bottom"/>
            <w:tcBorders>
              <w:right w:val="single" w:sz="8" w:color="auto"/>
            </w:tcBorders>
          </w:tcPr>
          <w:p>
            <w:pPr>
              <w:spacing w:after="0"/>
              <w:rPr>
                <w:sz w:val="20"/>
                <w:szCs w:val="20"/>
                <w:color w:val="auto"/>
              </w:rPr>
            </w:pPr>
          </w:p>
        </w:tc>
      </w:tr>
      <w:tr>
        <w:trPr>
          <w:trHeight w:val="32"/>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8"/>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Annual Cash Retainer</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$35,000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28"/>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30"/>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5380" w:type="dxa"/>
            <w:vAlign w:val="bottom"/>
            <w:tcBorders>
              <w:right w:val="single" w:sz="8" w:color="auto"/>
            </w:tcBorders>
          </w:tcPr>
          <w:p>
            <w:pPr>
              <w:spacing w:after="0"/>
              <w:rPr>
                <w:sz w:val="19"/>
                <w:szCs w:val="19"/>
                <w:color w:val="auto"/>
              </w:rPr>
            </w:pPr>
          </w:p>
        </w:tc>
      </w:tr>
      <w:tr>
        <w:trPr>
          <w:trHeight w:val="34"/>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Audit</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$15,000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Compensation</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$7,500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30"/>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5380" w:type="dxa"/>
            <w:vAlign w:val="bottom"/>
            <w:tcBorders>
              <w:right w:val="single" w:sz="8" w:color="auto"/>
            </w:tcBorders>
          </w:tcPr>
          <w:p>
            <w:pPr>
              <w:spacing w:after="0"/>
              <w:rPr>
                <w:sz w:val="19"/>
                <w:szCs w:val="19"/>
                <w:color w:val="auto"/>
              </w:rPr>
            </w:pPr>
          </w:p>
        </w:tc>
      </w:tr>
      <w:tr>
        <w:trPr>
          <w:trHeight w:val="34"/>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Audit</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$7,500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Compensation</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28"/>
        </w:trPr>
        <w:tc>
          <w:tcPr>
            <w:tcW w:w="54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$3,750</w:t>
            </w:r>
          </w:p>
        </w:tc>
      </w:tr>
      <w:tr>
        <w:trPr>
          <w:trHeight w:val="36"/>
        </w:trPr>
        <w:tc>
          <w:tcPr>
            <w:tcW w:w="5420" w:type="dxa"/>
            <w:vAlign w:val="bottom"/>
            <w:tcBorders>
              <w:left w:val="single" w:sz="8" w:color="auto"/>
              <w:bottom w:val="single" w:sz="8" w:color="auto"/>
              <w:right w:val="single" w:sz="8" w:color="auto"/>
            </w:tcBorders>
          </w:tcPr>
          <w:p>
            <w:pPr>
              <w:spacing w:after="0"/>
              <w:rPr>
                <w:sz w:val="3"/>
                <w:szCs w:val="3"/>
                <w:color w:val="auto"/>
              </w:rPr>
            </w:pPr>
          </w:p>
        </w:tc>
        <w:tc>
          <w:tcPr>
            <w:tcW w:w="5380" w:type="dxa"/>
            <w:vAlign w:val="bottom"/>
            <w:tcBorders>
              <w:bottom w:val="single" w:sz="8" w:color="auto"/>
              <w:right w:val="single" w:sz="8" w:color="auto"/>
            </w:tcBorders>
          </w:tcPr>
          <w:p>
            <w:pPr>
              <w:spacing w:after="0"/>
              <w:rPr>
                <w:sz w:val="3"/>
                <w:szCs w:val="3"/>
                <w:color w:val="auto"/>
              </w:rPr>
            </w:pPr>
          </w:p>
        </w:tc>
      </w:tr>
      <w:tr>
        <w:trPr>
          <w:trHeight w:val="209"/>
        </w:trPr>
        <w:tc>
          <w:tcPr>
            <w:tcW w:w="5420" w:type="dxa"/>
            <w:vAlign w:val="bottom"/>
            <w:tcBorders>
              <w:left w:val="single" w:sz="8" w:color="auto"/>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tcPr>
          <w:p>
            <w:pPr>
              <w:spacing w:after="0"/>
              <w:rPr>
                <w:sz w:val="18"/>
                <w:szCs w:val="18"/>
                <w:color w:val="auto"/>
              </w:rPr>
            </w:pPr>
          </w:p>
        </w:tc>
      </w:tr>
      <w:tr>
        <w:trPr>
          <w:trHeight w:val="232"/>
        </w:trPr>
        <w:tc>
          <w:tcPr>
            <w:tcW w:w="54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5380" w:type="dxa"/>
            <w:vAlign w:val="bottom"/>
            <w:tcBorders>
              <w:right w:val="single" w:sz="8" w:color="auto"/>
            </w:tcBorders>
          </w:tcPr>
          <w:p>
            <w:pPr>
              <w:spacing w:after="0"/>
              <w:rPr>
                <w:sz w:val="20"/>
                <w:szCs w:val="20"/>
                <w:color w:val="auto"/>
              </w:rPr>
            </w:pPr>
          </w:p>
        </w:tc>
      </w:tr>
      <w:tr>
        <w:trPr>
          <w:trHeight w:val="32"/>
        </w:trPr>
        <w:tc>
          <w:tcPr>
            <w:tcW w:w="5420" w:type="dxa"/>
            <w:vAlign w:val="bottom"/>
            <w:tcBorders>
              <w:left w:val="single" w:sz="8" w:color="auto"/>
              <w:bottom w:val="single" w:sz="8" w:color="auto"/>
              <w:right w:val="single" w:sz="8" w:color="auto"/>
            </w:tcBorders>
          </w:tcPr>
          <w:p>
            <w:pPr>
              <w:spacing w:after="0"/>
              <w:rPr>
                <w:sz w:val="2"/>
                <w:szCs w:val="2"/>
                <w:color w:val="auto"/>
              </w:rPr>
            </w:pPr>
          </w:p>
        </w:tc>
        <w:tc>
          <w:tcPr>
            <w:tcW w:w="5380" w:type="dxa"/>
            <w:vAlign w:val="bottom"/>
            <w:tcBorders>
              <w:bottom w:val="single" w:sz="8" w:color="auto"/>
              <w:right w:val="single" w:sz="8" w:color="auto"/>
            </w:tcBorders>
          </w:tcPr>
          <w:p>
            <w:pPr>
              <w:spacing w:after="0"/>
              <w:rPr>
                <w:sz w:val="2"/>
                <w:szCs w:val="2"/>
                <w:color w:val="auto"/>
              </w:rPr>
            </w:pPr>
          </w:p>
        </w:tc>
      </w:tr>
      <w:tr>
        <w:trPr>
          <w:trHeight w:val="191"/>
        </w:trPr>
        <w:tc>
          <w:tcPr>
            <w:tcW w:w="542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53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Option to purchase 16,600 shares of common stock, vesting monthly</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over a three year period</w:t>
            </w:r>
          </w:p>
        </w:tc>
      </w:tr>
      <w:tr>
        <w:trPr>
          <w:trHeight w:val="54"/>
        </w:trPr>
        <w:tc>
          <w:tcPr>
            <w:tcW w:w="5420" w:type="dxa"/>
            <w:vAlign w:val="bottom"/>
            <w:tcBorders>
              <w:left w:val="single" w:sz="8" w:color="auto"/>
              <w:bottom w:val="single" w:sz="8" w:color="auto"/>
              <w:right w:val="single" w:sz="8" w:color="auto"/>
            </w:tcBorders>
          </w:tcPr>
          <w:p>
            <w:pPr>
              <w:spacing w:after="0"/>
              <w:rPr>
                <w:sz w:val="4"/>
                <w:szCs w:val="4"/>
                <w:color w:val="auto"/>
              </w:rPr>
            </w:pPr>
          </w:p>
        </w:tc>
        <w:tc>
          <w:tcPr>
            <w:tcW w:w="5380" w:type="dxa"/>
            <w:vAlign w:val="bottom"/>
            <w:tcBorders>
              <w:bottom w:val="single" w:sz="8" w:color="auto"/>
              <w:right w:val="single" w:sz="8" w:color="auto"/>
            </w:tcBorders>
          </w:tcPr>
          <w:p>
            <w:pPr>
              <w:spacing w:after="0"/>
              <w:rPr>
                <w:sz w:val="4"/>
                <w:szCs w:val="4"/>
                <w:color w:val="auto"/>
              </w:rPr>
            </w:pPr>
          </w:p>
        </w:tc>
      </w:tr>
      <w:tr>
        <w:trPr>
          <w:trHeight w:val="191"/>
        </w:trPr>
        <w:tc>
          <w:tcPr>
            <w:tcW w:w="542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Annual Equity Retainer</w:t>
            </w:r>
          </w:p>
        </w:tc>
        <w:tc>
          <w:tcPr>
            <w:tcW w:w="53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Option to purchase 8,300 shares of common stock, vesting upon the</w:t>
            </w:r>
          </w:p>
        </w:tc>
      </w:tr>
      <w:tr>
        <w:trPr>
          <w:trHeight w:val="216"/>
        </w:trPr>
        <w:tc>
          <w:tcPr>
            <w:tcW w:w="542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earlier of the first anniversary of the date of grant or the date of the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5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following annual meeting of stockholders after the grant date</w:t>
            </w:r>
          </w:p>
        </w:tc>
      </w:tr>
      <w:tr>
        <w:trPr>
          <w:trHeight w:val="54"/>
        </w:trPr>
        <w:tc>
          <w:tcPr>
            <w:tcW w:w="5420" w:type="dxa"/>
            <w:vAlign w:val="bottom"/>
            <w:tcBorders>
              <w:left w:val="single" w:sz="8" w:color="auto"/>
              <w:bottom w:val="single" w:sz="8" w:color="auto"/>
              <w:right w:val="single" w:sz="8" w:color="auto"/>
            </w:tcBorders>
          </w:tcPr>
          <w:p>
            <w:pPr>
              <w:spacing w:after="0"/>
              <w:rPr>
                <w:sz w:val="4"/>
                <w:szCs w:val="4"/>
                <w:color w:val="auto"/>
              </w:rPr>
            </w:pPr>
          </w:p>
        </w:tc>
        <w:tc>
          <w:tcPr>
            <w:tcW w:w="5380" w:type="dxa"/>
            <w:vAlign w:val="bottom"/>
            <w:tcBorders>
              <w:bottom w:val="single" w:sz="8" w:color="auto"/>
              <w:right w:val="single" w:sz="8" w:color="auto"/>
            </w:tcBorders>
          </w:tcPr>
          <w:p>
            <w:pPr>
              <w:spacing w:after="0"/>
              <w:rPr>
                <w:sz w:val="4"/>
                <w:szCs w:val="4"/>
                <w:color w:val="auto"/>
              </w:rPr>
            </w:pPr>
          </w:p>
        </w:tc>
      </w:tr>
      <w:tr>
        <w:trPr>
          <w:trHeight w:val="385"/>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tc>
        <w:tc>
          <w:tcPr>
            <w:tcW w:w="5380" w:type="dxa"/>
            <w:vAlign w:val="bottom"/>
          </w:tcPr>
          <w:p>
            <w:pPr>
              <w:spacing w:after="0"/>
              <w:rPr>
                <w:sz w:val="24"/>
                <w:szCs w:val="24"/>
                <w:color w:val="auto"/>
              </w:rPr>
            </w:pPr>
          </w:p>
        </w:tc>
      </w:tr>
    </w:tbl>
    <w:p>
      <w:pPr>
        <w:spacing w:after="0" w:line="17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summary information regarding the compensation of our non-employee directors for the fiscal year ended December 31, 2022.</w:t>
      </w:r>
    </w:p>
    <w:p>
      <w:pPr>
        <w:spacing w:after="0" w:line="160" w:lineRule="exact"/>
        <w:rPr>
          <w:sz w:val="20"/>
          <w:szCs w:val="20"/>
          <w:color w:val="auto"/>
        </w:rPr>
      </w:pPr>
    </w:p>
    <w:tbl>
      <w:tblPr>
        <w:tblLayout w:type="fixed"/>
        <w:tblInd w:w="130" w:type="dxa"/>
        <w:tblCellMar>
          <w:top w:w="0" w:type="dxa"/>
          <w:left w:w="0" w:type="dxa"/>
          <w:bottom w:w="0" w:type="dxa"/>
          <w:right w:w="0" w:type="dxa"/>
        </w:tblCellMar>
      </w:tblPr>
      <w:tr>
        <w:trPr>
          <w:trHeight w:val="207"/>
        </w:trPr>
        <w:tc>
          <w:tcPr>
            <w:tcW w:w="3120" w:type="dxa"/>
            <w:vAlign w:val="bottom"/>
            <w:tcBorders>
              <w:top w:val="single" w:sz="8" w:color="auto"/>
              <w:left w:val="single" w:sz="8" w:color="auto"/>
            </w:tcBorders>
            <w:shd w:val="clear" w:color="auto" w:fill="4DC1E4"/>
          </w:tcPr>
          <w:p>
            <w:pPr>
              <w:spacing w:after="0"/>
              <w:rPr>
                <w:sz w:val="18"/>
                <w:szCs w:val="18"/>
                <w:color w:val="auto"/>
              </w:rPr>
            </w:pPr>
          </w:p>
        </w:tc>
        <w:tc>
          <w:tcPr>
            <w:tcW w:w="2480" w:type="dxa"/>
            <w:vAlign w:val="bottom"/>
            <w:tcBorders>
              <w:top w:val="single" w:sz="8" w:color="auto"/>
            </w:tcBorders>
            <w:gridSpan w:val="2"/>
            <w:vMerge w:val="restart"/>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FFFFFF"/>
              </w:rPr>
              <w:t>F</w:t>
            </w:r>
            <w:r>
              <w:rPr>
                <w:rFonts w:ascii="Times New Roman" w:cs="Times New Roman" w:eastAsia="Times New Roman" w:hAnsi="Times New Roman"/>
                <w:sz w:val="14"/>
                <w:szCs w:val="14"/>
                <w:b w:val="1"/>
                <w:bCs w:val="1"/>
                <w:i w:val="1"/>
                <w:iCs w:val="1"/>
                <w:color w:val="FFFFFF"/>
              </w:rPr>
              <w:t>EES</w:t>
            </w:r>
            <w:r>
              <w:rPr>
                <w:rFonts w:ascii="Times New Roman" w:cs="Times New Roman" w:eastAsia="Times New Roman" w:hAnsi="Times New Roman"/>
                <w:sz w:val="18"/>
                <w:szCs w:val="18"/>
                <w:b w:val="1"/>
                <w:bCs w:val="1"/>
                <w:i w:val="1"/>
                <w:iCs w:val="1"/>
                <w:color w:val="FFFFFF"/>
              </w:rPr>
              <w:t xml:space="preserve"> E</w:t>
            </w:r>
            <w:r>
              <w:rPr>
                <w:rFonts w:ascii="Times New Roman" w:cs="Times New Roman" w:eastAsia="Times New Roman" w:hAnsi="Times New Roman"/>
                <w:sz w:val="14"/>
                <w:szCs w:val="14"/>
                <w:b w:val="1"/>
                <w:bCs w:val="1"/>
                <w:i w:val="1"/>
                <w:iCs w:val="1"/>
                <w:color w:val="FFFFFF"/>
              </w:rPr>
              <w:t>ARNED</w:t>
            </w:r>
          </w:p>
        </w:tc>
        <w:tc>
          <w:tcPr>
            <w:tcW w:w="500" w:type="dxa"/>
            <w:vAlign w:val="bottom"/>
            <w:tcBorders>
              <w:top w:val="single" w:sz="8" w:color="auto"/>
            </w:tcBorders>
            <w:shd w:val="clear" w:color="auto" w:fill="4DC1E4"/>
          </w:tcPr>
          <w:p>
            <w:pPr>
              <w:spacing w:after="0"/>
              <w:rPr>
                <w:sz w:val="18"/>
                <w:szCs w:val="18"/>
                <w:color w:val="auto"/>
              </w:rPr>
            </w:pPr>
          </w:p>
        </w:tc>
        <w:tc>
          <w:tcPr>
            <w:tcW w:w="1200" w:type="dxa"/>
            <w:vAlign w:val="bottom"/>
            <w:tcBorders>
              <w:top w:val="single" w:sz="8" w:color="auto"/>
            </w:tcBorders>
            <w:vMerge w:val="restart"/>
            <w:shd w:val="clear" w:color="auto" w:fill="4DC1E4"/>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FFFFFF"/>
              </w:rPr>
              <w:t>O</w:t>
            </w:r>
            <w:r>
              <w:rPr>
                <w:rFonts w:ascii="Times New Roman" w:cs="Times New Roman" w:eastAsia="Times New Roman" w:hAnsi="Times New Roman"/>
                <w:sz w:val="14"/>
                <w:szCs w:val="14"/>
                <w:b w:val="1"/>
                <w:bCs w:val="1"/>
                <w:i w:val="1"/>
                <w:iCs w:val="1"/>
                <w:color w:val="FFFFFF"/>
              </w:rPr>
              <w:t>PTION</w:t>
            </w:r>
          </w:p>
        </w:tc>
        <w:tc>
          <w:tcPr>
            <w:tcW w:w="620" w:type="dxa"/>
            <w:vAlign w:val="bottom"/>
            <w:tcBorders>
              <w:top w:val="single" w:sz="8" w:color="auto"/>
            </w:tcBorders>
            <w:shd w:val="clear" w:color="auto" w:fill="4DC1E4"/>
          </w:tcPr>
          <w:p>
            <w:pPr>
              <w:spacing w:after="0"/>
              <w:rPr>
                <w:sz w:val="18"/>
                <w:szCs w:val="18"/>
                <w:color w:val="auto"/>
              </w:rPr>
            </w:pPr>
          </w:p>
        </w:tc>
        <w:tc>
          <w:tcPr>
            <w:tcW w:w="1440" w:type="dxa"/>
            <w:vAlign w:val="bottom"/>
            <w:tcBorders>
              <w:top w:val="single" w:sz="8" w:color="auto"/>
            </w:tcBorders>
            <w:shd w:val="clear" w:color="auto" w:fill="4DC1E4"/>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FFFFFF"/>
              </w:rPr>
              <w:t>A</w:t>
            </w:r>
            <w:r>
              <w:rPr>
                <w:rFonts w:ascii="Times New Roman" w:cs="Times New Roman" w:eastAsia="Times New Roman" w:hAnsi="Times New Roman"/>
                <w:sz w:val="14"/>
                <w:szCs w:val="14"/>
                <w:b w:val="1"/>
                <w:bCs w:val="1"/>
                <w:i w:val="1"/>
                <w:iCs w:val="1"/>
                <w:color w:val="FFFFFF"/>
              </w:rPr>
              <w:t>LL</w:t>
            </w:r>
            <w:r>
              <w:rPr>
                <w:rFonts w:ascii="Times New Roman" w:cs="Times New Roman" w:eastAsia="Times New Roman" w:hAnsi="Times New Roman"/>
                <w:sz w:val="18"/>
                <w:szCs w:val="18"/>
                <w:b w:val="1"/>
                <w:bCs w:val="1"/>
                <w:i w:val="1"/>
                <w:iCs w:val="1"/>
                <w:color w:val="FFFFFF"/>
              </w:rPr>
              <w:t xml:space="preserve"> O</w:t>
            </w:r>
            <w:r>
              <w:rPr>
                <w:rFonts w:ascii="Times New Roman" w:cs="Times New Roman" w:eastAsia="Times New Roman" w:hAnsi="Times New Roman"/>
                <w:sz w:val="14"/>
                <w:szCs w:val="14"/>
                <w:b w:val="1"/>
                <w:bCs w:val="1"/>
                <w:i w:val="1"/>
                <w:iCs w:val="1"/>
                <w:color w:val="FFFFFF"/>
              </w:rPr>
              <w:t>THER</w:t>
            </w:r>
          </w:p>
        </w:tc>
        <w:tc>
          <w:tcPr>
            <w:tcW w:w="320" w:type="dxa"/>
            <w:vAlign w:val="bottom"/>
            <w:tcBorders>
              <w:top w:val="single" w:sz="8" w:color="auto"/>
            </w:tcBorders>
            <w:shd w:val="clear" w:color="auto" w:fill="4DC1E4"/>
          </w:tcPr>
          <w:p>
            <w:pPr>
              <w:spacing w:after="0"/>
              <w:rPr>
                <w:sz w:val="18"/>
                <w:szCs w:val="18"/>
                <w:color w:val="auto"/>
              </w:rPr>
            </w:pPr>
          </w:p>
        </w:tc>
        <w:tc>
          <w:tcPr>
            <w:tcW w:w="1120" w:type="dxa"/>
            <w:vAlign w:val="bottom"/>
            <w:tcBorders>
              <w:top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tcBorders>
            <w:shd w:val="clear" w:color="auto" w:fill="4DC1E4"/>
          </w:tcPr>
          <w:p>
            <w:pPr>
              <w:spacing w:after="0"/>
              <w:rPr>
                <w:sz w:val="10"/>
                <w:szCs w:val="10"/>
                <w:color w:val="auto"/>
              </w:rPr>
            </w:pPr>
          </w:p>
        </w:tc>
        <w:tc>
          <w:tcPr>
            <w:tcW w:w="2480" w:type="dxa"/>
            <w:vAlign w:val="bottom"/>
            <w:gridSpan w:val="2"/>
            <w:vMerge w:val="continue"/>
            <w:shd w:val="clear" w:color="auto" w:fill="4DC1E4"/>
          </w:tcPr>
          <w:p>
            <w:pPr>
              <w:spacing w:after="0"/>
              <w:rPr>
                <w:sz w:val="10"/>
                <w:szCs w:val="10"/>
                <w:color w:val="auto"/>
              </w:rPr>
            </w:pPr>
          </w:p>
        </w:tc>
        <w:tc>
          <w:tcPr>
            <w:tcW w:w="500" w:type="dxa"/>
            <w:vAlign w:val="bottom"/>
            <w:shd w:val="clear" w:color="auto" w:fill="4DC1E4"/>
          </w:tcPr>
          <w:p>
            <w:pPr>
              <w:spacing w:after="0"/>
              <w:rPr>
                <w:sz w:val="10"/>
                <w:szCs w:val="10"/>
                <w:color w:val="auto"/>
              </w:rPr>
            </w:pPr>
          </w:p>
        </w:tc>
        <w:tc>
          <w:tcPr>
            <w:tcW w:w="1200" w:type="dxa"/>
            <w:vAlign w:val="bottom"/>
            <w:vMerge w:val="continue"/>
            <w:shd w:val="clear" w:color="auto" w:fill="4DC1E4"/>
          </w:tcPr>
          <w:p>
            <w:pPr>
              <w:spacing w:after="0"/>
              <w:rPr>
                <w:sz w:val="10"/>
                <w:szCs w:val="10"/>
                <w:color w:val="auto"/>
              </w:rPr>
            </w:pPr>
          </w:p>
        </w:tc>
        <w:tc>
          <w:tcPr>
            <w:tcW w:w="620" w:type="dxa"/>
            <w:vAlign w:val="bottom"/>
            <w:shd w:val="clear" w:color="auto" w:fill="4DC1E4"/>
          </w:tcPr>
          <w:p>
            <w:pPr>
              <w:spacing w:after="0"/>
              <w:rPr>
                <w:sz w:val="10"/>
                <w:szCs w:val="10"/>
                <w:color w:val="auto"/>
              </w:rPr>
            </w:pPr>
          </w:p>
        </w:tc>
        <w:tc>
          <w:tcPr>
            <w:tcW w:w="1440" w:type="dxa"/>
            <w:vAlign w:val="bottom"/>
            <w:vMerge w:val="restart"/>
            <w:shd w:val="clear" w:color="auto" w:fill="4DC1E4"/>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FFFFFF"/>
              </w:rPr>
              <w:t>C</w:t>
            </w:r>
            <w:r>
              <w:rPr>
                <w:rFonts w:ascii="Times New Roman" w:cs="Times New Roman" w:eastAsia="Times New Roman" w:hAnsi="Times New Roman"/>
                <w:sz w:val="14"/>
                <w:szCs w:val="14"/>
                <w:b w:val="1"/>
                <w:bCs w:val="1"/>
                <w:i w:val="1"/>
                <w:iCs w:val="1"/>
                <w:color w:val="FFFFFF"/>
              </w:rPr>
              <w:t>OMPENSATION</w:t>
            </w:r>
          </w:p>
        </w:tc>
        <w:tc>
          <w:tcPr>
            <w:tcW w:w="320" w:type="dxa"/>
            <w:vAlign w:val="bottom"/>
            <w:shd w:val="clear" w:color="auto" w:fill="4DC1E4"/>
          </w:tcPr>
          <w:p>
            <w:pPr>
              <w:spacing w:after="0"/>
              <w:rPr>
                <w:sz w:val="10"/>
                <w:szCs w:val="10"/>
                <w:color w:val="auto"/>
              </w:rPr>
            </w:pPr>
          </w:p>
        </w:tc>
        <w:tc>
          <w:tcPr>
            <w:tcW w:w="1120" w:type="dxa"/>
            <w:vAlign w:val="bottom"/>
            <w:tcBorders>
              <w:right w:val="single" w:sz="8" w:color="auto"/>
            </w:tcBorders>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20" w:type="dxa"/>
            <w:vAlign w:val="bottom"/>
            <w:tcBorders>
              <w:left w:val="single" w:sz="8" w:color="auto"/>
            </w:tcBorders>
            <w:vMerge w:val="restart"/>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FFFFFF"/>
              </w:rPr>
              <w:t>N</w:t>
            </w:r>
            <w:r>
              <w:rPr>
                <w:rFonts w:ascii="Times New Roman" w:cs="Times New Roman" w:eastAsia="Times New Roman" w:hAnsi="Times New Roman"/>
                <w:sz w:val="14"/>
                <w:szCs w:val="14"/>
                <w:b w:val="1"/>
                <w:bCs w:val="1"/>
                <w:i w:val="1"/>
                <w:iCs w:val="1"/>
                <w:color w:val="FFFFFF"/>
              </w:rPr>
              <w:t>AME</w:t>
            </w:r>
          </w:p>
        </w:tc>
        <w:tc>
          <w:tcPr>
            <w:tcW w:w="2480" w:type="dxa"/>
            <w:vAlign w:val="bottom"/>
            <w:gridSpan w:val="2"/>
            <w:vMerge w:val="restart"/>
            <w:shd w:val="clear" w:color="auto" w:fill="4DC1E4"/>
          </w:tcPr>
          <w:p>
            <w:pPr>
              <w:ind w:left="1040"/>
              <w:spacing w:after="0"/>
              <w:rPr>
                <w:sz w:val="20"/>
                <w:szCs w:val="20"/>
                <w:color w:val="auto"/>
              </w:rPr>
            </w:pPr>
            <w:r>
              <w:rPr>
                <w:rFonts w:ascii="Times New Roman" w:cs="Times New Roman" w:eastAsia="Times New Roman" w:hAnsi="Times New Roman"/>
                <w:sz w:val="15"/>
                <w:szCs w:val="15"/>
                <w:b w:val="1"/>
                <w:bCs w:val="1"/>
                <w:i w:val="1"/>
                <w:iCs w:val="1"/>
                <w:color w:val="FFFFFF"/>
              </w:rPr>
              <w:t xml:space="preserve">OR </w:t>
            </w:r>
            <w:r>
              <w:rPr>
                <w:rFonts w:ascii="Times New Roman" w:cs="Times New Roman" w:eastAsia="Times New Roman" w:hAnsi="Times New Roman"/>
                <w:sz w:val="17"/>
                <w:szCs w:val="17"/>
                <w:b w:val="1"/>
                <w:bCs w:val="1"/>
                <w:i w:val="1"/>
                <w:iCs w:val="1"/>
                <w:color w:val="FFFFFF"/>
              </w:rPr>
              <w:t>P</w:t>
            </w:r>
            <w:r>
              <w:rPr>
                <w:rFonts w:ascii="Times New Roman" w:cs="Times New Roman" w:eastAsia="Times New Roman" w:hAnsi="Times New Roman"/>
                <w:sz w:val="15"/>
                <w:szCs w:val="15"/>
                <w:b w:val="1"/>
                <w:bCs w:val="1"/>
                <w:i w:val="1"/>
                <w:iCs w:val="1"/>
                <w:color w:val="FFFFFF"/>
              </w:rPr>
              <w:t>AID IN</w:t>
            </w:r>
          </w:p>
        </w:tc>
        <w:tc>
          <w:tcPr>
            <w:tcW w:w="500" w:type="dxa"/>
            <w:vAlign w:val="bottom"/>
            <w:shd w:val="clear" w:color="auto" w:fill="4DC1E4"/>
          </w:tcPr>
          <w:p>
            <w:pPr>
              <w:spacing w:after="0"/>
              <w:rPr>
                <w:sz w:val="8"/>
                <w:szCs w:val="8"/>
                <w:color w:val="auto"/>
              </w:rPr>
            </w:pPr>
          </w:p>
        </w:tc>
        <w:tc>
          <w:tcPr>
            <w:tcW w:w="1200" w:type="dxa"/>
            <w:vAlign w:val="bottom"/>
            <w:vMerge w:val="restart"/>
            <w:shd w:val="clear" w:color="auto" w:fill="4DC1E4"/>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FFFFFF"/>
              </w:rPr>
              <w:t>A</w:t>
            </w:r>
            <w:r>
              <w:rPr>
                <w:rFonts w:ascii="Times New Roman" w:cs="Times New Roman" w:eastAsia="Times New Roman" w:hAnsi="Times New Roman"/>
                <w:sz w:val="14"/>
                <w:szCs w:val="14"/>
                <w:b w:val="1"/>
                <w:bCs w:val="1"/>
                <w:i w:val="1"/>
                <w:iCs w:val="1"/>
                <w:color w:val="FFFFFF"/>
              </w:rPr>
              <w:t>WARDS</w:t>
            </w:r>
          </w:p>
        </w:tc>
        <w:tc>
          <w:tcPr>
            <w:tcW w:w="620" w:type="dxa"/>
            <w:vAlign w:val="bottom"/>
            <w:shd w:val="clear" w:color="auto" w:fill="4DC1E4"/>
          </w:tcPr>
          <w:p>
            <w:pPr>
              <w:spacing w:after="0"/>
              <w:rPr>
                <w:sz w:val="8"/>
                <w:szCs w:val="8"/>
                <w:color w:val="auto"/>
              </w:rPr>
            </w:pPr>
          </w:p>
        </w:tc>
        <w:tc>
          <w:tcPr>
            <w:tcW w:w="1440" w:type="dxa"/>
            <w:vAlign w:val="bottom"/>
            <w:vMerge w:val="continue"/>
            <w:shd w:val="clear" w:color="auto" w:fill="4DC1E4"/>
          </w:tcPr>
          <w:p>
            <w:pPr>
              <w:spacing w:after="0"/>
              <w:rPr>
                <w:sz w:val="8"/>
                <w:szCs w:val="8"/>
                <w:color w:val="auto"/>
              </w:rPr>
            </w:pPr>
          </w:p>
        </w:tc>
        <w:tc>
          <w:tcPr>
            <w:tcW w:w="320" w:type="dxa"/>
            <w:vAlign w:val="bottom"/>
            <w:shd w:val="clear" w:color="auto" w:fill="4DC1E4"/>
          </w:tcPr>
          <w:p>
            <w:pPr>
              <w:spacing w:after="0"/>
              <w:rPr>
                <w:sz w:val="8"/>
                <w:szCs w:val="8"/>
                <w:color w:val="auto"/>
              </w:rPr>
            </w:pPr>
          </w:p>
        </w:tc>
        <w:tc>
          <w:tcPr>
            <w:tcW w:w="1120" w:type="dxa"/>
            <w:vAlign w:val="bottom"/>
            <w:tcBorders>
              <w:right w:val="single" w:sz="8" w:color="auto"/>
            </w:tcBorders>
            <w:vMerge w:val="restart"/>
            <w:shd w:val="clear" w:color="auto" w:fill="4DC1E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FFFFFF"/>
              </w:rPr>
              <w:t>T</w:t>
            </w:r>
            <w:r>
              <w:rPr>
                <w:rFonts w:ascii="Times New Roman" w:cs="Times New Roman" w:eastAsia="Times New Roman" w:hAnsi="Times New Roman"/>
                <w:sz w:val="14"/>
                <w:szCs w:val="14"/>
                <w:b w:val="1"/>
                <w:bCs w:val="1"/>
                <w:i w:val="1"/>
                <w:iCs w:val="1"/>
                <w:color w:val="FFFFFF"/>
              </w:rPr>
              <w:t>OTAL</w:t>
            </w:r>
            <w:r>
              <w:rPr>
                <w:rFonts w:ascii="Times New Roman" w:cs="Times New Roman" w:eastAsia="Times New Roman" w:hAnsi="Times New Roman"/>
                <w:sz w:val="18"/>
                <w:szCs w:val="18"/>
                <w:b w:val="1"/>
                <w:bCs w:val="1"/>
                <w:i w:val="1"/>
                <w:iCs w:val="1"/>
                <w:color w:val="FFFFFF"/>
              </w:rPr>
              <w:t xml:space="preserve"> ($)</w:t>
            </w:r>
          </w:p>
        </w:tc>
        <w:tc>
          <w:tcPr>
            <w:tcW w:w="0" w:type="dxa"/>
            <w:vAlign w:val="bottom"/>
          </w:tcPr>
          <w:p>
            <w:pPr>
              <w:spacing w:after="0"/>
              <w:rPr>
                <w:sz w:val="1"/>
                <w:szCs w:val="1"/>
                <w:color w:val="auto"/>
              </w:rPr>
            </w:pPr>
          </w:p>
        </w:tc>
      </w:tr>
      <w:tr>
        <w:trPr>
          <w:trHeight w:val="121"/>
        </w:trPr>
        <w:tc>
          <w:tcPr>
            <w:tcW w:w="3120" w:type="dxa"/>
            <w:vAlign w:val="bottom"/>
            <w:tcBorders>
              <w:left w:val="single" w:sz="8" w:color="auto"/>
            </w:tcBorders>
            <w:vMerge w:val="continue"/>
            <w:shd w:val="clear" w:color="auto" w:fill="4DC1E4"/>
          </w:tcPr>
          <w:p>
            <w:pPr>
              <w:spacing w:after="0"/>
              <w:rPr>
                <w:sz w:val="10"/>
                <w:szCs w:val="10"/>
                <w:color w:val="auto"/>
              </w:rPr>
            </w:pPr>
          </w:p>
        </w:tc>
        <w:tc>
          <w:tcPr>
            <w:tcW w:w="2480" w:type="dxa"/>
            <w:vAlign w:val="bottom"/>
            <w:gridSpan w:val="2"/>
            <w:vMerge w:val="continue"/>
            <w:shd w:val="clear" w:color="auto" w:fill="4DC1E4"/>
          </w:tcPr>
          <w:p>
            <w:pPr>
              <w:spacing w:after="0"/>
              <w:rPr>
                <w:sz w:val="10"/>
                <w:szCs w:val="10"/>
                <w:color w:val="auto"/>
              </w:rPr>
            </w:pPr>
          </w:p>
        </w:tc>
        <w:tc>
          <w:tcPr>
            <w:tcW w:w="500" w:type="dxa"/>
            <w:vAlign w:val="bottom"/>
            <w:shd w:val="clear" w:color="auto" w:fill="4DC1E4"/>
          </w:tcPr>
          <w:p>
            <w:pPr>
              <w:spacing w:after="0"/>
              <w:rPr>
                <w:sz w:val="10"/>
                <w:szCs w:val="10"/>
                <w:color w:val="auto"/>
              </w:rPr>
            </w:pPr>
          </w:p>
        </w:tc>
        <w:tc>
          <w:tcPr>
            <w:tcW w:w="1200" w:type="dxa"/>
            <w:vAlign w:val="bottom"/>
            <w:vMerge w:val="continue"/>
            <w:shd w:val="clear" w:color="auto" w:fill="4DC1E4"/>
          </w:tcPr>
          <w:p>
            <w:pPr>
              <w:spacing w:after="0"/>
              <w:rPr>
                <w:sz w:val="10"/>
                <w:szCs w:val="10"/>
                <w:color w:val="auto"/>
              </w:rPr>
            </w:pPr>
          </w:p>
        </w:tc>
        <w:tc>
          <w:tcPr>
            <w:tcW w:w="620" w:type="dxa"/>
            <w:vAlign w:val="bottom"/>
            <w:shd w:val="clear" w:color="auto" w:fill="4DC1E4"/>
          </w:tcPr>
          <w:p>
            <w:pPr>
              <w:spacing w:after="0"/>
              <w:rPr>
                <w:sz w:val="10"/>
                <w:szCs w:val="10"/>
                <w:color w:val="auto"/>
              </w:rPr>
            </w:pPr>
          </w:p>
        </w:tc>
        <w:tc>
          <w:tcPr>
            <w:tcW w:w="1440" w:type="dxa"/>
            <w:vAlign w:val="bottom"/>
            <w:vMerge w:val="restart"/>
            <w:shd w:val="clear" w:color="auto" w:fill="4DC1E4"/>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FFFFFF"/>
                <w:w w:val="95"/>
              </w:rPr>
              <w:t>($)</w:t>
            </w:r>
          </w:p>
        </w:tc>
        <w:tc>
          <w:tcPr>
            <w:tcW w:w="320" w:type="dxa"/>
            <w:vAlign w:val="bottom"/>
            <w:shd w:val="clear" w:color="auto" w:fill="4DC1E4"/>
          </w:tcPr>
          <w:p>
            <w:pPr>
              <w:spacing w:after="0"/>
              <w:rPr>
                <w:sz w:val="10"/>
                <w:szCs w:val="10"/>
                <w:color w:val="auto"/>
              </w:rPr>
            </w:pPr>
          </w:p>
        </w:tc>
        <w:tc>
          <w:tcPr>
            <w:tcW w:w="1120" w:type="dxa"/>
            <w:vAlign w:val="bottom"/>
            <w:tcBorders>
              <w:right w:val="single" w:sz="8" w:color="auto"/>
            </w:tcBorders>
            <w:vMerge w:val="continue"/>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tcBorders>
              <w:left w:val="single" w:sz="8" w:color="auto"/>
            </w:tcBorders>
            <w:shd w:val="clear" w:color="auto" w:fill="4DC1E4"/>
          </w:tcPr>
          <w:p>
            <w:pPr>
              <w:spacing w:after="0"/>
              <w:rPr>
                <w:sz w:val="10"/>
                <w:szCs w:val="10"/>
                <w:color w:val="auto"/>
              </w:rPr>
            </w:pPr>
          </w:p>
        </w:tc>
        <w:tc>
          <w:tcPr>
            <w:tcW w:w="2480" w:type="dxa"/>
            <w:vAlign w:val="bottom"/>
            <w:gridSpan w:val="2"/>
            <w:vMerge w:val="restart"/>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FFFFFF"/>
              </w:rPr>
              <w:t>C</w:t>
            </w:r>
            <w:r>
              <w:rPr>
                <w:rFonts w:ascii="Times New Roman" w:cs="Times New Roman" w:eastAsia="Times New Roman" w:hAnsi="Times New Roman"/>
                <w:sz w:val="14"/>
                <w:szCs w:val="14"/>
                <w:b w:val="1"/>
                <w:bCs w:val="1"/>
                <w:i w:val="1"/>
                <w:iCs w:val="1"/>
                <w:color w:val="FFFFFF"/>
              </w:rPr>
              <w:t>ASH</w:t>
            </w:r>
            <w:r>
              <w:rPr>
                <w:rFonts w:ascii="Times New Roman" w:cs="Times New Roman" w:eastAsia="Times New Roman" w:hAnsi="Times New Roman"/>
                <w:sz w:val="18"/>
                <w:szCs w:val="18"/>
                <w:b w:val="1"/>
                <w:bCs w:val="1"/>
                <w:i w:val="1"/>
                <w:iCs w:val="1"/>
                <w:color w:val="FFFFFF"/>
              </w:rPr>
              <w:t xml:space="preserve"> ($)</w:t>
            </w:r>
          </w:p>
        </w:tc>
        <w:tc>
          <w:tcPr>
            <w:tcW w:w="500" w:type="dxa"/>
            <w:vAlign w:val="bottom"/>
            <w:shd w:val="clear" w:color="auto" w:fill="4DC1E4"/>
          </w:tcPr>
          <w:p>
            <w:pPr>
              <w:spacing w:after="0"/>
              <w:rPr>
                <w:sz w:val="10"/>
                <w:szCs w:val="10"/>
                <w:color w:val="auto"/>
              </w:rPr>
            </w:pPr>
          </w:p>
        </w:tc>
        <w:tc>
          <w:tcPr>
            <w:tcW w:w="1200" w:type="dxa"/>
            <w:vAlign w:val="bottom"/>
            <w:vMerge w:val="restart"/>
            <w:shd w:val="clear" w:color="auto" w:fill="4DC1E4"/>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FFFFFF"/>
              </w:rPr>
              <w:t>($)(1)(2)</w:t>
            </w:r>
          </w:p>
        </w:tc>
        <w:tc>
          <w:tcPr>
            <w:tcW w:w="620" w:type="dxa"/>
            <w:vAlign w:val="bottom"/>
            <w:shd w:val="clear" w:color="auto" w:fill="4DC1E4"/>
          </w:tcPr>
          <w:p>
            <w:pPr>
              <w:spacing w:after="0"/>
              <w:rPr>
                <w:sz w:val="10"/>
                <w:szCs w:val="10"/>
                <w:color w:val="auto"/>
              </w:rPr>
            </w:pPr>
          </w:p>
        </w:tc>
        <w:tc>
          <w:tcPr>
            <w:tcW w:w="1440" w:type="dxa"/>
            <w:vAlign w:val="bottom"/>
            <w:vMerge w:val="continue"/>
            <w:shd w:val="clear" w:color="auto" w:fill="4DC1E4"/>
          </w:tcPr>
          <w:p>
            <w:pPr>
              <w:spacing w:after="0"/>
              <w:rPr>
                <w:sz w:val="10"/>
                <w:szCs w:val="10"/>
                <w:color w:val="auto"/>
              </w:rPr>
            </w:pPr>
          </w:p>
        </w:tc>
        <w:tc>
          <w:tcPr>
            <w:tcW w:w="320" w:type="dxa"/>
            <w:vAlign w:val="bottom"/>
            <w:shd w:val="clear" w:color="auto" w:fill="4DC1E4"/>
          </w:tcPr>
          <w:p>
            <w:pPr>
              <w:spacing w:after="0"/>
              <w:rPr>
                <w:sz w:val="10"/>
                <w:szCs w:val="10"/>
                <w:color w:val="auto"/>
              </w:rPr>
            </w:pPr>
          </w:p>
        </w:tc>
        <w:tc>
          <w:tcPr>
            <w:tcW w:w="1120" w:type="dxa"/>
            <w:vAlign w:val="bottom"/>
            <w:tcBorders>
              <w:right w:val="single" w:sz="8" w:color="auto"/>
            </w:tcBorders>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tcBorders>
            <w:shd w:val="clear" w:color="auto" w:fill="4DC1E4"/>
          </w:tcPr>
          <w:p>
            <w:pPr>
              <w:spacing w:after="0"/>
              <w:rPr>
                <w:sz w:val="10"/>
                <w:szCs w:val="10"/>
                <w:color w:val="auto"/>
              </w:rPr>
            </w:pPr>
          </w:p>
        </w:tc>
        <w:tc>
          <w:tcPr>
            <w:tcW w:w="2480" w:type="dxa"/>
            <w:vAlign w:val="bottom"/>
            <w:gridSpan w:val="2"/>
            <w:vMerge w:val="continue"/>
            <w:shd w:val="clear" w:color="auto" w:fill="4DC1E4"/>
          </w:tcPr>
          <w:p>
            <w:pPr>
              <w:spacing w:after="0"/>
              <w:rPr>
                <w:sz w:val="10"/>
                <w:szCs w:val="10"/>
                <w:color w:val="auto"/>
              </w:rPr>
            </w:pPr>
          </w:p>
        </w:tc>
        <w:tc>
          <w:tcPr>
            <w:tcW w:w="500" w:type="dxa"/>
            <w:vAlign w:val="bottom"/>
            <w:shd w:val="clear" w:color="auto" w:fill="4DC1E4"/>
          </w:tcPr>
          <w:p>
            <w:pPr>
              <w:spacing w:after="0"/>
              <w:rPr>
                <w:sz w:val="10"/>
                <w:szCs w:val="10"/>
                <w:color w:val="auto"/>
              </w:rPr>
            </w:pPr>
          </w:p>
        </w:tc>
        <w:tc>
          <w:tcPr>
            <w:tcW w:w="1200" w:type="dxa"/>
            <w:vAlign w:val="bottom"/>
            <w:vMerge w:val="continue"/>
            <w:shd w:val="clear" w:color="auto" w:fill="4DC1E4"/>
          </w:tcPr>
          <w:p>
            <w:pPr>
              <w:spacing w:after="0"/>
              <w:rPr>
                <w:sz w:val="10"/>
                <w:szCs w:val="10"/>
                <w:color w:val="auto"/>
              </w:rPr>
            </w:pPr>
          </w:p>
        </w:tc>
        <w:tc>
          <w:tcPr>
            <w:tcW w:w="620" w:type="dxa"/>
            <w:vAlign w:val="bottom"/>
            <w:shd w:val="clear" w:color="auto" w:fill="4DC1E4"/>
          </w:tcPr>
          <w:p>
            <w:pPr>
              <w:spacing w:after="0"/>
              <w:rPr>
                <w:sz w:val="10"/>
                <w:szCs w:val="10"/>
                <w:color w:val="auto"/>
              </w:rPr>
            </w:pPr>
          </w:p>
        </w:tc>
        <w:tc>
          <w:tcPr>
            <w:tcW w:w="1440" w:type="dxa"/>
            <w:vAlign w:val="bottom"/>
            <w:shd w:val="clear" w:color="auto" w:fill="4DC1E4"/>
          </w:tcPr>
          <w:p>
            <w:pPr>
              <w:spacing w:after="0"/>
              <w:rPr>
                <w:sz w:val="10"/>
                <w:szCs w:val="10"/>
                <w:color w:val="auto"/>
              </w:rPr>
            </w:pPr>
          </w:p>
        </w:tc>
        <w:tc>
          <w:tcPr>
            <w:tcW w:w="320" w:type="dxa"/>
            <w:vAlign w:val="bottom"/>
            <w:shd w:val="clear" w:color="auto" w:fill="4DC1E4"/>
          </w:tcPr>
          <w:p>
            <w:pPr>
              <w:spacing w:after="0"/>
              <w:rPr>
                <w:sz w:val="10"/>
                <w:szCs w:val="10"/>
                <w:color w:val="auto"/>
              </w:rPr>
            </w:pPr>
          </w:p>
        </w:tc>
        <w:tc>
          <w:tcPr>
            <w:tcW w:w="1120" w:type="dxa"/>
            <w:vAlign w:val="bottom"/>
            <w:tcBorders>
              <w:right w:val="single" w:sz="8" w:color="auto"/>
            </w:tcBorders>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tcBorders>
              <w:left w:val="single" w:sz="8" w:color="auto"/>
              <w:bottom w:val="single" w:sz="8" w:color="auto"/>
            </w:tcBorders>
            <w:shd w:val="clear" w:color="auto" w:fill="4DC1E4"/>
          </w:tcPr>
          <w:p>
            <w:pPr>
              <w:spacing w:after="0"/>
              <w:rPr>
                <w:sz w:val="11"/>
                <w:szCs w:val="11"/>
                <w:color w:val="auto"/>
              </w:rPr>
            </w:pPr>
          </w:p>
        </w:tc>
        <w:tc>
          <w:tcPr>
            <w:tcW w:w="1260" w:type="dxa"/>
            <w:vAlign w:val="bottom"/>
            <w:tcBorders>
              <w:bottom w:val="single" w:sz="8" w:color="auto"/>
            </w:tcBorders>
            <w:shd w:val="clear" w:color="auto" w:fill="4DC1E4"/>
          </w:tcPr>
          <w:p>
            <w:pPr>
              <w:spacing w:after="0"/>
              <w:rPr>
                <w:sz w:val="11"/>
                <w:szCs w:val="11"/>
                <w:color w:val="auto"/>
              </w:rPr>
            </w:pPr>
          </w:p>
        </w:tc>
        <w:tc>
          <w:tcPr>
            <w:tcW w:w="1220" w:type="dxa"/>
            <w:vAlign w:val="bottom"/>
            <w:tcBorders>
              <w:bottom w:val="single" w:sz="8" w:color="auto"/>
            </w:tcBorders>
            <w:shd w:val="clear" w:color="auto" w:fill="4DC1E4"/>
          </w:tcPr>
          <w:p>
            <w:pPr>
              <w:spacing w:after="0"/>
              <w:rPr>
                <w:sz w:val="11"/>
                <w:szCs w:val="11"/>
                <w:color w:val="auto"/>
              </w:rPr>
            </w:pPr>
          </w:p>
        </w:tc>
        <w:tc>
          <w:tcPr>
            <w:tcW w:w="500" w:type="dxa"/>
            <w:vAlign w:val="bottom"/>
            <w:tcBorders>
              <w:bottom w:val="single" w:sz="8" w:color="auto"/>
            </w:tcBorders>
            <w:shd w:val="clear" w:color="auto" w:fill="4DC1E4"/>
          </w:tcPr>
          <w:p>
            <w:pPr>
              <w:spacing w:after="0"/>
              <w:rPr>
                <w:sz w:val="11"/>
                <w:szCs w:val="11"/>
                <w:color w:val="auto"/>
              </w:rPr>
            </w:pPr>
          </w:p>
        </w:tc>
        <w:tc>
          <w:tcPr>
            <w:tcW w:w="1200" w:type="dxa"/>
            <w:vAlign w:val="bottom"/>
            <w:tcBorders>
              <w:bottom w:val="single" w:sz="8" w:color="auto"/>
            </w:tcBorders>
            <w:shd w:val="clear" w:color="auto" w:fill="4DC1E4"/>
          </w:tcPr>
          <w:p>
            <w:pPr>
              <w:spacing w:after="0"/>
              <w:rPr>
                <w:sz w:val="11"/>
                <w:szCs w:val="11"/>
                <w:color w:val="auto"/>
              </w:rPr>
            </w:pPr>
          </w:p>
        </w:tc>
        <w:tc>
          <w:tcPr>
            <w:tcW w:w="620" w:type="dxa"/>
            <w:vAlign w:val="bottom"/>
            <w:tcBorders>
              <w:bottom w:val="single" w:sz="8" w:color="auto"/>
            </w:tcBorders>
            <w:shd w:val="clear" w:color="auto" w:fill="4DC1E4"/>
          </w:tcPr>
          <w:p>
            <w:pPr>
              <w:spacing w:after="0"/>
              <w:rPr>
                <w:sz w:val="11"/>
                <w:szCs w:val="11"/>
                <w:color w:val="auto"/>
              </w:rPr>
            </w:pPr>
          </w:p>
        </w:tc>
        <w:tc>
          <w:tcPr>
            <w:tcW w:w="1440" w:type="dxa"/>
            <w:vAlign w:val="bottom"/>
            <w:tcBorders>
              <w:bottom w:val="single" w:sz="8" w:color="auto"/>
            </w:tcBorders>
            <w:shd w:val="clear" w:color="auto" w:fill="4DC1E4"/>
          </w:tcPr>
          <w:p>
            <w:pPr>
              <w:spacing w:after="0"/>
              <w:rPr>
                <w:sz w:val="11"/>
                <w:szCs w:val="11"/>
                <w:color w:val="auto"/>
              </w:rPr>
            </w:pPr>
          </w:p>
        </w:tc>
        <w:tc>
          <w:tcPr>
            <w:tcW w:w="320" w:type="dxa"/>
            <w:vAlign w:val="bottom"/>
            <w:tcBorders>
              <w:bottom w:val="single" w:sz="8" w:color="auto"/>
            </w:tcBorders>
            <w:shd w:val="clear" w:color="auto" w:fill="4DC1E4"/>
          </w:tcPr>
          <w:p>
            <w:pPr>
              <w:spacing w:after="0"/>
              <w:rPr>
                <w:sz w:val="11"/>
                <w:szCs w:val="11"/>
                <w:color w:val="auto"/>
              </w:rPr>
            </w:pPr>
          </w:p>
        </w:tc>
        <w:tc>
          <w:tcPr>
            <w:tcW w:w="1120" w:type="dxa"/>
            <w:vAlign w:val="bottom"/>
            <w:tcBorders>
              <w:bottom w:val="single" w:sz="8" w:color="auto"/>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1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Peter Barrett, Ph.D.</w:t>
            </w: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43,750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17,584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61,334</w:t>
            </w:r>
          </w:p>
        </w:tc>
        <w:tc>
          <w:tcPr>
            <w:tcW w:w="0" w:type="dxa"/>
            <w:vAlign w:val="bottom"/>
          </w:tcPr>
          <w:p>
            <w:pPr>
              <w:spacing w:after="0"/>
              <w:rPr>
                <w:sz w:val="1"/>
                <w:szCs w:val="1"/>
                <w:color w:val="auto"/>
              </w:rPr>
            </w:pPr>
          </w:p>
        </w:tc>
      </w:tr>
      <w:tr>
        <w:trPr>
          <w:trHeight w:val="22"/>
        </w:trPr>
        <w:tc>
          <w:tcPr>
            <w:tcW w:w="312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120" w:type="dxa"/>
            <w:vAlign w:val="bottom"/>
            <w:tcBorders>
              <w:left w:val="single" w:sz="8" w:color="auto"/>
              <w:bottom w:val="single" w:sz="8" w:color="auto"/>
            </w:tcBorders>
          </w:tcPr>
          <w:p>
            <w:pPr>
              <w:ind w:left="160"/>
              <w:spacing w:after="0" w:line="250" w:lineRule="exact"/>
              <w:rPr>
                <w:sz w:val="20"/>
                <w:szCs w:val="20"/>
                <w:color w:val="auto"/>
              </w:rPr>
            </w:pPr>
            <w:r>
              <w:rPr>
                <w:rFonts w:ascii="Times New Roman" w:cs="Times New Roman" w:eastAsia="Times New Roman" w:hAnsi="Times New Roman"/>
                <w:sz w:val="18"/>
                <w:szCs w:val="18"/>
                <w:color w:val="auto"/>
              </w:rPr>
              <w:t>Thomas O. Daniel, M.D.</w:t>
            </w:r>
            <w:r>
              <w:rPr>
                <w:rFonts w:ascii="Times New Roman" w:cs="Times New Roman" w:eastAsia="Times New Roman" w:hAnsi="Times New Roman"/>
                <w:sz w:val="26"/>
                <w:szCs w:val="26"/>
                <w:color w:val="auto"/>
                <w:vertAlign w:val="superscript"/>
              </w:rPr>
              <w:t>(3)</w:t>
            </w:r>
          </w:p>
        </w:tc>
        <w:tc>
          <w:tcPr>
            <w:tcW w:w="12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9,688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40"/>
              <w:spacing w:after="0" w:line="250" w:lineRule="exact"/>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26"/>
                <w:szCs w:val="26"/>
                <w:color w:val="auto"/>
                <w:vertAlign w:val="superscript"/>
              </w:rPr>
              <w:t>(4)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28"/>
        </w:trPr>
        <w:tc>
          <w:tcPr>
            <w:tcW w:w="31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Thomas E. Hamilton</w:t>
            </w: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42,500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17,584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60,084</w:t>
            </w:r>
          </w:p>
        </w:tc>
        <w:tc>
          <w:tcPr>
            <w:tcW w:w="0" w:type="dxa"/>
            <w:vAlign w:val="bottom"/>
          </w:tcPr>
          <w:p>
            <w:pPr>
              <w:spacing w:after="0"/>
              <w:rPr>
                <w:sz w:val="1"/>
                <w:szCs w:val="1"/>
                <w:color w:val="auto"/>
              </w:rPr>
            </w:pPr>
          </w:p>
        </w:tc>
      </w:tr>
      <w:tr>
        <w:trPr>
          <w:trHeight w:val="22"/>
        </w:trPr>
        <w:tc>
          <w:tcPr>
            <w:tcW w:w="312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Jonathan Leff</w:t>
            </w: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47,500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17,584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65,084</w:t>
            </w:r>
          </w:p>
        </w:tc>
        <w:tc>
          <w:tcPr>
            <w:tcW w:w="0" w:type="dxa"/>
            <w:vAlign w:val="bottom"/>
          </w:tcPr>
          <w:p>
            <w:pPr>
              <w:spacing w:after="0"/>
              <w:rPr>
                <w:sz w:val="1"/>
                <w:szCs w:val="1"/>
                <w:color w:val="auto"/>
              </w:rPr>
            </w:pPr>
          </w:p>
        </w:tc>
      </w:tr>
      <w:tr>
        <w:trPr>
          <w:trHeight w:val="22"/>
        </w:trPr>
        <w:tc>
          <w:tcPr>
            <w:tcW w:w="312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w:t>
            </w: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17,584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67,584</w:t>
            </w:r>
          </w:p>
        </w:tc>
        <w:tc>
          <w:tcPr>
            <w:tcW w:w="0" w:type="dxa"/>
            <w:vAlign w:val="bottom"/>
          </w:tcPr>
          <w:p>
            <w:pPr>
              <w:spacing w:after="0"/>
              <w:rPr>
                <w:sz w:val="1"/>
                <w:szCs w:val="1"/>
                <w:color w:val="auto"/>
              </w:rPr>
            </w:pPr>
          </w:p>
        </w:tc>
      </w:tr>
      <w:tr>
        <w:trPr>
          <w:trHeight w:val="22"/>
        </w:trPr>
        <w:tc>
          <w:tcPr>
            <w:tcW w:w="312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Joseph Truitt</w:t>
            </w: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82,500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17,584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100,084</w:t>
            </w:r>
          </w:p>
        </w:tc>
        <w:tc>
          <w:tcPr>
            <w:tcW w:w="0" w:type="dxa"/>
            <w:vAlign w:val="bottom"/>
          </w:tcPr>
          <w:p>
            <w:pPr>
              <w:spacing w:after="0"/>
              <w:rPr>
                <w:sz w:val="1"/>
                <w:szCs w:val="1"/>
                <w:color w:val="auto"/>
              </w:rPr>
            </w:pPr>
          </w:p>
        </w:tc>
      </w:tr>
      <w:tr>
        <w:trPr>
          <w:trHeight w:val="22"/>
        </w:trPr>
        <w:tc>
          <w:tcPr>
            <w:tcW w:w="312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880" w:right="880" w:hanging="764"/>
        <w:spacing w:after="0" w:line="261"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each stock option granted in 2022 determined in accordance with the provisions of Financial Accounting Standards Board Accounting Standards, Codification Topic 718, Compensation — Stock Compensation (“FASB ASC Topic 718”). The assumptions made in the calculation of these amounts are included in Note 8 of the Notes to the Consolidated Financial Statements included in our 2022 Annual Report.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16</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DIRECTOR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4" w:lineRule="exact"/>
        <w:rPr>
          <w:sz w:val="20"/>
          <w:szCs w:val="20"/>
          <w:color w:val="auto"/>
        </w:rPr>
      </w:pPr>
    </w:p>
    <w:p>
      <w:pPr>
        <w:ind w:left="880" w:right="900" w:hanging="764"/>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Drs. Barrett and Daniel and Messrs. Hamilton, Leff, Thomas and Truitt held options to purchase 45,647, 0, 33,200, 33,200, 41,434 and 33,200 shares of our common stock, respectively.</w:t>
      </w:r>
    </w:p>
    <w:p>
      <w:pPr>
        <w:spacing w:after="0" w:line="188" w:lineRule="exact"/>
        <w:rPr>
          <w:rFonts w:ascii="Times New Roman" w:cs="Times New Roman" w:eastAsia="Times New Roman" w:hAnsi="Times New Roman"/>
          <w:sz w:val="18"/>
          <w:szCs w:val="18"/>
          <w:color w:val="auto"/>
        </w:rPr>
      </w:pPr>
    </w:p>
    <w:p>
      <w:pPr>
        <w:ind w:left="880" w:right="880" w:hanging="764"/>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Daniel’s service on our Board ended on May 10, 2022. His annual cash compensation earned for services rendered as a member of our Board and the committees thereof during the fiscal year-ended December 31, 2022 was prorated accordingly.</w:t>
      </w:r>
    </w:p>
    <w:p>
      <w:pPr>
        <w:spacing w:after="0" w:line="188" w:lineRule="exact"/>
        <w:rPr>
          <w:rFonts w:ascii="Times New Roman" w:cs="Times New Roman" w:eastAsia="Times New Roman" w:hAnsi="Times New Roman"/>
          <w:sz w:val="18"/>
          <w:szCs w:val="18"/>
          <w:color w:val="auto"/>
        </w:rPr>
      </w:pPr>
    </w:p>
    <w:p>
      <w:pPr>
        <w:ind w:left="880" w:hanging="764"/>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charitable donation to the Friedreich’s Ataxia Research Alliance in honor of Dr. Daniel’s retirement from our Board.</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17</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20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PwC for the Company and is ultimately responsible for approving those fees. The following is a summary and description of fees for services provided by PwC in 2022 and 2021:</w:t>
      </w:r>
    </w:p>
    <w:p>
      <w:pPr>
        <w:spacing w:after="0" w:line="160" w:lineRule="exact"/>
        <w:rPr>
          <w:sz w:val="20"/>
          <w:szCs w:val="20"/>
          <w:color w:val="auto"/>
        </w:rPr>
      </w:pPr>
    </w:p>
    <w:tbl>
      <w:tblPr>
        <w:tblLayout w:type="fixed"/>
        <w:tblInd w:w="1450" w:type="dxa"/>
        <w:tblCellMar>
          <w:top w:w="0" w:type="dxa"/>
          <w:left w:w="0" w:type="dxa"/>
          <w:bottom w:w="0" w:type="dxa"/>
          <w:right w:w="0" w:type="dxa"/>
        </w:tblCellMar>
      </w:tblPr>
      <w:tr>
        <w:trPr>
          <w:trHeight w:val="252"/>
        </w:trPr>
        <w:tc>
          <w:tcPr>
            <w:tcW w:w="4000" w:type="dxa"/>
            <w:vAlign w:val="bottom"/>
            <w:tcBorders>
              <w:top w:val="single" w:sz="8" w:color="auto"/>
              <w:left w:val="single" w:sz="8" w:color="auto"/>
              <w:right w:val="single" w:sz="8" w:color="auto"/>
            </w:tcBorders>
            <w:vMerge w:val="restart"/>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4"/>
                <w:szCs w:val="14"/>
                <w:b w:val="1"/>
                <w:bCs w:val="1"/>
                <w:color w:val="FFFFFF"/>
              </w:rPr>
              <w:t>ERVICE</w:t>
            </w:r>
          </w:p>
        </w:tc>
        <w:tc>
          <w:tcPr>
            <w:tcW w:w="1880" w:type="dxa"/>
            <w:vAlign w:val="bottom"/>
            <w:tcBorders>
              <w:top w:val="single" w:sz="8" w:color="auto"/>
            </w:tcBorders>
            <w:gridSpan w:val="2"/>
            <w:vMerge w:val="restart"/>
            <w:shd w:val="clear" w:color="auto" w:fill="4DC1E4"/>
          </w:tcPr>
          <w:p>
            <w:pPr>
              <w:jc w:val="center"/>
              <w:ind w:left="1270"/>
              <w:spacing w:after="0"/>
              <w:rPr>
                <w:sz w:val="20"/>
                <w:szCs w:val="20"/>
                <w:color w:val="auto"/>
              </w:rPr>
            </w:pPr>
            <w:r>
              <w:rPr>
                <w:rFonts w:ascii="Times New Roman" w:cs="Times New Roman" w:eastAsia="Times New Roman" w:hAnsi="Times New Roman"/>
                <w:sz w:val="18"/>
                <w:szCs w:val="18"/>
                <w:b w:val="1"/>
                <w:bCs w:val="1"/>
                <w:color w:val="FFFFFF"/>
                <w:w w:val="99"/>
              </w:rPr>
              <w:t>2022</w:t>
            </w:r>
          </w:p>
        </w:tc>
        <w:tc>
          <w:tcPr>
            <w:tcW w:w="680" w:type="dxa"/>
            <w:vAlign w:val="bottom"/>
            <w:tcBorders>
              <w:top w:val="single" w:sz="8" w:color="auto"/>
              <w:right w:val="single" w:sz="8" w:color="auto"/>
            </w:tcBorders>
            <w:shd w:val="clear" w:color="auto" w:fill="4DC1E4"/>
          </w:tcPr>
          <w:p>
            <w:pPr>
              <w:spacing w:after="0"/>
              <w:rPr>
                <w:sz w:val="21"/>
                <w:szCs w:val="21"/>
                <w:color w:val="auto"/>
              </w:rPr>
            </w:pPr>
          </w:p>
        </w:tc>
        <w:tc>
          <w:tcPr>
            <w:tcW w:w="1820" w:type="dxa"/>
            <w:vAlign w:val="bottom"/>
            <w:tcBorders>
              <w:top w:val="single" w:sz="8" w:color="auto"/>
              <w:right w:val="single" w:sz="8" w:color="auto"/>
            </w:tcBorders>
            <w:gridSpan w:val="3"/>
            <w:shd w:val="clear" w:color="auto" w:fill="4DC1E4"/>
          </w:tcPr>
          <w:p>
            <w:pPr>
              <w:jc w:val="right"/>
              <w:ind w:right="180"/>
              <w:spacing w:after="0"/>
              <w:rPr>
                <w:sz w:val="20"/>
                <w:szCs w:val="20"/>
                <w:color w:val="auto"/>
              </w:rPr>
            </w:pPr>
            <w:r>
              <w:rPr>
                <w:rFonts w:ascii="Times New Roman" w:cs="Times New Roman" w:eastAsia="Times New Roman" w:hAnsi="Times New Roman"/>
                <w:sz w:val="18"/>
                <w:szCs w:val="18"/>
                <w:b w:val="1"/>
                <w:bCs w:val="1"/>
                <w:color w:val="FFFFFF"/>
              </w:rPr>
              <w:t>2021</w:t>
            </w:r>
          </w:p>
        </w:tc>
        <w:tc>
          <w:tcPr>
            <w:tcW w:w="0" w:type="dxa"/>
            <w:vAlign w:val="bottom"/>
          </w:tcPr>
          <w:p>
            <w:pPr>
              <w:spacing w:after="0"/>
              <w:rPr>
                <w:sz w:val="1"/>
                <w:szCs w:val="1"/>
                <w:color w:val="auto"/>
              </w:rPr>
            </w:pPr>
          </w:p>
        </w:tc>
      </w:tr>
      <w:tr>
        <w:trPr>
          <w:trHeight w:val="261"/>
        </w:trPr>
        <w:tc>
          <w:tcPr>
            <w:tcW w:w="4000" w:type="dxa"/>
            <w:vAlign w:val="bottom"/>
            <w:tcBorders>
              <w:left w:val="single" w:sz="8" w:color="auto"/>
              <w:bottom w:val="single" w:sz="8" w:color="4DC1E4"/>
              <w:right w:val="single" w:sz="8" w:color="auto"/>
            </w:tcBorders>
            <w:vMerge w:val="continue"/>
            <w:shd w:val="clear" w:color="auto" w:fill="4DC1E4"/>
          </w:tcPr>
          <w:p>
            <w:pPr>
              <w:spacing w:after="0"/>
              <w:rPr>
                <w:sz w:val="22"/>
                <w:szCs w:val="22"/>
                <w:color w:val="auto"/>
              </w:rPr>
            </w:pPr>
          </w:p>
        </w:tc>
        <w:tc>
          <w:tcPr>
            <w:tcW w:w="1880" w:type="dxa"/>
            <w:vAlign w:val="bottom"/>
            <w:tcBorders>
              <w:bottom w:val="single" w:sz="8" w:color="4DC1E4"/>
            </w:tcBorders>
            <w:gridSpan w:val="2"/>
            <w:vMerge w:val="continue"/>
            <w:shd w:val="clear" w:color="auto" w:fill="4DC1E4"/>
          </w:tcPr>
          <w:p>
            <w:pPr>
              <w:spacing w:after="0"/>
              <w:rPr>
                <w:sz w:val="22"/>
                <w:szCs w:val="22"/>
                <w:color w:val="auto"/>
              </w:rPr>
            </w:pPr>
          </w:p>
        </w:tc>
        <w:tc>
          <w:tcPr>
            <w:tcW w:w="680" w:type="dxa"/>
            <w:vAlign w:val="bottom"/>
            <w:tcBorders>
              <w:bottom w:val="single" w:sz="8" w:color="4DC1E4"/>
              <w:right w:val="single" w:sz="8" w:color="auto"/>
            </w:tcBorders>
            <w:shd w:val="clear" w:color="auto" w:fill="4DC1E4"/>
          </w:tcPr>
          <w:p>
            <w:pPr>
              <w:spacing w:after="0"/>
              <w:rPr>
                <w:sz w:val="22"/>
                <w:szCs w:val="22"/>
                <w:color w:val="auto"/>
              </w:rPr>
            </w:pPr>
          </w:p>
        </w:tc>
        <w:tc>
          <w:tcPr>
            <w:tcW w:w="1020" w:type="dxa"/>
            <w:vAlign w:val="bottom"/>
            <w:tcBorders>
              <w:bottom w:val="single" w:sz="8" w:color="4DC1E4"/>
            </w:tcBorders>
            <w:shd w:val="clear" w:color="auto" w:fill="4DC1E4"/>
          </w:tcPr>
          <w:p>
            <w:pPr>
              <w:spacing w:after="0"/>
              <w:rPr>
                <w:sz w:val="22"/>
                <w:szCs w:val="22"/>
                <w:color w:val="auto"/>
              </w:rPr>
            </w:pPr>
          </w:p>
        </w:tc>
        <w:tc>
          <w:tcPr>
            <w:tcW w:w="500" w:type="dxa"/>
            <w:vAlign w:val="bottom"/>
            <w:tcBorders>
              <w:bottom w:val="single" w:sz="8" w:color="4DC1E4"/>
            </w:tcBorders>
            <w:shd w:val="clear" w:color="auto" w:fill="4DC1E4"/>
          </w:tcPr>
          <w:p>
            <w:pPr>
              <w:spacing w:after="0"/>
              <w:rPr>
                <w:sz w:val="22"/>
                <w:szCs w:val="22"/>
                <w:color w:val="auto"/>
              </w:rPr>
            </w:pPr>
          </w:p>
        </w:tc>
        <w:tc>
          <w:tcPr>
            <w:tcW w:w="300" w:type="dxa"/>
            <w:vAlign w:val="bottom"/>
            <w:tcBorders>
              <w:bottom w:val="single" w:sz="8" w:color="4DC1E4"/>
              <w:right w:val="single" w:sz="8" w:color="auto"/>
            </w:tcBorders>
            <w:shd w:val="clear" w:color="auto" w:fill="4DC1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 Fees</w:t>
            </w:r>
          </w:p>
        </w:tc>
        <w:tc>
          <w:tcPr>
            <w:tcW w:w="2560" w:type="dxa"/>
            <w:vAlign w:val="bottom"/>
            <w:tcBorders>
              <w:top w:val="single" w:sz="8" w:color="auto"/>
              <w:right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7"/>
              </w:rPr>
              <w:t>$630,750</w:t>
            </w:r>
          </w:p>
        </w:tc>
        <w:tc>
          <w:tcPr>
            <w:tcW w:w="1820" w:type="dxa"/>
            <w:vAlign w:val="bottom"/>
            <w:tcBorders>
              <w:top w:val="single" w:sz="8" w:color="auto"/>
              <w:right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7"/>
              </w:rPr>
              <w:t>$582,000</w:t>
            </w:r>
          </w:p>
        </w:tc>
        <w:tc>
          <w:tcPr>
            <w:tcW w:w="0" w:type="dxa"/>
            <w:vAlign w:val="bottom"/>
          </w:tcPr>
          <w:p>
            <w:pPr>
              <w:spacing w:after="0"/>
              <w:rPr>
                <w:sz w:val="1"/>
                <w:szCs w:val="1"/>
                <w:color w:val="auto"/>
              </w:rPr>
            </w:pPr>
          </w:p>
        </w:tc>
      </w:tr>
      <w:tr>
        <w:trPr>
          <w:trHeight w:val="22"/>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0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Audit-Related Fees</w:t>
            </w: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 Fees</w:t>
            </w: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3"/>
        </w:trPr>
        <w:tc>
          <w:tcPr>
            <w:tcW w:w="4000" w:type="dxa"/>
            <w:vAlign w:val="bottom"/>
            <w:tcBorders>
              <w:left w:val="single" w:sz="8" w:color="auto"/>
              <w:right w:val="single" w:sz="8" w:color="auto"/>
            </w:tcBorders>
          </w:tcPr>
          <w:p>
            <w:pPr>
              <w:ind w:left="240"/>
              <w:spacing w:after="0" w:line="173" w:lineRule="exact"/>
              <w:rPr>
                <w:sz w:val="20"/>
                <w:szCs w:val="20"/>
                <w:color w:val="auto"/>
              </w:rPr>
            </w:pPr>
            <w:r>
              <w:rPr>
                <w:rFonts w:ascii="Times New Roman" w:cs="Times New Roman" w:eastAsia="Times New Roman" w:hAnsi="Times New Roman"/>
                <w:sz w:val="18"/>
                <w:szCs w:val="18"/>
                <w:color w:val="auto"/>
              </w:rPr>
              <w:t>All Other Fees</w:t>
            </w:r>
          </w:p>
        </w:tc>
        <w:tc>
          <w:tcPr>
            <w:tcW w:w="2560" w:type="dxa"/>
            <w:vAlign w:val="bottom"/>
            <w:tcBorders>
              <w:right w:val="single" w:sz="8" w:color="auto"/>
            </w:tcBorders>
            <w:gridSpan w:val="3"/>
          </w:tcPr>
          <w:p>
            <w:pPr>
              <w:jc w:val="center"/>
              <w:ind w:left="610"/>
              <w:spacing w:after="0" w:line="17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w:t>
            </w:r>
          </w:p>
        </w:tc>
        <w:tc>
          <w:tcPr>
            <w:tcW w:w="1820" w:type="dxa"/>
            <w:vAlign w:val="bottom"/>
            <w:tcBorders>
              <w:right w:val="single" w:sz="8" w:color="auto"/>
            </w:tcBorders>
            <w:gridSpan w:val="3"/>
          </w:tcPr>
          <w:p>
            <w:pPr>
              <w:jc w:val="center"/>
              <w:ind w:left="630"/>
              <w:spacing w:after="0" w:line="17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01"/>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tcBorders>
              <w:bottom w:val="single" w:sz="8" w:color="auto"/>
              <w:right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7"/>
              </w:rPr>
              <w:t>$631,750</w:t>
            </w:r>
          </w:p>
        </w:tc>
        <w:tc>
          <w:tcPr>
            <w:tcW w:w="1820" w:type="dxa"/>
            <w:vAlign w:val="bottom"/>
            <w:tcBorders>
              <w:bottom w:val="single" w:sz="8" w:color="auto"/>
              <w:right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7"/>
              </w:rPr>
              <w:t>$583,000</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3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Related Fees</w:t>
      </w:r>
      <w:r>
        <w:rPr>
          <w:rFonts w:ascii="Times New Roman" w:cs="Times New Roman" w:eastAsia="Times New Roman" w:hAnsi="Times New Roman"/>
          <w:sz w:val="18"/>
          <w:szCs w:val="18"/>
          <w:color w:val="auto"/>
        </w:rPr>
        <w:t>” represents the fees billed for assurance and related services that are reasonably related to the performance of the audit or review of the consolidated financial statements of the Company and are not reported under “Audit fees.”</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18"/>
          <w:szCs w:val="18"/>
          <w:color w:val="auto"/>
        </w:rPr>
        <w:t>” consists of fees related to tax compliance, tax planning and tax advice.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represents payment for access to PwC’s on-line software tools. These fees were approved by the Audit Committee.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0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3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All such audit and permissible non-audit services were pre-approved in accordance with this policy during the fiscal year ended December 31, 2022.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18</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w:t>
      </w:r>
    </w:p>
    <w:p>
      <w:pPr>
        <w:spacing w:after="0" w:line="19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2022, PwC, is responsible for performing an independent audit of the consolidated financial statements and expressing an opinion on the conformity of those consolidated financial statements with generally accepted accounting principles.</w:t>
      </w:r>
    </w:p>
    <w:p>
      <w:pPr>
        <w:spacing w:after="0" w:line="143"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contained in the Company’s 2022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w:t>
      </w:r>
    </w:p>
    <w:p>
      <w:pPr>
        <w:spacing w:after="0" w:line="14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2022 Annual Report.</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 Thomas (Chair)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Joseph Truitt</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19</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23" w:lineRule="exact"/>
        <w:rPr>
          <w:sz w:val="20"/>
          <w:szCs w:val="20"/>
          <w:color w:val="auto"/>
        </w:rPr>
      </w:pPr>
    </w:p>
    <w:tbl>
      <w:tblPr>
        <w:tblLayout w:type="fixed"/>
        <w:tblInd w:w="130" w:type="dxa"/>
        <w:tblCellMar>
          <w:top w:w="0" w:type="dxa"/>
          <w:left w:w="0" w:type="dxa"/>
          <w:bottom w:w="0" w:type="dxa"/>
          <w:right w:w="0" w:type="dxa"/>
        </w:tblCellMar>
      </w:tblPr>
      <w:tr>
        <w:trPr>
          <w:trHeight w:val="260"/>
        </w:trPr>
        <w:tc>
          <w:tcPr>
            <w:tcW w:w="4180" w:type="dxa"/>
            <w:vAlign w:val="bottom"/>
            <w:tcBorders>
              <w:top w:val="single" w:sz="8" w:color="auto"/>
              <w:left w:val="single" w:sz="8" w:color="auto"/>
              <w:right w:val="single" w:sz="8" w:color="auto"/>
            </w:tcBorders>
            <w:shd w:val="clear" w:color="auto" w:fill="4DC1E4"/>
          </w:tcPr>
          <w:p>
            <w:pPr>
              <w:ind w:left="24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4"/>
                <w:szCs w:val="14"/>
                <w:b w:val="1"/>
                <w:bCs w:val="1"/>
                <w:color w:val="FFFFFF"/>
              </w:rPr>
              <w:t>AME</w:t>
            </w:r>
          </w:p>
        </w:tc>
        <w:tc>
          <w:tcPr>
            <w:tcW w:w="300" w:type="dxa"/>
            <w:vAlign w:val="bottom"/>
            <w:tcBorders>
              <w:top w:val="single" w:sz="8" w:color="auto"/>
              <w:right w:val="single" w:sz="8" w:color="auto"/>
            </w:tcBorders>
            <w:shd w:val="clear" w:color="auto" w:fill="4DC1E4"/>
          </w:tcPr>
          <w:p>
            <w:pPr>
              <w:spacing w:after="0"/>
              <w:rPr>
                <w:sz w:val="22"/>
                <w:szCs w:val="22"/>
                <w:color w:val="auto"/>
              </w:rPr>
            </w:pPr>
          </w:p>
        </w:tc>
        <w:tc>
          <w:tcPr>
            <w:tcW w:w="4140" w:type="dxa"/>
            <w:vAlign w:val="bottom"/>
            <w:tcBorders>
              <w:top w:val="single" w:sz="8" w:color="auto"/>
              <w:right w:val="single" w:sz="8" w:color="auto"/>
            </w:tcBorders>
            <w:shd w:val="clear" w:color="auto" w:fill="4DC1E4"/>
          </w:tcPr>
          <w:p>
            <w:pPr>
              <w:ind w:left="80"/>
              <w:spacing w:after="0"/>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OSITION</w:t>
            </w:r>
          </w:p>
        </w:tc>
        <w:tc>
          <w:tcPr>
            <w:tcW w:w="420" w:type="dxa"/>
            <w:vAlign w:val="bottom"/>
            <w:tcBorders>
              <w:top w:val="single" w:sz="8" w:color="auto"/>
              <w:right w:val="single" w:sz="8" w:color="auto"/>
            </w:tcBorders>
            <w:shd w:val="clear" w:color="auto" w:fill="4DC1E4"/>
          </w:tcPr>
          <w:p>
            <w:pPr>
              <w:spacing w:after="0"/>
              <w:rPr>
                <w:sz w:val="22"/>
                <w:szCs w:val="22"/>
                <w:color w:val="auto"/>
              </w:rPr>
            </w:pPr>
          </w:p>
        </w:tc>
        <w:tc>
          <w:tcPr>
            <w:tcW w:w="1880" w:type="dxa"/>
            <w:vAlign w:val="bottom"/>
            <w:tcBorders>
              <w:top w:val="single" w:sz="8" w:color="auto"/>
              <w:right w:val="single" w:sz="8" w:color="auto"/>
            </w:tcBorders>
            <w:shd w:val="clear" w:color="auto" w:fill="4DC1E4"/>
          </w:tcPr>
          <w:p>
            <w:pPr>
              <w:jc w:val="right"/>
              <w:ind w:right="1435"/>
              <w:spacing w:after="0"/>
              <w:rPr>
                <w:sz w:val="20"/>
                <w:szCs w:val="20"/>
                <w:color w:val="auto"/>
              </w:rPr>
            </w:pPr>
            <w:r>
              <w:rPr>
                <w:rFonts w:ascii="Times New Roman" w:cs="Times New Roman" w:eastAsia="Times New Roman" w:hAnsi="Times New Roman"/>
                <w:sz w:val="14"/>
                <w:szCs w:val="14"/>
                <w:b w:val="1"/>
                <w:bCs w:val="1"/>
                <w:color w:val="FFFFFF"/>
              </w:rPr>
              <w:t>A</w:t>
            </w:r>
            <w:r>
              <w:rPr>
                <w:rFonts w:ascii="Times New Roman" w:cs="Times New Roman" w:eastAsia="Times New Roman" w:hAnsi="Times New Roman"/>
                <w:sz w:val="11"/>
                <w:szCs w:val="11"/>
                <w:b w:val="1"/>
                <w:bCs w:val="1"/>
                <w:color w:val="FFFFFF"/>
              </w:rPr>
              <w:t>GE</w:t>
            </w:r>
          </w:p>
        </w:tc>
      </w:tr>
      <w:tr>
        <w:trPr>
          <w:trHeight w:val="64"/>
        </w:trPr>
        <w:tc>
          <w:tcPr>
            <w:tcW w:w="4180" w:type="dxa"/>
            <w:vAlign w:val="bottom"/>
            <w:tcBorders>
              <w:left w:val="single" w:sz="8" w:color="auto"/>
              <w:bottom w:val="single" w:sz="8" w:color="auto"/>
              <w:right w:val="single" w:sz="8" w:color="auto"/>
            </w:tcBorders>
            <w:shd w:val="clear" w:color="auto" w:fill="4DC1E4"/>
          </w:tcPr>
          <w:p>
            <w:pPr>
              <w:spacing w:after="0"/>
              <w:rPr>
                <w:sz w:val="5"/>
                <w:szCs w:val="5"/>
                <w:color w:val="auto"/>
              </w:rPr>
            </w:pPr>
          </w:p>
        </w:tc>
        <w:tc>
          <w:tcPr>
            <w:tcW w:w="300" w:type="dxa"/>
            <w:vAlign w:val="bottom"/>
            <w:tcBorders>
              <w:bottom w:val="single" w:sz="8" w:color="auto"/>
              <w:right w:val="single" w:sz="8" w:color="auto"/>
            </w:tcBorders>
            <w:shd w:val="clear" w:color="auto" w:fill="4DC1E4"/>
          </w:tcPr>
          <w:p>
            <w:pPr>
              <w:spacing w:after="0"/>
              <w:rPr>
                <w:sz w:val="5"/>
                <w:szCs w:val="5"/>
                <w:color w:val="auto"/>
              </w:rPr>
            </w:pPr>
          </w:p>
        </w:tc>
        <w:tc>
          <w:tcPr>
            <w:tcW w:w="4140" w:type="dxa"/>
            <w:vAlign w:val="bottom"/>
            <w:tcBorders>
              <w:bottom w:val="single" w:sz="8" w:color="auto"/>
              <w:right w:val="single" w:sz="8" w:color="auto"/>
            </w:tcBorders>
            <w:shd w:val="clear" w:color="auto" w:fill="4DC1E4"/>
          </w:tcPr>
          <w:p>
            <w:pPr>
              <w:spacing w:after="0"/>
              <w:rPr>
                <w:sz w:val="5"/>
                <w:szCs w:val="5"/>
                <w:color w:val="auto"/>
              </w:rPr>
            </w:pPr>
          </w:p>
        </w:tc>
        <w:tc>
          <w:tcPr>
            <w:tcW w:w="420" w:type="dxa"/>
            <w:vAlign w:val="bottom"/>
            <w:tcBorders>
              <w:bottom w:val="single" w:sz="8" w:color="auto"/>
              <w:right w:val="single" w:sz="8" w:color="auto"/>
            </w:tcBorders>
            <w:shd w:val="clear" w:color="auto" w:fill="4DC1E4"/>
          </w:tcPr>
          <w:p>
            <w:pPr>
              <w:spacing w:after="0"/>
              <w:rPr>
                <w:sz w:val="5"/>
                <w:szCs w:val="5"/>
                <w:color w:val="auto"/>
              </w:rPr>
            </w:pPr>
          </w:p>
        </w:tc>
        <w:tc>
          <w:tcPr>
            <w:tcW w:w="1880" w:type="dxa"/>
            <w:vAlign w:val="bottom"/>
            <w:tcBorders>
              <w:bottom w:val="single" w:sz="8" w:color="auto"/>
              <w:right w:val="single" w:sz="8" w:color="auto"/>
            </w:tcBorders>
            <w:shd w:val="clear" w:color="auto" w:fill="4DC1E4"/>
          </w:tcPr>
          <w:p>
            <w:pPr>
              <w:spacing w:after="0"/>
              <w:rPr>
                <w:sz w:val="5"/>
                <w:szCs w:val="5"/>
                <w:color w:val="auto"/>
              </w:rPr>
            </w:pPr>
          </w:p>
        </w:tc>
      </w:tr>
      <w:tr>
        <w:trPr>
          <w:trHeight w:val="209"/>
        </w:trPr>
        <w:tc>
          <w:tcPr>
            <w:tcW w:w="418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Carole S. Ben-Maimon, M.D.</w:t>
            </w:r>
          </w:p>
        </w:tc>
        <w:tc>
          <w:tcPr>
            <w:tcW w:w="30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right"/>
              <w:ind w:right="1435"/>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18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Celano</w:t>
            </w:r>
          </w:p>
        </w:tc>
        <w:tc>
          <w:tcPr>
            <w:tcW w:w="30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42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1435"/>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18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30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42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1435"/>
              <w:spacing w:after="0"/>
              <w:rPr>
                <w:sz w:val="20"/>
                <w:szCs w:val="20"/>
                <w:color w:val="auto"/>
              </w:rPr>
            </w:pPr>
            <w:r>
              <w:rPr>
                <w:rFonts w:ascii="Times New Roman" w:cs="Times New Roman" w:eastAsia="Times New Roman" w:hAnsi="Times New Roman"/>
                <w:sz w:val="18"/>
                <w:szCs w:val="18"/>
                <w:color w:val="auto"/>
              </w:rPr>
              <w:t>52</w:t>
            </w:r>
          </w:p>
        </w:tc>
      </w:tr>
    </w:tbl>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Carole S. Ben-Maimon, M.D. — </w:t>
      </w:r>
      <w:r>
        <w:rPr>
          <w:rFonts w:ascii="Times New Roman" w:cs="Times New Roman" w:eastAsia="Times New Roman" w:hAnsi="Times New Roman"/>
          <w:sz w:val="18"/>
          <w:szCs w:val="18"/>
          <w:color w:val="auto"/>
        </w:rPr>
        <w:t>For biographical information for Carole S. Ben-Maimon, M.D., see “Board of Directors — Director Nominees.”</w:t>
      </w:r>
    </w:p>
    <w:p>
      <w:pPr>
        <w:spacing w:after="0" w:line="185"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Celano </w:t>
      </w:r>
      <w:r>
        <w:rPr>
          <w:rFonts w:ascii="Times New Roman" w:cs="Times New Roman" w:eastAsia="Times New Roman" w:hAnsi="Times New Roman"/>
          <w:sz w:val="18"/>
          <w:szCs w:val="18"/>
          <w:color w:val="auto"/>
        </w:rPr>
        <w:t>has served as our Chief Financial Officer since May 2020 and as our Secretary since April 2021.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Celano 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Recro Pharma, Inc. (“Recro”), and from July 2016 to January 2018, Mr. Celano served as Chief Financial Officer of Recro.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w:t>
      </w:r>
    </w:p>
    <w:p>
      <w:pPr>
        <w:spacing w:after="0" w:line="14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Gopi Shankar, Ph.D., MBA, FAAPS </w:t>
      </w:r>
      <w:r>
        <w:rPr>
          <w:rFonts w:ascii="Times New Roman" w:cs="Times New Roman" w:eastAsia="Times New Roman" w:hAnsi="Times New Roman"/>
          <w:sz w:val="18"/>
          <w:szCs w:val="18"/>
          <w:color w:val="auto"/>
        </w:rPr>
        <w:t>has served as our Chief Development Officer since February 2023. Before joining the Company, Dr. Shankar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Vice President and Global Head, Biologics Development Sciences at Janssen Research &amp; Development, Inc. (“Janssen R&amp;D”), a pharmaceutical company of Johnson &amp; Johnson, Inc. (“Johnson &amp; Johnson”), where he led a global, 175-person R&amp;D team that contributed to more than 60 combined investigational new drug applications, biologics license applications, and marketing authorization application filings from April 2018 to April 2022, after which he undertook a sabbatical from April 2022 to February 2023. Dr. Shankar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and President-elect of the American Association of Pharmaceutical Scientists (“AAPS”) and was previously awarded the AAPS Distinguished Service Award. He also received several leadership and innovation awards, including two of Johnson &amp; Johnson’s top recognitions —the Philip B. Hoffman Research Scientist Award and the SPARK Innovation Award. Dr. Shankar holds a B.S. in Biology from Saint Mary’s University, an M.S. in Molecular and Cell Biology from Oklahoma State University, a Ph.D. in Immunology from the University of Kentucky and a MBA in Leadership &amp; General Management from Drexel University’s LeBow College of Business.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20</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In 2022, our named executive officers were: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M.D., our President and Chief Executive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 our Chief Financial Officer and Secretary.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22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during the fiscal years ended December 31, 2022 and December 31, 2021:</w:t>
      </w:r>
    </w:p>
    <w:p>
      <w:pPr>
        <w:spacing w:after="0" w:line="160" w:lineRule="exact"/>
        <w:rPr>
          <w:sz w:val="20"/>
          <w:szCs w:val="20"/>
          <w:color w:val="auto"/>
        </w:rPr>
      </w:pPr>
    </w:p>
    <w:tbl>
      <w:tblPr>
        <w:tblLayout w:type="fixed"/>
        <w:tblInd w:w="130" w:type="dxa"/>
        <w:tblCellMar>
          <w:top w:w="0" w:type="dxa"/>
          <w:left w:w="0" w:type="dxa"/>
          <w:bottom w:w="0" w:type="dxa"/>
          <w:right w:w="0" w:type="dxa"/>
        </w:tblCellMar>
      </w:tblPr>
      <w:tr>
        <w:trPr>
          <w:trHeight w:val="128"/>
        </w:trPr>
        <w:tc>
          <w:tcPr>
            <w:tcW w:w="3580" w:type="dxa"/>
            <w:vAlign w:val="bottom"/>
            <w:tcBorders>
              <w:top w:val="single" w:sz="8" w:color="auto"/>
              <w:left w:val="single" w:sz="8" w:color="auto"/>
            </w:tcBorders>
            <w:shd w:val="clear" w:color="auto" w:fill="4DC1E4"/>
          </w:tcPr>
          <w:p>
            <w:pPr>
              <w:spacing w:after="0"/>
              <w:rPr>
                <w:sz w:val="11"/>
                <w:szCs w:val="11"/>
                <w:color w:val="auto"/>
              </w:rPr>
            </w:pPr>
          </w:p>
        </w:tc>
        <w:tc>
          <w:tcPr>
            <w:tcW w:w="700" w:type="dxa"/>
            <w:vAlign w:val="bottom"/>
            <w:tcBorders>
              <w:top w:val="single" w:sz="8" w:color="auto"/>
            </w:tcBorders>
            <w:shd w:val="clear" w:color="auto" w:fill="4DC1E4"/>
          </w:tcPr>
          <w:p>
            <w:pPr>
              <w:spacing w:after="0"/>
              <w:rPr>
                <w:sz w:val="11"/>
                <w:szCs w:val="11"/>
                <w:color w:val="auto"/>
              </w:rPr>
            </w:pPr>
          </w:p>
        </w:tc>
        <w:tc>
          <w:tcPr>
            <w:tcW w:w="280" w:type="dxa"/>
            <w:vAlign w:val="bottom"/>
            <w:tcBorders>
              <w:top w:val="single" w:sz="8" w:color="auto"/>
            </w:tcBorders>
            <w:shd w:val="clear" w:color="auto" w:fill="4DC1E4"/>
          </w:tcPr>
          <w:p>
            <w:pPr>
              <w:spacing w:after="0"/>
              <w:rPr>
                <w:sz w:val="11"/>
                <w:szCs w:val="11"/>
                <w:color w:val="auto"/>
              </w:rPr>
            </w:pPr>
          </w:p>
        </w:tc>
        <w:tc>
          <w:tcPr>
            <w:tcW w:w="860" w:type="dxa"/>
            <w:vAlign w:val="bottom"/>
            <w:tcBorders>
              <w:top w:val="single" w:sz="8" w:color="auto"/>
            </w:tcBorders>
            <w:vMerge w:val="restart"/>
            <w:shd w:val="clear" w:color="auto" w:fill="4DC1E4"/>
          </w:tcPr>
          <w:p>
            <w:pPr>
              <w:jc w:val="right"/>
              <w:ind w:right="293"/>
              <w:spacing w:after="0"/>
              <w:rPr>
                <w:sz w:val="20"/>
                <w:szCs w:val="20"/>
                <w:color w:val="auto"/>
              </w:rPr>
            </w:pPr>
            <w:r>
              <w:rPr>
                <w:rFonts w:ascii="Times New Roman" w:cs="Times New Roman" w:eastAsia="Times New Roman" w:hAnsi="Times New Roman"/>
                <w:sz w:val="13"/>
                <w:szCs w:val="13"/>
                <w:b w:val="1"/>
                <w:bCs w:val="1"/>
                <w:color w:val="FFFFFF"/>
              </w:rPr>
              <w:t>S</w:t>
            </w:r>
            <w:r>
              <w:rPr>
                <w:rFonts w:ascii="Times New Roman" w:cs="Times New Roman" w:eastAsia="Times New Roman" w:hAnsi="Times New Roman"/>
                <w:sz w:val="10"/>
                <w:szCs w:val="10"/>
                <w:b w:val="1"/>
                <w:bCs w:val="1"/>
                <w:color w:val="FFFFFF"/>
              </w:rPr>
              <w:t>ALARY</w:t>
            </w:r>
          </w:p>
        </w:tc>
        <w:tc>
          <w:tcPr>
            <w:tcW w:w="300" w:type="dxa"/>
            <w:vAlign w:val="bottom"/>
            <w:tcBorders>
              <w:top w:val="single" w:sz="8" w:color="auto"/>
            </w:tcBorders>
            <w:shd w:val="clear" w:color="auto" w:fill="4DC1E4"/>
          </w:tcPr>
          <w:p>
            <w:pPr>
              <w:spacing w:after="0"/>
              <w:rPr>
                <w:sz w:val="11"/>
                <w:szCs w:val="11"/>
                <w:color w:val="auto"/>
              </w:rPr>
            </w:pPr>
          </w:p>
        </w:tc>
        <w:tc>
          <w:tcPr>
            <w:tcW w:w="1000" w:type="dxa"/>
            <w:vAlign w:val="bottom"/>
            <w:tcBorders>
              <w:top w:val="single" w:sz="8" w:color="auto"/>
            </w:tcBorders>
            <w:vMerge w:val="restart"/>
            <w:shd w:val="clear" w:color="auto" w:fill="4DC1E4"/>
          </w:tcPr>
          <w:p>
            <w:pPr>
              <w:jc w:val="right"/>
              <w:ind w:right="453"/>
              <w:spacing w:after="0"/>
              <w:rPr>
                <w:sz w:val="20"/>
                <w:szCs w:val="20"/>
                <w:color w:val="auto"/>
              </w:rPr>
            </w:pPr>
            <w:r>
              <w:rPr>
                <w:rFonts w:ascii="Times New Roman" w:cs="Times New Roman" w:eastAsia="Times New Roman" w:hAnsi="Times New Roman"/>
                <w:sz w:val="13"/>
                <w:szCs w:val="13"/>
                <w:b w:val="1"/>
                <w:bCs w:val="1"/>
                <w:color w:val="FFFFFF"/>
              </w:rPr>
              <w:t>B</w:t>
            </w:r>
            <w:r>
              <w:rPr>
                <w:rFonts w:ascii="Times New Roman" w:cs="Times New Roman" w:eastAsia="Times New Roman" w:hAnsi="Times New Roman"/>
                <w:sz w:val="10"/>
                <w:szCs w:val="10"/>
                <w:b w:val="1"/>
                <w:bCs w:val="1"/>
                <w:color w:val="FFFFFF"/>
              </w:rPr>
              <w:t>ONUS</w:t>
            </w:r>
          </w:p>
        </w:tc>
        <w:tc>
          <w:tcPr>
            <w:tcW w:w="260" w:type="dxa"/>
            <w:vAlign w:val="bottom"/>
            <w:tcBorders>
              <w:top w:val="single" w:sz="8" w:color="auto"/>
            </w:tcBorders>
            <w:shd w:val="clear" w:color="auto" w:fill="4DC1E4"/>
          </w:tcPr>
          <w:p>
            <w:pPr>
              <w:spacing w:after="0"/>
              <w:rPr>
                <w:sz w:val="11"/>
                <w:szCs w:val="11"/>
                <w:color w:val="auto"/>
              </w:rPr>
            </w:pPr>
          </w:p>
        </w:tc>
        <w:tc>
          <w:tcPr>
            <w:tcW w:w="960" w:type="dxa"/>
            <w:vAlign w:val="bottom"/>
            <w:tcBorders>
              <w:top w:val="single" w:sz="8" w:color="auto"/>
            </w:tcBorders>
            <w:shd w:val="clear" w:color="auto" w:fill="4DC1E4"/>
          </w:tcPr>
          <w:p>
            <w:pPr>
              <w:jc w:val="center"/>
              <w:ind w:right="233"/>
              <w:spacing w:after="0" w:line="128" w:lineRule="exact"/>
              <w:rPr>
                <w:sz w:val="20"/>
                <w:szCs w:val="20"/>
                <w:color w:val="auto"/>
              </w:rPr>
            </w:pPr>
            <w:r>
              <w:rPr>
                <w:rFonts w:ascii="Times New Roman" w:cs="Times New Roman" w:eastAsia="Times New Roman" w:hAnsi="Times New Roman"/>
                <w:sz w:val="13"/>
                <w:szCs w:val="13"/>
                <w:b w:val="1"/>
                <w:bCs w:val="1"/>
                <w:color w:val="FFFFFF"/>
              </w:rPr>
              <w:t>O</w:t>
            </w:r>
            <w:r>
              <w:rPr>
                <w:rFonts w:ascii="Times New Roman" w:cs="Times New Roman" w:eastAsia="Times New Roman" w:hAnsi="Times New Roman"/>
                <w:sz w:val="10"/>
                <w:szCs w:val="10"/>
                <w:b w:val="1"/>
                <w:bCs w:val="1"/>
                <w:color w:val="FFFFFF"/>
              </w:rPr>
              <w:t>PTION</w:t>
            </w:r>
          </w:p>
        </w:tc>
        <w:tc>
          <w:tcPr>
            <w:tcW w:w="200" w:type="dxa"/>
            <w:vAlign w:val="bottom"/>
            <w:tcBorders>
              <w:top w:val="single" w:sz="8" w:color="auto"/>
            </w:tcBorders>
            <w:shd w:val="clear" w:color="auto" w:fill="4DC1E4"/>
          </w:tcPr>
          <w:p>
            <w:pPr>
              <w:spacing w:after="0"/>
              <w:rPr>
                <w:sz w:val="11"/>
                <w:szCs w:val="11"/>
                <w:color w:val="auto"/>
              </w:rPr>
            </w:pPr>
          </w:p>
        </w:tc>
        <w:tc>
          <w:tcPr>
            <w:tcW w:w="1100" w:type="dxa"/>
            <w:vAlign w:val="bottom"/>
            <w:tcBorders>
              <w:top w:val="single" w:sz="8" w:color="auto"/>
            </w:tcBorders>
            <w:shd w:val="clear" w:color="auto" w:fill="4DC1E4"/>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FFFFFF"/>
              </w:rPr>
              <w:t>A</w:t>
            </w:r>
            <w:r>
              <w:rPr>
                <w:rFonts w:ascii="Times New Roman" w:cs="Times New Roman" w:eastAsia="Times New Roman" w:hAnsi="Times New Roman"/>
                <w:sz w:val="10"/>
                <w:szCs w:val="10"/>
                <w:b w:val="1"/>
                <w:bCs w:val="1"/>
                <w:color w:val="FFFFFF"/>
              </w:rPr>
              <w:t>LL</w:t>
            </w:r>
            <w:r>
              <w:rPr>
                <w:rFonts w:ascii="Times New Roman" w:cs="Times New Roman" w:eastAsia="Times New Roman" w:hAnsi="Times New Roman"/>
                <w:sz w:val="13"/>
                <w:szCs w:val="13"/>
                <w:b w:val="1"/>
                <w:bCs w:val="1"/>
                <w:color w:val="FFFFFF"/>
              </w:rPr>
              <w:t xml:space="preserve"> O</w:t>
            </w:r>
            <w:r>
              <w:rPr>
                <w:rFonts w:ascii="Times New Roman" w:cs="Times New Roman" w:eastAsia="Times New Roman" w:hAnsi="Times New Roman"/>
                <w:sz w:val="10"/>
                <w:szCs w:val="10"/>
                <w:b w:val="1"/>
                <w:bCs w:val="1"/>
                <w:color w:val="FFFFFF"/>
              </w:rPr>
              <w:t>THER</w:t>
            </w:r>
          </w:p>
        </w:tc>
        <w:tc>
          <w:tcPr>
            <w:tcW w:w="400" w:type="dxa"/>
            <w:vAlign w:val="bottom"/>
            <w:tcBorders>
              <w:top w:val="single" w:sz="8" w:color="auto"/>
            </w:tcBorders>
            <w:shd w:val="clear" w:color="auto" w:fill="4DC1E4"/>
          </w:tcPr>
          <w:p>
            <w:pPr>
              <w:spacing w:after="0"/>
              <w:rPr>
                <w:sz w:val="11"/>
                <w:szCs w:val="11"/>
                <w:color w:val="auto"/>
              </w:rPr>
            </w:pPr>
          </w:p>
        </w:tc>
        <w:tc>
          <w:tcPr>
            <w:tcW w:w="1280" w:type="dxa"/>
            <w:vAlign w:val="bottom"/>
            <w:tcBorders>
              <w:top w:val="single" w:sz="8" w:color="auto"/>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auto"/>
            </w:tcBorders>
            <w:vMerge w:val="restart"/>
            <w:shd w:val="clear" w:color="auto" w:fill="4DC1E4"/>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FFFFFF"/>
              </w:rPr>
              <w:t>N</w:t>
            </w:r>
            <w:r>
              <w:rPr>
                <w:rFonts w:ascii="Times New Roman" w:cs="Times New Roman" w:eastAsia="Times New Roman" w:hAnsi="Times New Roman"/>
                <w:sz w:val="10"/>
                <w:szCs w:val="10"/>
                <w:b w:val="1"/>
                <w:bCs w:val="1"/>
                <w:color w:val="FFFFFF"/>
              </w:rPr>
              <w:t>AME AND</w:t>
            </w:r>
            <w:r>
              <w:rPr>
                <w:rFonts w:ascii="Times New Roman" w:cs="Times New Roman" w:eastAsia="Times New Roman" w:hAnsi="Times New Roman"/>
                <w:sz w:val="13"/>
                <w:szCs w:val="13"/>
                <w:b w:val="1"/>
                <w:bCs w:val="1"/>
                <w:color w:val="FFFFFF"/>
              </w:rPr>
              <w:t xml:space="preserve"> P</w:t>
            </w:r>
            <w:r>
              <w:rPr>
                <w:rFonts w:ascii="Times New Roman" w:cs="Times New Roman" w:eastAsia="Times New Roman" w:hAnsi="Times New Roman"/>
                <w:sz w:val="10"/>
                <w:szCs w:val="10"/>
                <w:b w:val="1"/>
                <w:bCs w:val="1"/>
                <w:color w:val="FFFFFF"/>
              </w:rPr>
              <w:t>RINCIPAL</w:t>
            </w:r>
            <w:r>
              <w:rPr>
                <w:rFonts w:ascii="Times New Roman" w:cs="Times New Roman" w:eastAsia="Times New Roman" w:hAnsi="Times New Roman"/>
                <w:sz w:val="13"/>
                <w:szCs w:val="13"/>
                <w:b w:val="1"/>
                <w:bCs w:val="1"/>
                <w:color w:val="FFFFFF"/>
              </w:rPr>
              <w:t xml:space="preserve"> P</w:t>
            </w:r>
            <w:r>
              <w:rPr>
                <w:rFonts w:ascii="Times New Roman" w:cs="Times New Roman" w:eastAsia="Times New Roman" w:hAnsi="Times New Roman"/>
                <w:sz w:val="10"/>
                <w:szCs w:val="10"/>
                <w:b w:val="1"/>
                <w:bCs w:val="1"/>
                <w:color w:val="FFFFFF"/>
              </w:rPr>
              <w:t>OSITION</w:t>
            </w:r>
          </w:p>
        </w:tc>
        <w:tc>
          <w:tcPr>
            <w:tcW w:w="700" w:type="dxa"/>
            <w:vAlign w:val="bottom"/>
            <w:vMerge w:val="restart"/>
            <w:shd w:val="clear" w:color="auto" w:fill="4DC1E4"/>
          </w:tcPr>
          <w:p>
            <w:pPr>
              <w:jc w:val="right"/>
              <w:ind w:right="72"/>
              <w:spacing w:after="0" w:line="135" w:lineRule="exact"/>
              <w:rPr>
                <w:sz w:val="20"/>
                <w:szCs w:val="20"/>
                <w:color w:val="auto"/>
              </w:rPr>
            </w:pPr>
            <w:r>
              <w:rPr>
                <w:rFonts w:ascii="Times New Roman" w:cs="Times New Roman" w:eastAsia="Times New Roman" w:hAnsi="Times New Roman"/>
                <w:sz w:val="13"/>
                <w:szCs w:val="13"/>
                <w:b w:val="1"/>
                <w:bCs w:val="1"/>
                <w:color w:val="FFFFFF"/>
              </w:rPr>
              <w:t>Y</w:t>
            </w:r>
            <w:r>
              <w:rPr>
                <w:rFonts w:ascii="Times New Roman" w:cs="Times New Roman" w:eastAsia="Times New Roman" w:hAnsi="Times New Roman"/>
                <w:sz w:val="10"/>
                <w:szCs w:val="10"/>
                <w:b w:val="1"/>
                <w:bCs w:val="1"/>
                <w:color w:val="FFFFFF"/>
              </w:rPr>
              <w:t>EAR</w:t>
            </w:r>
          </w:p>
        </w:tc>
        <w:tc>
          <w:tcPr>
            <w:tcW w:w="280" w:type="dxa"/>
            <w:vAlign w:val="bottom"/>
            <w:shd w:val="clear" w:color="auto" w:fill="4DC1E4"/>
          </w:tcPr>
          <w:p>
            <w:pPr>
              <w:spacing w:after="0"/>
              <w:rPr>
                <w:sz w:val="5"/>
                <w:szCs w:val="5"/>
                <w:color w:val="auto"/>
              </w:rPr>
            </w:pPr>
          </w:p>
        </w:tc>
        <w:tc>
          <w:tcPr>
            <w:tcW w:w="860" w:type="dxa"/>
            <w:vAlign w:val="bottom"/>
            <w:vMerge w:val="continue"/>
            <w:shd w:val="clear" w:color="auto" w:fill="4DC1E4"/>
          </w:tcPr>
          <w:p>
            <w:pPr>
              <w:spacing w:after="0"/>
              <w:rPr>
                <w:sz w:val="5"/>
                <w:szCs w:val="5"/>
                <w:color w:val="auto"/>
              </w:rPr>
            </w:pPr>
          </w:p>
        </w:tc>
        <w:tc>
          <w:tcPr>
            <w:tcW w:w="300" w:type="dxa"/>
            <w:vAlign w:val="bottom"/>
            <w:shd w:val="clear" w:color="auto" w:fill="4DC1E4"/>
          </w:tcPr>
          <w:p>
            <w:pPr>
              <w:spacing w:after="0"/>
              <w:rPr>
                <w:sz w:val="5"/>
                <w:szCs w:val="5"/>
                <w:color w:val="auto"/>
              </w:rPr>
            </w:pPr>
          </w:p>
        </w:tc>
        <w:tc>
          <w:tcPr>
            <w:tcW w:w="1000" w:type="dxa"/>
            <w:vAlign w:val="bottom"/>
            <w:vMerge w:val="continue"/>
            <w:shd w:val="clear" w:color="auto" w:fill="4DC1E4"/>
          </w:tcPr>
          <w:p>
            <w:pPr>
              <w:spacing w:after="0"/>
              <w:rPr>
                <w:sz w:val="5"/>
                <w:szCs w:val="5"/>
                <w:color w:val="auto"/>
              </w:rPr>
            </w:pPr>
          </w:p>
        </w:tc>
        <w:tc>
          <w:tcPr>
            <w:tcW w:w="260" w:type="dxa"/>
            <w:vAlign w:val="bottom"/>
            <w:shd w:val="clear" w:color="auto" w:fill="4DC1E4"/>
          </w:tcPr>
          <w:p>
            <w:pPr>
              <w:spacing w:after="0"/>
              <w:rPr>
                <w:sz w:val="5"/>
                <w:szCs w:val="5"/>
                <w:color w:val="auto"/>
              </w:rPr>
            </w:pPr>
          </w:p>
        </w:tc>
        <w:tc>
          <w:tcPr>
            <w:tcW w:w="960" w:type="dxa"/>
            <w:vAlign w:val="bottom"/>
            <w:vMerge w:val="restart"/>
            <w:shd w:val="clear" w:color="auto" w:fill="4DC1E4"/>
          </w:tcPr>
          <w:p>
            <w:pPr>
              <w:jc w:val="center"/>
              <w:ind w:right="233"/>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A</w:t>
            </w:r>
            <w:r>
              <w:rPr>
                <w:rFonts w:ascii="Times New Roman" w:cs="Times New Roman" w:eastAsia="Times New Roman" w:hAnsi="Times New Roman"/>
                <w:sz w:val="10"/>
                <w:szCs w:val="10"/>
                <w:b w:val="1"/>
                <w:bCs w:val="1"/>
                <w:color w:val="FFFFFF"/>
                <w:w w:val="98"/>
              </w:rPr>
              <w:t>WARDS</w:t>
            </w:r>
          </w:p>
        </w:tc>
        <w:tc>
          <w:tcPr>
            <w:tcW w:w="200" w:type="dxa"/>
            <w:vAlign w:val="bottom"/>
            <w:shd w:val="clear" w:color="auto" w:fill="4DC1E4"/>
          </w:tcPr>
          <w:p>
            <w:pPr>
              <w:spacing w:after="0"/>
              <w:rPr>
                <w:sz w:val="5"/>
                <w:szCs w:val="5"/>
                <w:color w:val="auto"/>
              </w:rPr>
            </w:pPr>
          </w:p>
        </w:tc>
        <w:tc>
          <w:tcPr>
            <w:tcW w:w="1100" w:type="dxa"/>
            <w:vAlign w:val="bottom"/>
            <w:vMerge w:val="restart"/>
            <w:shd w:val="clear" w:color="auto" w:fill="4DC1E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FFFFFF"/>
              </w:rPr>
              <w:t>C</w:t>
            </w:r>
            <w:r>
              <w:rPr>
                <w:rFonts w:ascii="Times New Roman" w:cs="Times New Roman" w:eastAsia="Times New Roman" w:hAnsi="Times New Roman"/>
                <w:sz w:val="10"/>
                <w:szCs w:val="10"/>
                <w:b w:val="1"/>
                <w:bCs w:val="1"/>
                <w:color w:val="FFFFFF"/>
              </w:rPr>
              <w:t>OMPENSATION</w:t>
            </w:r>
          </w:p>
        </w:tc>
        <w:tc>
          <w:tcPr>
            <w:tcW w:w="400" w:type="dxa"/>
            <w:vAlign w:val="bottom"/>
            <w:shd w:val="clear" w:color="auto" w:fill="4DC1E4"/>
          </w:tcPr>
          <w:p>
            <w:pPr>
              <w:spacing w:after="0"/>
              <w:rPr>
                <w:sz w:val="5"/>
                <w:szCs w:val="5"/>
                <w:color w:val="auto"/>
              </w:rPr>
            </w:pPr>
          </w:p>
        </w:tc>
        <w:tc>
          <w:tcPr>
            <w:tcW w:w="1280" w:type="dxa"/>
            <w:vAlign w:val="bottom"/>
            <w:tcBorders>
              <w:right w:val="single" w:sz="8" w:color="auto"/>
            </w:tcBorders>
            <w:vMerge w:val="restart"/>
            <w:shd w:val="clear" w:color="auto" w:fill="4DC1E4"/>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FFFFFF"/>
              </w:rPr>
              <w:t>T</w:t>
            </w:r>
            <w:r>
              <w:rPr>
                <w:rFonts w:ascii="Times New Roman" w:cs="Times New Roman" w:eastAsia="Times New Roman" w:hAnsi="Times New Roman"/>
                <w:sz w:val="10"/>
                <w:szCs w:val="10"/>
                <w:b w:val="1"/>
                <w:bCs w:val="1"/>
                <w:color w:val="FFFFFF"/>
              </w:rPr>
              <w:t>OTAL</w:t>
            </w:r>
            <w:r>
              <w:rPr>
                <w:rFonts w:ascii="Times New Roman" w:cs="Times New Roman" w:eastAsia="Times New Roman" w:hAnsi="Times New Roman"/>
                <w:sz w:val="13"/>
                <w:szCs w:val="13"/>
                <w:b w:val="1"/>
                <w:bCs w:val="1"/>
                <w:color w:val="FFFFFF"/>
              </w:rPr>
              <w:t xml:space="preserve"> ($)</w:t>
            </w:r>
          </w:p>
        </w:tc>
        <w:tc>
          <w:tcPr>
            <w:tcW w:w="0" w:type="dxa"/>
            <w:vAlign w:val="bottom"/>
          </w:tcPr>
          <w:p>
            <w:pPr>
              <w:spacing w:after="0"/>
              <w:rPr>
                <w:sz w:val="1"/>
                <w:szCs w:val="1"/>
                <w:color w:val="auto"/>
              </w:rPr>
            </w:pPr>
          </w:p>
        </w:tc>
      </w:tr>
      <w:tr>
        <w:trPr>
          <w:trHeight w:val="68"/>
        </w:trPr>
        <w:tc>
          <w:tcPr>
            <w:tcW w:w="3580" w:type="dxa"/>
            <w:vAlign w:val="bottom"/>
            <w:tcBorders>
              <w:left w:val="single" w:sz="8" w:color="auto"/>
            </w:tcBorders>
            <w:vMerge w:val="continue"/>
            <w:shd w:val="clear" w:color="auto" w:fill="4DC1E4"/>
          </w:tcPr>
          <w:p>
            <w:pPr>
              <w:spacing w:after="0"/>
              <w:rPr>
                <w:sz w:val="5"/>
                <w:szCs w:val="5"/>
                <w:color w:val="auto"/>
              </w:rPr>
            </w:pPr>
          </w:p>
        </w:tc>
        <w:tc>
          <w:tcPr>
            <w:tcW w:w="700" w:type="dxa"/>
            <w:vAlign w:val="bottom"/>
            <w:vMerge w:val="continue"/>
            <w:shd w:val="clear" w:color="auto" w:fill="4DC1E4"/>
          </w:tcPr>
          <w:p>
            <w:pPr>
              <w:spacing w:after="0"/>
              <w:rPr>
                <w:sz w:val="5"/>
                <w:szCs w:val="5"/>
                <w:color w:val="auto"/>
              </w:rPr>
            </w:pPr>
          </w:p>
        </w:tc>
        <w:tc>
          <w:tcPr>
            <w:tcW w:w="280" w:type="dxa"/>
            <w:vAlign w:val="bottom"/>
            <w:shd w:val="clear" w:color="auto" w:fill="4DC1E4"/>
          </w:tcPr>
          <w:p>
            <w:pPr>
              <w:spacing w:after="0"/>
              <w:rPr>
                <w:sz w:val="5"/>
                <w:szCs w:val="5"/>
                <w:color w:val="auto"/>
              </w:rPr>
            </w:pPr>
          </w:p>
        </w:tc>
        <w:tc>
          <w:tcPr>
            <w:tcW w:w="860" w:type="dxa"/>
            <w:vAlign w:val="bottom"/>
            <w:vMerge w:val="restart"/>
            <w:shd w:val="clear" w:color="auto" w:fill="4DC1E4"/>
          </w:tcPr>
          <w:p>
            <w:pPr>
              <w:jc w:val="right"/>
              <w:ind w:right="433"/>
              <w:spacing w:after="0"/>
              <w:rPr>
                <w:sz w:val="20"/>
                <w:szCs w:val="20"/>
                <w:color w:val="auto"/>
              </w:rPr>
            </w:pPr>
            <w:r>
              <w:rPr>
                <w:rFonts w:ascii="Times New Roman" w:cs="Times New Roman" w:eastAsia="Times New Roman" w:hAnsi="Times New Roman"/>
                <w:sz w:val="13"/>
                <w:szCs w:val="13"/>
                <w:b w:val="1"/>
                <w:bCs w:val="1"/>
                <w:color w:val="FFFFFF"/>
              </w:rPr>
              <w:t>($)</w:t>
            </w:r>
          </w:p>
        </w:tc>
        <w:tc>
          <w:tcPr>
            <w:tcW w:w="300" w:type="dxa"/>
            <w:vAlign w:val="bottom"/>
            <w:shd w:val="clear" w:color="auto" w:fill="4DC1E4"/>
          </w:tcPr>
          <w:p>
            <w:pPr>
              <w:spacing w:after="0"/>
              <w:rPr>
                <w:sz w:val="5"/>
                <w:szCs w:val="5"/>
                <w:color w:val="auto"/>
              </w:rPr>
            </w:pPr>
          </w:p>
        </w:tc>
        <w:tc>
          <w:tcPr>
            <w:tcW w:w="1000" w:type="dxa"/>
            <w:vAlign w:val="bottom"/>
            <w:vMerge w:val="restart"/>
            <w:shd w:val="clear" w:color="auto" w:fill="4DC1E4"/>
          </w:tcPr>
          <w:p>
            <w:pPr>
              <w:jc w:val="right"/>
              <w:ind w:right="573"/>
              <w:spacing w:after="0"/>
              <w:rPr>
                <w:sz w:val="20"/>
                <w:szCs w:val="20"/>
                <w:color w:val="auto"/>
              </w:rPr>
            </w:pPr>
            <w:r>
              <w:rPr>
                <w:rFonts w:ascii="Times New Roman" w:cs="Times New Roman" w:eastAsia="Times New Roman" w:hAnsi="Times New Roman"/>
                <w:sz w:val="13"/>
                <w:szCs w:val="13"/>
                <w:b w:val="1"/>
                <w:bCs w:val="1"/>
                <w:color w:val="FFFFFF"/>
              </w:rPr>
              <w:t>($)</w:t>
            </w:r>
          </w:p>
        </w:tc>
        <w:tc>
          <w:tcPr>
            <w:tcW w:w="260" w:type="dxa"/>
            <w:vAlign w:val="bottom"/>
            <w:shd w:val="clear" w:color="auto" w:fill="4DC1E4"/>
          </w:tcPr>
          <w:p>
            <w:pPr>
              <w:spacing w:after="0"/>
              <w:rPr>
                <w:sz w:val="5"/>
                <w:szCs w:val="5"/>
                <w:color w:val="auto"/>
              </w:rPr>
            </w:pPr>
          </w:p>
        </w:tc>
        <w:tc>
          <w:tcPr>
            <w:tcW w:w="960" w:type="dxa"/>
            <w:vAlign w:val="bottom"/>
            <w:vMerge w:val="continue"/>
            <w:shd w:val="clear" w:color="auto" w:fill="4DC1E4"/>
          </w:tcPr>
          <w:p>
            <w:pPr>
              <w:spacing w:after="0"/>
              <w:rPr>
                <w:sz w:val="5"/>
                <w:szCs w:val="5"/>
                <w:color w:val="auto"/>
              </w:rPr>
            </w:pPr>
          </w:p>
        </w:tc>
        <w:tc>
          <w:tcPr>
            <w:tcW w:w="200" w:type="dxa"/>
            <w:vAlign w:val="bottom"/>
            <w:shd w:val="clear" w:color="auto" w:fill="4DC1E4"/>
          </w:tcPr>
          <w:p>
            <w:pPr>
              <w:spacing w:after="0"/>
              <w:rPr>
                <w:sz w:val="5"/>
                <w:szCs w:val="5"/>
                <w:color w:val="auto"/>
              </w:rPr>
            </w:pPr>
          </w:p>
        </w:tc>
        <w:tc>
          <w:tcPr>
            <w:tcW w:w="1100" w:type="dxa"/>
            <w:vAlign w:val="bottom"/>
            <w:vMerge w:val="continue"/>
            <w:shd w:val="clear" w:color="auto" w:fill="4DC1E4"/>
          </w:tcPr>
          <w:p>
            <w:pPr>
              <w:spacing w:after="0"/>
              <w:rPr>
                <w:sz w:val="5"/>
                <w:szCs w:val="5"/>
                <w:color w:val="auto"/>
              </w:rPr>
            </w:pPr>
          </w:p>
        </w:tc>
        <w:tc>
          <w:tcPr>
            <w:tcW w:w="400" w:type="dxa"/>
            <w:vAlign w:val="bottom"/>
            <w:shd w:val="clear" w:color="auto" w:fill="4DC1E4"/>
          </w:tcPr>
          <w:p>
            <w:pPr>
              <w:spacing w:after="0"/>
              <w:rPr>
                <w:sz w:val="5"/>
                <w:szCs w:val="5"/>
                <w:color w:val="auto"/>
              </w:rPr>
            </w:pPr>
          </w:p>
        </w:tc>
        <w:tc>
          <w:tcPr>
            <w:tcW w:w="1280" w:type="dxa"/>
            <w:vAlign w:val="bottom"/>
            <w:tcBorders>
              <w:right w:val="single" w:sz="8" w:color="auto"/>
            </w:tcBorders>
            <w:vMerge w:val="continue"/>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580" w:type="dxa"/>
            <w:vAlign w:val="bottom"/>
            <w:tcBorders>
              <w:left w:val="single" w:sz="8" w:color="auto"/>
            </w:tcBorders>
            <w:shd w:val="clear" w:color="auto" w:fill="4DC1E4"/>
          </w:tcPr>
          <w:p>
            <w:pPr>
              <w:spacing w:after="0"/>
              <w:rPr>
                <w:sz w:val="8"/>
                <w:szCs w:val="8"/>
                <w:color w:val="auto"/>
              </w:rPr>
            </w:pPr>
          </w:p>
        </w:tc>
        <w:tc>
          <w:tcPr>
            <w:tcW w:w="700" w:type="dxa"/>
            <w:vAlign w:val="bottom"/>
            <w:shd w:val="clear" w:color="auto" w:fill="4DC1E4"/>
          </w:tcPr>
          <w:p>
            <w:pPr>
              <w:spacing w:after="0"/>
              <w:rPr>
                <w:sz w:val="8"/>
                <w:szCs w:val="8"/>
                <w:color w:val="auto"/>
              </w:rPr>
            </w:pPr>
          </w:p>
        </w:tc>
        <w:tc>
          <w:tcPr>
            <w:tcW w:w="280" w:type="dxa"/>
            <w:vAlign w:val="bottom"/>
            <w:shd w:val="clear" w:color="auto" w:fill="4DC1E4"/>
          </w:tcPr>
          <w:p>
            <w:pPr>
              <w:spacing w:after="0"/>
              <w:rPr>
                <w:sz w:val="8"/>
                <w:szCs w:val="8"/>
                <w:color w:val="auto"/>
              </w:rPr>
            </w:pPr>
          </w:p>
        </w:tc>
        <w:tc>
          <w:tcPr>
            <w:tcW w:w="860" w:type="dxa"/>
            <w:vAlign w:val="bottom"/>
            <w:vMerge w:val="continue"/>
            <w:shd w:val="clear" w:color="auto" w:fill="4DC1E4"/>
          </w:tcPr>
          <w:p>
            <w:pPr>
              <w:spacing w:after="0"/>
              <w:rPr>
                <w:sz w:val="8"/>
                <w:szCs w:val="8"/>
                <w:color w:val="auto"/>
              </w:rPr>
            </w:pPr>
          </w:p>
        </w:tc>
        <w:tc>
          <w:tcPr>
            <w:tcW w:w="300" w:type="dxa"/>
            <w:vAlign w:val="bottom"/>
            <w:shd w:val="clear" w:color="auto" w:fill="4DC1E4"/>
          </w:tcPr>
          <w:p>
            <w:pPr>
              <w:spacing w:after="0"/>
              <w:rPr>
                <w:sz w:val="8"/>
                <w:szCs w:val="8"/>
                <w:color w:val="auto"/>
              </w:rPr>
            </w:pPr>
          </w:p>
        </w:tc>
        <w:tc>
          <w:tcPr>
            <w:tcW w:w="1000" w:type="dxa"/>
            <w:vAlign w:val="bottom"/>
            <w:vMerge w:val="continue"/>
            <w:shd w:val="clear" w:color="auto" w:fill="4DC1E4"/>
          </w:tcPr>
          <w:p>
            <w:pPr>
              <w:spacing w:after="0"/>
              <w:rPr>
                <w:sz w:val="8"/>
                <w:szCs w:val="8"/>
                <w:color w:val="auto"/>
              </w:rPr>
            </w:pPr>
          </w:p>
        </w:tc>
        <w:tc>
          <w:tcPr>
            <w:tcW w:w="260" w:type="dxa"/>
            <w:vAlign w:val="bottom"/>
            <w:shd w:val="clear" w:color="auto" w:fill="4DC1E4"/>
          </w:tcPr>
          <w:p>
            <w:pPr>
              <w:spacing w:after="0"/>
              <w:rPr>
                <w:sz w:val="8"/>
                <w:szCs w:val="8"/>
                <w:color w:val="auto"/>
              </w:rPr>
            </w:pPr>
          </w:p>
        </w:tc>
        <w:tc>
          <w:tcPr>
            <w:tcW w:w="960" w:type="dxa"/>
            <w:vAlign w:val="bottom"/>
            <w:vMerge w:val="restart"/>
            <w:shd w:val="clear" w:color="auto" w:fill="4DC1E4"/>
          </w:tcPr>
          <w:p>
            <w:pPr>
              <w:jc w:val="center"/>
              <w:ind w:right="233"/>
              <w:spacing w:after="0"/>
              <w:rPr>
                <w:sz w:val="20"/>
                <w:szCs w:val="20"/>
                <w:color w:val="auto"/>
              </w:rPr>
            </w:pPr>
            <w:r>
              <w:rPr>
                <w:rFonts w:ascii="Times New Roman" w:cs="Times New Roman" w:eastAsia="Times New Roman" w:hAnsi="Times New Roman"/>
                <w:sz w:val="13"/>
                <w:szCs w:val="13"/>
                <w:b w:val="1"/>
                <w:bCs w:val="1"/>
                <w:color w:val="FFFFFF"/>
                <w:w w:val="98"/>
              </w:rPr>
              <w:t>($)(1)</w:t>
            </w:r>
          </w:p>
        </w:tc>
        <w:tc>
          <w:tcPr>
            <w:tcW w:w="200" w:type="dxa"/>
            <w:vAlign w:val="bottom"/>
            <w:shd w:val="clear" w:color="auto" w:fill="4DC1E4"/>
          </w:tcPr>
          <w:p>
            <w:pPr>
              <w:spacing w:after="0"/>
              <w:rPr>
                <w:sz w:val="8"/>
                <w:szCs w:val="8"/>
                <w:color w:val="auto"/>
              </w:rPr>
            </w:pPr>
          </w:p>
        </w:tc>
        <w:tc>
          <w:tcPr>
            <w:tcW w:w="1100" w:type="dxa"/>
            <w:vAlign w:val="bottom"/>
            <w:vMerge w:val="restart"/>
            <w:shd w:val="clear" w:color="auto" w:fill="4DC1E4"/>
          </w:tcPr>
          <w:p>
            <w:pPr>
              <w:ind w:left="380"/>
              <w:spacing w:after="0"/>
              <w:rPr>
                <w:sz w:val="20"/>
                <w:szCs w:val="20"/>
                <w:color w:val="auto"/>
              </w:rPr>
            </w:pPr>
            <w:r>
              <w:rPr>
                <w:rFonts w:ascii="Times New Roman" w:cs="Times New Roman" w:eastAsia="Times New Roman" w:hAnsi="Times New Roman"/>
                <w:sz w:val="13"/>
                <w:szCs w:val="13"/>
                <w:b w:val="1"/>
                <w:bCs w:val="1"/>
                <w:color w:val="FFFFFF"/>
              </w:rPr>
              <w:t>($)</w:t>
            </w:r>
          </w:p>
        </w:tc>
        <w:tc>
          <w:tcPr>
            <w:tcW w:w="400" w:type="dxa"/>
            <w:vAlign w:val="bottom"/>
            <w:shd w:val="clear" w:color="auto" w:fill="4DC1E4"/>
          </w:tcPr>
          <w:p>
            <w:pPr>
              <w:spacing w:after="0"/>
              <w:rPr>
                <w:sz w:val="8"/>
                <w:szCs w:val="8"/>
                <w:color w:val="auto"/>
              </w:rPr>
            </w:pPr>
          </w:p>
        </w:tc>
        <w:tc>
          <w:tcPr>
            <w:tcW w:w="1280" w:type="dxa"/>
            <w:vAlign w:val="bottom"/>
            <w:tcBorders>
              <w:right w:val="single" w:sz="8" w:color="auto"/>
            </w:tcBorders>
            <w:shd w:val="clear" w:color="auto" w:fill="4DC1E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580" w:type="dxa"/>
            <w:vAlign w:val="bottom"/>
            <w:tcBorders>
              <w:left w:val="single" w:sz="8" w:color="auto"/>
              <w:bottom w:val="single" w:sz="8" w:color="4DC1E4"/>
            </w:tcBorders>
            <w:shd w:val="clear" w:color="auto" w:fill="4DC1E4"/>
          </w:tcPr>
          <w:p>
            <w:pPr>
              <w:spacing w:after="0"/>
              <w:rPr>
                <w:sz w:val="9"/>
                <w:szCs w:val="9"/>
                <w:color w:val="auto"/>
              </w:rPr>
            </w:pPr>
          </w:p>
        </w:tc>
        <w:tc>
          <w:tcPr>
            <w:tcW w:w="700" w:type="dxa"/>
            <w:vAlign w:val="bottom"/>
            <w:tcBorders>
              <w:bottom w:val="single" w:sz="8" w:color="4DC1E4"/>
            </w:tcBorders>
            <w:shd w:val="clear" w:color="auto" w:fill="4DC1E4"/>
          </w:tcPr>
          <w:p>
            <w:pPr>
              <w:spacing w:after="0"/>
              <w:rPr>
                <w:sz w:val="9"/>
                <w:szCs w:val="9"/>
                <w:color w:val="auto"/>
              </w:rPr>
            </w:pPr>
          </w:p>
        </w:tc>
        <w:tc>
          <w:tcPr>
            <w:tcW w:w="280" w:type="dxa"/>
            <w:vAlign w:val="bottom"/>
            <w:tcBorders>
              <w:bottom w:val="single" w:sz="8" w:color="4DC1E4"/>
            </w:tcBorders>
            <w:shd w:val="clear" w:color="auto" w:fill="4DC1E4"/>
          </w:tcPr>
          <w:p>
            <w:pPr>
              <w:spacing w:after="0"/>
              <w:rPr>
                <w:sz w:val="9"/>
                <w:szCs w:val="9"/>
                <w:color w:val="auto"/>
              </w:rPr>
            </w:pPr>
          </w:p>
        </w:tc>
        <w:tc>
          <w:tcPr>
            <w:tcW w:w="860" w:type="dxa"/>
            <w:vAlign w:val="bottom"/>
            <w:tcBorders>
              <w:bottom w:val="single" w:sz="8" w:color="4DC1E4"/>
            </w:tcBorders>
            <w:shd w:val="clear" w:color="auto" w:fill="4DC1E4"/>
          </w:tcPr>
          <w:p>
            <w:pPr>
              <w:spacing w:after="0"/>
              <w:rPr>
                <w:sz w:val="9"/>
                <w:szCs w:val="9"/>
                <w:color w:val="auto"/>
              </w:rPr>
            </w:pPr>
          </w:p>
        </w:tc>
        <w:tc>
          <w:tcPr>
            <w:tcW w:w="300" w:type="dxa"/>
            <w:vAlign w:val="bottom"/>
            <w:tcBorders>
              <w:bottom w:val="single" w:sz="8" w:color="4DC1E4"/>
            </w:tcBorders>
            <w:shd w:val="clear" w:color="auto" w:fill="4DC1E4"/>
          </w:tcPr>
          <w:p>
            <w:pPr>
              <w:spacing w:after="0"/>
              <w:rPr>
                <w:sz w:val="9"/>
                <w:szCs w:val="9"/>
                <w:color w:val="auto"/>
              </w:rPr>
            </w:pPr>
          </w:p>
        </w:tc>
        <w:tc>
          <w:tcPr>
            <w:tcW w:w="1000" w:type="dxa"/>
            <w:vAlign w:val="bottom"/>
            <w:tcBorders>
              <w:bottom w:val="single" w:sz="8" w:color="4DC1E4"/>
            </w:tcBorders>
            <w:shd w:val="clear" w:color="auto" w:fill="4DC1E4"/>
          </w:tcPr>
          <w:p>
            <w:pPr>
              <w:spacing w:after="0"/>
              <w:rPr>
                <w:sz w:val="9"/>
                <w:szCs w:val="9"/>
                <w:color w:val="auto"/>
              </w:rPr>
            </w:pPr>
          </w:p>
        </w:tc>
        <w:tc>
          <w:tcPr>
            <w:tcW w:w="260" w:type="dxa"/>
            <w:vAlign w:val="bottom"/>
            <w:tcBorders>
              <w:bottom w:val="single" w:sz="8" w:color="4DC1E4"/>
            </w:tcBorders>
            <w:shd w:val="clear" w:color="auto" w:fill="4DC1E4"/>
          </w:tcPr>
          <w:p>
            <w:pPr>
              <w:spacing w:after="0"/>
              <w:rPr>
                <w:sz w:val="9"/>
                <w:szCs w:val="9"/>
                <w:color w:val="auto"/>
              </w:rPr>
            </w:pPr>
          </w:p>
        </w:tc>
        <w:tc>
          <w:tcPr>
            <w:tcW w:w="960" w:type="dxa"/>
            <w:vAlign w:val="bottom"/>
            <w:tcBorders>
              <w:bottom w:val="single" w:sz="8" w:color="4DC1E4"/>
            </w:tcBorders>
            <w:vMerge w:val="continue"/>
            <w:shd w:val="clear" w:color="auto" w:fill="4DC1E4"/>
          </w:tcPr>
          <w:p>
            <w:pPr>
              <w:spacing w:after="0"/>
              <w:rPr>
                <w:sz w:val="9"/>
                <w:szCs w:val="9"/>
                <w:color w:val="auto"/>
              </w:rPr>
            </w:pPr>
          </w:p>
        </w:tc>
        <w:tc>
          <w:tcPr>
            <w:tcW w:w="200" w:type="dxa"/>
            <w:vAlign w:val="bottom"/>
            <w:tcBorders>
              <w:bottom w:val="single" w:sz="8" w:color="4DC1E4"/>
            </w:tcBorders>
            <w:shd w:val="clear" w:color="auto" w:fill="4DC1E4"/>
          </w:tcPr>
          <w:p>
            <w:pPr>
              <w:spacing w:after="0"/>
              <w:rPr>
                <w:sz w:val="9"/>
                <w:szCs w:val="9"/>
                <w:color w:val="auto"/>
              </w:rPr>
            </w:pPr>
          </w:p>
        </w:tc>
        <w:tc>
          <w:tcPr>
            <w:tcW w:w="1100" w:type="dxa"/>
            <w:vAlign w:val="bottom"/>
            <w:tcBorders>
              <w:bottom w:val="single" w:sz="8" w:color="4DC1E4"/>
            </w:tcBorders>
            <w:vMerge w:val="continue"/>
            <w:shd w:val="clear" w:color="auto" w:fill="4DC1E4"/>
          </w:tcPr>
          <w:p>
            <w:pPr>
              <w:spacing w:after="0"/>
              <w:rPr>
                <w:sz w:val="9"/>
                <w:szCs w:val="9"/>
                <w:color w:val="auto"/>
              </w:rPr>
            </w:pPr>
          </w:p>
        </w:tc>
        <w:tc>
          <w:tcPr>
            <w:tcW w:w="400" w:type="dxa"/>
            <w:vAlign w:val="bottom"/>
            <w:tcBorders>
              <w:bottom w:val="single" w:sz="8" w:color="4DC1E4"/>
            </w:tcBorders>
            <w:shd w:val="clear" w:color="auto" w:fill="4DC1E4"/>
          </w:tcPr>
          <w:p>
            <w:pPr>
              <w:spacing w:after="0"/>
              <w:rPr>
                <w:sz w:val="9"/>
                <w:szCs w:val="9"/>
                <w:color w:val="auto"/>
              </w:rPr>
            </w:pPr>
          </w:p>
        </w:tc>
        <w:tc>
          <w:tcPr>
            <w:tcW w:w="1280" w:type="dxa"/>
            <w:vAlign w:val="bottom"/>
            <w:tcBorders>
              <w:bottom w:val="single" w:sz="8" w:color="4DC1E4"/>
              <w:right w:val="single" w:sz="8" w:color="auto"/>
            </w:tcBorders>
            <w:shd w:val="clear" w:color="auto" w:fill="4DC1E4"/>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580" w:type="dxa"/>
            <w:vAlign w:val="bottom"/>
            <w:tcBorders>
              <w:top w:val="single" w:sz="8" w:color="auto"/>
              <w:lef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b w:val="1"/>
                <w:bCs w:val="1"/>
                <w:color w:val="auto"/>
              </w:rPr>
              <w:t>Carole S. Ben-Maimon, M.D.</w:t>
            </w:r>
          </w:p>
        </w:tc>
        <w:tc>
          <w:tcPr>
            <w:tcW w:w="700" w:type="dxa"/>
            <w:vAlign w:val="bottom"/>
            <w:tcBorders>
              <w:top w:val="single" w:sz="8" w:color="auto"/>
            </w:tcBorders>
          </w:tcPr>
          <w:p>
            <w:pPr>
              <w:jc w:val="right"/>
              <w:ind w:right="52"/>
              <w:spacing w:after="0" w:line="133"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tcBorders>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73"/>
              <w:spacing w:after="0" w:line="133" w:lineRule="exact"/>
              <w:rPr>
                <w:sz w:val="20"/>
                <w:szCs w:val="20"/>
                <w:color w:val="auto"/>
              </w:rPr>
            </w:pPr>
            <w:r>
              <w:rPr>
                <w:rFonts w:ascii="Times New Roman" w:cs="Times New Roman" w:eastAsia="Times New Roman" w:hAnsi="Times New Roman"/>
                <w:sz w:val="14"/>
                <w:szCs w:val="14"/>
                <w:color w:val="auto"/>
              </w:rPr>
              <w:t>527,850</w:t>
            </w:r>
          </w:p>
        </w:tc>
        <w:tc>
          <w:tcPr>
            <w:tcW w:w="300" w:type="dxa"/>
            <w:vAlign w:val="bottom"/>
            <w:tcBorders>
              <w:top w:val="single" w:sz="8" w:color="auto"/>
            </w:tcBorders>
          </w:tcPr>
          <w:p>
            <w:pPr>
              <w:jc w:val="right"/>
              <w:ind w:right="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13"/>
              <w:spacing w:after="0" w:line="133" w:lineRule="exact"/>
              <w:rPr>
                <w:sz w:val="20"/>
                <w:szCs w:val="20"/>
                <w:color w:val="auto"/>
              </w:rPr>
            </w:pPr>
            <w:r>
              <w:rPr>
                <w:rFonts w:ascii="Times New Roman" w:cs="Times New Roman" w:eastAsia="Times New Roman" w:hAnsi="Times New Roman"/>
                <w:sz w:val="14"/>
                <w:szCs w:val="14"/>
                <w:color w:val="auto"/>
              </w:rPr>
              <w:t>304,000 (2)</w:t>
            </w:r>
          </w:p>
        </w:tc>
        <w:tc>
          <w:tcPr>
            <w:tcW w:w="260" w:type="dxa"/>
            <w:vAlign w:val="bottom"/>
            <w:tcBorders>
              <w:top w:val="single" w:sz="8" w:color="auto"/>
            </w:tcBorders>
          </w:tcPr>
          <w:p>
            <w:pPr>
              <w:jc w:val="right"/>
              <w:ind w:right="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53"/>
              <w:spacing w:after="0" w:line="133" w:lineRule="exact"/>
              <w:rPr>
                <w:sz w:val="20"/>
                <w:szCs w:val="20"/>
                <w:color w:val="auto"/>
              </w:rPr>
            </w:pPr>
            <w:r>
              <w:rPr>
                <w:rFonts w:ascii="Times New Roman" w:cs="Times New Roman" w:eastAsia="Times New Roman" w:hAnsi="Times New Roman"/>
                <w:sz w:val="14"/>
                <w:szCs w:val="14"/>
                <w:color w:val="auto"/>
              </w:rPr>
              <w:t>1,283,915</w:t>
            </w:r>
          </w:p>
        </w:tc>
        <w:tc>
          <w:tcPr>
            <w:tcW w:w="2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ind w:left="360"/>
              <w:spacing w:after="0" w:line="133" w:lineRule="exact"/>
              <w:rPr>
                <w:sz w:val="20"/>
                <w:szCs w:val="20"/>
                <w:color w:val="auto"/>
              </w:rPr>
            </w:pPr>
            <w:r>
              <w:rPr>
                <w:rFonts w:ascii="Times New Roman" w:cs="Times New Roman" w:eastAsia="Times New Roman" w:hAnsi="Times New Roman"/>
                <w:sz w:val="14"/>
                <w:szCs w:val="14"/>
                <w:color w:val="auto"/>
              </w:rPr>
              <w:t>13,784 (3)</w:t>
            </w:r>
          </w:p>
        </w:tc>
        <w:tc>
          <w:tcPr>
            <w:tcW w:w="400" w:type="dxa"/>
            <w:vAlign w:val="bottom"/>
            <w:tcBorders>
              <w:top w:val="single" w:sz="8" w:color="auto"/>
            </w:tcBorders>
          </w:tcPr>
          <w:p>
            <w:pPr>
              <w:jc w:val="right"/>
              <w:ind w:right="1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2,129,549</w:t>
            </w:r>
          </w:p>
        </w:tc>
        <w:tc>
          <w:tcPr>
            <w:tcW w:w="0" w:type="dxa"/>
            <w:vAlign w:val="bottom"/>
          </w:tcPr>
          <w:p>
            <w:pPr>
              <w:spacing w:after="0"/>
              <w:rPr>
                <w:sz w:val="1"/>
                <w:szCs w:val="1"/>
                <w:color w:val="auto"/>
              </w:rPr>
            </w:pPr>
          </w:p>
        </w:tc>
      </w:tr>
      <w:tr>
        <w:trPr>
          <w:trHeight w:val="23"/>
        </w:trPr>
        <w:tc>
          <w:tcPr>
            <w:tcW w:w="3580" w:type="dxa"/>
            <w:vAlign w:val="bottom"/>
            <w:tcBorders>
              <w:left w:val="single" w:sz="8" w:color="auto"/>
            </w:tcBorders>
            <w:vMerge w:val="restart"/>
          </w:tcPr>
          <w:p>
            <w:pPr>
              <w:ind w:left="240"/>
              <w:spacing w:after="0" w:line="158"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580" w:type="dxa"/>
            <w:vAlign w:val="bottom"/>
            <w:tcBorders>
              <w:left w:val="single" w:sz="8" w:color="auto"/>
            </w:tcBorders>
            <w:vMerge w:val="continue"/>
          </w:tcPr>
          <w:p>
            <w:pPr>
              <w:spacing w:after="0"/>
              <w:rPr>
                <w:sz w:val="10"/>
                <w:szCs w:val="10"/>
                <w:color w:val="auto"/>
              </w:rPr>
            </w:pPr>
          </w:p>
        </w:tc>
        <w:tc>
          <w:tcPr>
            <w:tcW w:w="700" w:type="dxa"/>
            <w:vAlign w:val="bottom"/>
          </w:tcPr>
          <w:p>
            <w:pPr>
              <w:jc w:val="right"/>
              <w:ind w:right="52"/>
              <w:spacing w:after="0" w:line="115" w:lineRule="exact"/>
              <w:rPr>
                <w:sz w:val="20"/>
                <w:szCs w:val="20"/>
                <w:color w:val="auto"/>
              </w:rPr>
            </w:pPr>
            <w:r>
              <w:rPr>
                <w:rFonts w:ascii="Times New Roman" w:cs="Times New Roman" w:eastAsia="Times New Roman" w:hAnsi="Times New Roman"/>
                <w:sz w:val="13"/>
                <w:szCs w:val="13"/>
                <w:color w:val="auto"/>
              </w:rPr>
              <w:t>2021</w:t>
            </w:r>
          </w:p>
        </w:tc>
        <w:tc>
          <w:tcPr>
            <w:tcW w:w="280" w:type="dxa"/>
            <w:vAlign w:val="bottom"/>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3"/>
              <w:spacing w:after="0" w:line="115" w:lineRule="exact"/>
              <w:rPr>
                <w:sz w:val="20"/>
                <w:szCs w:val="20"/>
                <w:color w:val="auto"/>
              </w:rPr>
            </w:pPr>
            <w:r>
              <w:rPr>
                <w:rFonts w:ascii="Times New Roman" w:cs="Times New Roman" w:eastAsia="Times New Roman" w:hAnsi="Times New Roman"/>
                <w:sz w:val="13"/>
                <w:szCs w:val="13"/>
                <w:color w:val="auto"/>
              </w:rPr>
              <w:t>510,000</w:t>
            </w:r>
          </w:p>
        </w:tc>
        <w:tc>
          <w:tcPr>
            <w:tcW w:w="300" w:type="dxa"/>
            <w:vAlign w:val="bottom"/>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3"/>
                <w:szCs w:val="13"/>
                <w:color w:val="auto"/>
              </w:rPr>
              <w:t>140,250 (4)</w:t>
            </w:r>
          </w:p>
        </w:tc>
        <w:tc>
          <w:tcPr>
            <w:tcW w:w="260" w:type="dxa"/>
            <w:vAlign w:val="bottom"/>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color w:val="auto"/>
              </w:rPr>
              <w:t>1,570,389</w:t>
            </w:r>
          </w:p>
        </w:tc>
        <w:tc>
          <w:tcPr>
            <w:tcW w:w="200" w:type="dxa"/>
            <w:vAlign w:val="bottom"/>
          </w:tcPr>
          <w:p>
            <w:pPr>
              <w:spacing w:after="0"/>
              <w:rPr>
                <w:sz w:val="10"/>
                <w:szCs w:val="10"/>
                <w:color w:val="auto"/>
              </w:rPr>
            </w:pPr>
          </w:p>
        </w:tc>
        <w:tc>
          <w:tcPr>
            <w:tcW w:w="110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13,184 (5)</w:t>
            </w:r>
          </w:p>
        </w:tc>
        <w:tc>
          <w:tcPr>
            <w:tcW w:w="400" w:type="dxa"/>
            <w:vAlign w:val="bottom"/>
          </w:tcPr>
          <w:p>
            <w:pPr>
              <w:jc w:val="right"/>
              <w:ind w:right="1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3"/>
                <w:szCs w:val="13"/>
                <w:color w:val="auto"/>
              </w:rPr>
              <w:t>2,233,823</w:t>
            </w:r>
          </w:p>
        </w:tc>
        <w:tc>
          <w:tcPr>
            <w:tcW w:w="0" w:type="dxa"/>
            <w:vAlign w:val="bottom"/>
          </w:tcPr>
          <w:p>
            <w:pPr>
              <w:spacing w:after="0"/>
              <w:rPr>
                <w:sz w:val="1"/>
                <w:szCs w:val="1"/>
                <w:color w:val="auto"/>
              </w:rPr>
            </w:pPr>
          </w:p>
        </w:tc>
      </w:tr>
      <w:tr>
        <w:trPr>
          <w:trHeight w:val="162"/>
        </w:trPr>
        <w:tc>
          <w:tcPr>
            <w:tcW w:w="3580" w:type="dxa"/>
            <w:vAlign w:val="bottom"/>
            <w:tcBorders>
              <w:left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Officer</w:t>
            </w: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Borders>
              <w:lef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b w:val="1"/>
                <w:bCs w:val="1"/>
                <w:color w:val="auto"/>
              </w:rPr>
              <w:t>Michael Celano</w:t>
            </w:r>
          </w:p>
        </w:tc>
        <w:tc>
          <w:tcPr>
            <w:tcW w:w="700" w:type="dxa"/>
            <w:vAlign w:val="bottom"/>
          </w:tcPr>
          <w:p>
            <w:pPr>
              <w:jc w:val="right"/>
              <w:ind w:right="52"/>
              <w:spacing w:after="0" w:line="133"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jc w:val="right"/>
              <w:ind w:right="11"/>
              <w:spacing w:after="0" w:line="13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3"/>
              <w:spacing w:after="0" w:line="133" w:lineRule="exact"/>
              <w:rPr>
                <w:sz w:val="20"/>
                <w:szCs w:val="20"/>
                <w:color w:val="auto"/>
              </w:rPr>
            </w:pPr>
            <w:r>
              <w:rPr>
                <w:rFonts w:ascii="Times New Roman" w:cs="Times New Roman" w:eastAsia="Times New Roman" w:hAnsi="Times New Roman"/>
                <w:sz w:val="14"/>
                <w:szCs w:val="14"/>
                <w:color w:val="auto"/>
              </w:rPr>
              <w:t>376,904</w:t>
            </w:r>
          </w:p>
        </w:tc>
        <w:tc>
          <w:tcPr>
            <w:tcW w:w="300" w:type="dxa"/>
            <w:vAlign w:val="bottom"/>
          </w:tcPr>
          <w:p>
            <w:pPr>
              <w:jc w:val="right"/>
              <w:ind w:right="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3"/>
              <w:spacing w:after="0" w:line="133" w:lineRule="exact"/>
              <w:rPr>
                <w:sz w:val="20"/>
                <w:szCs w:val="20"/>
                <w:color w:val="auto"/>
              </w:rPr>
            </w:pPr>
            <w:r>
              <w:rPr>
                <w:rFonts w:ascii="Times New Roman" w:cs="Times New Roman" w:eastAsia="Times New Roman" w:hAnsi="Times New Roman"/>
                <w:sz w:val="14"/>
                <w:szCs w:val="14"/>
                <w:color w:val="auto"/>
              </w:rPr>
              <w:t>173,832 (2)</w:t>
            </w:r>
          </w:p>
        </w:tc>
        <w:tc>
          <w:tcPr>
            <w:tcW w:w="260" w:type="dxa"/>
            <w:vAlign w:val="bottom"/>
          </w:tcPr>
          <w:p>
            <w:pPr>
              <w:jc w:val="right"/>
              <w:ind w:right="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3"/>
              <w:spacing w:after="0" w:line="133" w:lineRule="exact"/>
              <w:rPr>
                <w:sz w:val="20"/>
                <w:szCs w:val="20"/>
                <w:color w:val="auto"/>
              </w:rPr>
            </w:pPr>
            <w:r>
              <w:rPr>
                <w:rFonts w:ascii="Times New Roman" w:cs="Times New Roman" w:eastAsia="Times New Roman" w:hAnsi="Times New Roman"/>
                <w:sz w:val="14"/>
                <w:szCs w:val="14"/>
                <w:color w:val="auto"/>
              </w:rPr>
              <w:t>569,702</w:t>
            </w:r>
          </w:p>
        </w:tc>
        <w:tc>
          <w:tcPr>
            <w:tcW w:w="2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380"/>
              <w:spacing w:after="0" w:line="133" w:lineRule="exact"/>
              <w:rPr>
                <w:sz w:val="20"/>
                <w:szCs w:val="20"/>
                <w:color w:val="auto"/>
              </w:rPr>
            </w:pPr>
            <w:r>
              <w:rPr>
                <w:rFonts w:ascii="Times New Roman" w:cs="Times New Roman" w:eastAsia="Times New Roman" w:hAnsi="Times New Roman"/>
                <w:sz w:val="14"/>
                <w:szCs w:val="14"/>
                <w:color w:val="auto"/>
              </w:rPr>
              <w:t>11,885 (6)</w:t>
            </w:r>
          </w:p>
        </w:tc>
        <w:tc>
          <w:tcPr>
            <w:tcW w:w="400" w:type="dxa"/>
            <w:vAlign w:val="bottom"/>
          </w:tcPr>
          <w:p>
            <w:pPr>
              <w:jc w:val="right"/>
              <w:ind w:right="131"/>
              <w:spacing w:after="0" w:line="133"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right w:val="single" w:sz="8" w:color="auto"/>
            </w:tcBorders>
          </w:tcPr>
          <w:p>
            <w:pPr>
              <w:ind w:left="220"/>
              <w:spacing w:after="0" w:line="133" w:lineRule="exact"/>
              <w:rPr>
                <w:sz w:val="20"/>
                <w:szCs w:val="20"/>
                <w:color w:val="auto"/>
              </w:rPr>
            </w:pPr>
            <w:r>
              <w:rPr>
                <w:rFonts w:ascii="Times New Roman" w:cs="Times New Roman" w:eastAsia="Times New Roman" w:hAnsi="Times New Roman"/>
                <w:sz w:val="14"/>
                <w:szCs w:val="14"/>
                <w:color w:val="auto"/>
              </w:rPr>
              <w:t>1,132,323</w:t>
            </w:r>
          </w:p>
        </w:tc>
        <w:tc>
          <w:tcPr>
            <w:tcW w:w="0" w:type="dxa"/>
            <w:vAlign w:val="bottom"/>
          </w:tcPr>
          <w:p>
            <w:pPr>
              <w:spacing w:after="0"/>
              <w:rPr>
                <w:sz w:val="1"/>
                <w:szCs w:val="1"/>
                <w:color w:val="auto"/>
              </w:rPr>
            </w:pPr>
          </w:p>
        </w:tc>
      </w:tr>
      <w:tr>
        <w:trPr>
          <w:trHeight w:val="23"/>
        </w:trPr>
        <w:tc>
          <w:tcPr>
            <w:tcW w:w="3580" w:type="dxa"/>
            <w:vAlign w:val="bottom"/>
            <w:tcBorders>
              <w:left w:val="single" w:sz="8" w:color="auto"/>
            </w:tcBorders>
            <w:vMerge w:val="restart"/>
          </w:tcPr>
          <w:p>
            <w:pPr>
              <w:ind w:left="240"/>
              <w:spacing w:after="0" w:line="158" w:lineRule="exact"/>
              <w:rPr>
                <w:sz w:val="20"/>
                <w:szCs w:val="20"/>
                <w:color w:val="auto"/>
              </w:rPr>
            </w:pPr>
            <w:r>
              <w:rPr>
                <w:rFonts w:ascii="Times New Roman" w:cs="Times New Roman" w:eastAsia="Times New Roman" w:hAnsi="Times New Roman"/>
                <w:sz w:val="14"/>
                <w:szCs w:val="14"/>
                <w:color w:val="auto"/>
              </w:rPr>
              <w:t>Chief Financial Officer and</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580" w:type="dxa"/>
            <w:vAlign w:val="bottom"/>
            <w:tcBorders>
              <w:left w:val="single" w:sz="8" w:color="auto"/>
            </w:tcBorders>
            <w:vMerge w:val="continue"/>
          </w:tcPr>
          <w:p>
            <w:pPr>
              <w:spacing w:after="0"/>
              <w:rPr>
                <w:sz w:val="10"/>
                <w:szCs w:val="10"/>
                <w:color w:val="auto"/>
              </w:rPr>
            </w:pPr>
          </w:p>
        </w:tc>
        <w:tc>
          <w:tcPr>
            <w:tcW w:w="700" w:type="dxa"/>
            <w:vAlign w:val="bottom"/>
          </w:tcPr>
          <w:p>
            <w:pPr>
              <w:jc w:val="right"/>
              <w:ind w:right="52"/>
              <w:spacing w:after="0" w:line="115" w:lineRule="exact"/>
              <w:rPr>
                <w:sz w:val="20"/>
                <w:szCs w:val="20"/>
                <w:color w:val="auto"/>
              </w:rPr>
            </w:pPr>
            <w:r>
              <w:rPr>
                <w:rFonts w:ascii="Times New Roman" w:cs="Times New Roman" w:eastAsia="Times New Roman" w:hAnsi="Times New Roman"/>
                <w:sz w:val="13"/>
                <w:szCs w:val="13"/>
                <w:color w:val="auto"/>
              </w:rPr>
              <w:t>2021</w:t>
            </w:r>
          </w:p>
        </w:tc>
        <w:tc>
          <w:tcPr>
            <w:tcW w:w="280" w:type="dxa"/>
            <w:vAlign w:val="bottom"/>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3"/>
              <w:spacing w:after="0" w:line="115" w:lineRule="exact"/>
              <w:rPr>
                <w:sz w:val="20"/>
                <w:szCs w:val="20"/>
                <w:color w:val="auto"/>
              </w:rPr>
            </w:pPr>
            <w:r>
              <w:rPr>
                <w:rFonts w:ascii="Times New Roman" w:cs="Times New Roman" w:eastAsia="Times New Roman" w:hAnsi="Times New Roman"/>
                <w:sz w:val="13"/>
                <w:szCs w:val="13"/>
                <w:color w:val="auto"/>
              </w:rPr>
              <w:t>366,000</w:t>
            </w:r>
          </w:p>
        </w:tc>
        <w:tc>
          <w:tcPr>
            <w:tcW w:w="300" w:type="dxa"/>
            <w:vAlign w:val="bottom"/>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3"/>
                <w:szCs w:val="13"/>
                <w:color w:val="auto"/>
              </w:rPr>
              <w:t>70,455(4)</w:t>
            </w:r>
          </w:p>
        </w:tc>
        <w:tc>
          <w:tcPr>
            <w:tcW w:w="260" w:type="dxa"/>
            <w:vAlign w:val="bottom"/>
          </w:tcPr>
          <w:p>
            <w:pPr>
              <w:jc w:val="right"/>
              <w:ind w:right="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color w:val="auto"/>
              </w:rPr>
              <w:t>618,148</w:t>
            </w:r>
          </w:p>
        </w:tc>
        <w:tc>
          <w:tcPr>
            <w:tcW w:w="2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ind w:left="380"/>
              <w:spacing w:after="0" w:line="115" w:lineRule="exact"/>
              <w:rPr>
                <w:sz w:val="20"/>
                <w:szCs w:val="20"/>
                <w:color w:val="auto"/>
              </w:rPr>
            </w:pPr>
            <w:r>
              <w:rPr>
                <w:rFonts w:ascii="Times New Roman" w:cs="Times New Roman" w:eastAsia="Times New Roman" w:hAnsi="Times New Roman"/>
                <w:sz w:val="13"/>
                <w:szCs w:val="13"/>
                <w:color w:val="auto"/>
              </w:rPr>
              <w:t>11,152 (7)</w:t>
            </w:r>
          </w:p>
        </w:tc>
        <w:tc>
          <w:tcPr>
            <w:tcW w:w="400" w:type="dxa"/>
            <w:vAlign w:val="bottom"/>
          </w:tcPr>
          <w:p>
            <w:pPr>
              <w:jc w:val="right"/>
              <w:ind w:right="131"/>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3"/>
                <w:szCs w:val="13"/>
                <w:color w:val="auto"/>
              </w:rPr>
              <w:t>1,065,755</w:t>
            </w:r>
          </w:p>
        </w:tc>
        <w:tc>
          <w:tcPr>
            <w:tcW w:w="0" w:type="dxa"/>
            <w:vAlign w:val="bottom"/>
          </w:tcPr>
          <w:p>
            <w:pPr>
              <w:spacing w:after="0"/>
              <w:rPr>
                <w:sz w:val="1"/>
                <w:szCs w:val="1"/>
                <w:color w:val="auto"/>
              </w:rPr>
            </w:pPr>
          </w:p>
        </w:tc>
      </w:tr>
      <w:tr>
        <w:trPr>
          <w:trHeight w:val="162"/>
        </w:trPr>
        <w:tc>
          <w:tcPr>
            <w:tcW w:w="3580" w:type="dxa"/>
            <w:vAlign w:val="bottom"/>
            <w:tcBorders>
              <w:left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Secretary</w:t>
            </w: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880" w:right="20" w:hanging="764"/>
        <w:spacing w:after="0" w:line="261"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FASB ASC Topic 718. The assumptions made in these valuations are included in Note 8 of the Notes to the Consolidated Financial Statements included in our 2022 Annual Report.</w:t>
      </w:r>
    </w:p>
    <w:p>
      <w:pPr>
        <w:ind w:left="880" w:right="20" w:hanging="764"/>
        <w:spacing w:after="0" w:line="25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2023 based upon 2022 performance, as approved by our Compensation Committee or Board, as applicable.</w:t>
      </w:r>
    </w:p>
    <w:p>
      <w:pPr>
        <w:ind w:left="880" w:right="20" w:hanging="764"/>
        <w:spacing w:after="0" w:line="25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$12,200 and the value of group term life benefits provided by the Company of $1,584.</w:t>
      </w:r>
    </w:p>
    <w:p>
      <w:pPr>
        <w:ind w:left="880" w:right="20" w:hanging="764"/>
        <w:spacing w:after="0" w:line="25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2022 based upon 2021 performance, as approved by our Compensation Committee or Board, as applicable.</w:t>
      </w:r>
    </w:p>
    <w:p>
      <w:pPr>
        <w:ind w:left="880" w:right="20" w:hanging="764"/>
        <w:spacing w:after="0" w:line="25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$11,600 and the value of group term life benefits provided by the Company of $1,584.</w:t>
      </w:r>
    </w:p>
    <w:p>
      <w:pPr>
        <w:ind w:left="880" w:right="20" w:hanging="764"/>
        <w:spacing w:after="0" w:line="25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$9,382 and the value of group term life benefits provided by the Company of $2,503.</w:t>
      </w:r>
    </w:p>
    <w:p>
      <w:pPr>
        <w:ind w:left="880" w:right="20" w:hanging="764"/>
        <w:spacing w:after="0" w:line="260"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$8,649 and the value of group term life benefits provided by the Company of $2,503.</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8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compensation of our named executive officers generally consists of base salary, annual cash bonus opportunities, long term incentive compensation in the form of equity awards and other benefits, as described below.</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base salary payable to each named executive officer is intended to provide a fixed component of compensation reflecting the executive’s skill set, experience, role, responsibilities, and contributions. For 2022, Dr. Ben-Maimon’s annual base salary rate was $527,850 and Mr. Celano’s annual base salary rate was $377,900. In January 2023, the Compensation Committee or Board, as applicable, increased Dr. Ben-Maimon’s annual base salary rate to $560,000 and Mr. Celano’s annual base salary rate to $401,000.</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Cash Bonus Opportunities</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performance-based cash bonus opportunity is expressed as a percentage of base salary that can be achieved by meeting predetermined corporate and individual performance objectives. Our Compensation Committee annually approves the Chief Financial Officer’s bonus payout for the year, while the Board annually approves, upon recommendation from the Compensation Committee, the Chief Executive Officer’s bonus payout for the year.</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21</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The 2022 annual bonuses for Dr. Ben-Maimon and Mr. Celano were targeted at 50% and 40% of their respective base salaries. For 2022, they were eligible to earn their annual bonuses pursuant to the achievement of corporate and/or individual performance goals. These goals primarily included returning to clinic within three months of the FDA removing the clinical hold on the Company’s CTI-1601 clinical program, building a long-term manufacturing plan and completing capital raising transactions. In January 2023, the Compensation Committee approved the 2022 corporate goals at an overall achievement level of 115% due to, among other things, the FDA lifting its full clinical hold and imposing a partial clinical hold and raising $80.0 million in gross proceeds in a public offering at terms above market. Following a review of the achievement level, our Compensation Committee approved, and, in the case of Dr. Ben-Maimon, our Compensation Committee recommended and our Board approved 2022 annual cash bonus payments to each of Dr. Ben-Maimon and Mr. Celano in an amount equal to 115% of their respective target bonus amounts, totaling $304,000 and $173,832, respectively.</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8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the interests of our stockholders with those of our named executive officers. Our Board or Compensation Committee, as applicable, approves equity grants. In January 2022, following a review of the achievement level of the Company’s corporate goals and objectives, our Compensation Committee approved, and, in the case of Dr. Ben-Maimon, our Compensation Committee recommended and our Board approved equity awards to each of Dr. Ben-Maimon and Mr. Celano in the amount of 182,000 and 80,000 options to purchase shares of the Company’s common stock, respectively.</w:t>
      </w:r>
    </w:p>
    <w:p>
      <w:pPr>
        <w:spacing w:after="0" w:line="14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May 2022, given the change in the Company’s trading price, our Board approved equity retention awards to each of Dr. Ben-Maimon and Mr. Celano in the amount of 40,000 and 20,000 options to purchase shares of the Company’s common stock, respectively.</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Each of the options will vest 25% on the first anniversary of the grant date, with the remaining 75% vesting in equal monthly installments on the last day of each of the 36 calendar months immediately following such date, subject to the grantee’s continued service through the applicable vesting dates.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currently provide broad-based welfare benefits that are available to all our employees, including our named executive officers, including health, dental, life, vision and disability insurance.</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do not maintain any defined benefit pension plans or nonqualified deferred compensation plans. We do maintain a 401(k) plan and our named executive officers are eligible to participate in that plan on the same terms as our other employees generally.</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PLEDGING AND HEDGING POLICIES</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22</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2022 YEAR-END</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of shares of common stock underlying outstanding plan awards held by each of our named executive officers as of December 31, 2022:</w:t>
      </w:r>
    </w:p>
    <w:p>
      <w:pPr>
        <w:spacing w:after="0" w:line="160" w:lineRule="exact"/>
        <w:rPr>
          <w:sz w:val="20"/>
          <w:szCs w:val="20"/>
          <w:color w:val="auto"/>
        </w:rPr>
      </w:pPr>
    </w:p>
    <w:tbl>
      <w:tblPr>
        <w:tblLayout w:type="fixed"/>
        <w:tblInd w:w="130" w:type="dxa"/>
        <w:tblCellMar>
          <w:top w:w="0" w:type="dxa"/>
          <w:left w:w="0" w:type="dxa"/>
          <w:bottom w:w="0" w:type="dxa"/>
          <w:right w:w="0" w:type="dxa"/>
        </w:tblCellMar>
      </w:tblPr>
      <w:tr>
        <w:trPr>
          <w:trHeight w:val="210"/>
        </w:trPr>
        <w:tc>
          <w:tcPr>
            <w:tcW w:w="3060" w:type="dxa"/>
            <w:vAlign w:val="bottom"/>
            <w:tcBorders>
              <w:top w:val="single" w:sz="8" w:color="auto"/>
              <w:left w:val="single" w:sz="8" w:color="auto"/>
              <w:bottom w:val="single" w:sz="8" w:color="auto"/>
              <w:right w:val="single" w:sz="8" w:color="auto"/>
            </w:tcBorders>
            <w:shd w:val="clear" w:color="auto" w:fill="4DC1E4"/>
          </w:tcPr>
          <w:p>
            <w:pPr>
              <w:spacing w:after="0"/>
              <w:rPr>
                <w:sz w:val="18"/>
                <w:szCs w:val="18"/>
                <w:color w:val="auto"/>
              </w:rPr>
            </w:pPr>
          </w:p>
        </w:tc>
        <w:tc>
          <w:tcPr>
            <w:tcW w:w="1720" w:type="dxa"/>
            <w:vAlign w:val="bottom"/>
            <w:tcBorders>
              <w:top w:val="single" w:sz="8" w:color="auto"/>
              <w:bottom w:val="single" w:sz="8" w:color="auto"/>
            </w:tcBorders>
            <w:shd w:val="clear" w:color="auto" w:fill="4DC1E4"/>
          </w:tcPr>
          <w:p>
            <w:pPr>
              <w:spacing w:after="0"/>
              <w:rPr>
                <w:sz w:val="18"/>
                <w:szCs w:val="18"/>
                <w:color w:val="auto"/>
              </w:rPr>
            </w:pPr>
          </w:p>
        </w:tc>
        <w:tc>
          <w:tcPr>
            <w:tcW w:w="1580" w:type="dxa"/>
            <w:vAlign w:val="bottom"/>
            <w:tcBorders>
              <w:top w:val="single" w:sz="8" w:color="auto"/>
              <w:bottom w:val="single" w:sz="8" w:color="auto"/>
            </w:tcBorders>
            <w:shd w:val="clear" w:color="auto" w:fill="4DC1E4"/>
          </w:tcPr>
          <w:p>
            <w:pPr>
              <w:spacing w:after="0"/>
              <w:rPr>
                <w:sz w:val="18"/>
                <w:szCs w:val="18"/>
                <w:color w:val="auto"/>
              </w:rPr>
            </w:pPr>
          </w:p>
        </w:tc>
        <w:tc>
          <w:tcPr>
            <w:tcW w:w="1780" w:type="dxa"/>
            <w:vAlign w:val="bottom"/>
            <w:tcBorders>
              <w:top w:val="single" w:sz="8" w:color="auto"/>
              <w:bottom w:val="single" w:sz="8" w:color="auto"/>
            </w:tcBorders>
            <w:shd w:val="clear" w:color="auto" w:fill="4DC1E4"/>
          </w:tcPr>
          <w:p>
            <w:pPr>
              <w:ind w:left="360"/>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r>
              <w:rPr>
                <w:rFonts w:ascii="Times New Roman" w:cs="Times New Roman" w:eastAsia="Times New Roman" w:hAnsi="Times New Roman"/>
                <w:sz w:val="14"/>
                <w:szCs w:val="14"/>
                <w:b w:val="1"/>
                <w:bCs w:val="1"/>
                <w:color w:val="FFFFFF"/>
              </w:rPr>
              <w:t xml:space="preserve"> A</w:t>
            </w:r>
            <w:r>
              <w:rPr>
                <w:rFonts w:ascii="Times New Roman" w:cs="Times New Roman" w:eastAsia="Times New Roman" w:hAnsi="Times New Roman"/>
                <w:sz w:val="11"/>
                <w:szCs w:val="11"/>
                <w:b w:val="1"/>
                <w:bCs w:val="1"/>
                <w:color w:val="FFFFFF"/>
              </w:rPr>
              <w:t>WARD</w:t>
            </w:r>
          </w:p>
        </w:tc>
        <w:tc>
          <w:tcPr>
            <w:tcW w:w="1400" w:type="dxa"/>
            <w:vAlign w:val="bottom"/>
            <w:tcBorders>
              <w:top w:val="single" w:sz="8" w:color="auto"/>
              <w:bottom w:val="single" w:sz="8" w:color="auto"/>
            </w:tcBorders>
            <w:shd w:val="clear" w:color="auto" w:fill="4DC1E4"/>
          </w:tcPr>
          <w:p>
            <w:pPr>
              <w:spacing w:after="0"/>
              <w:rPr>
                <w:sz w:val="18"/>
                <w:szCs w:val="18"/>
                <w:color w:val="auto"/>
              </w:rPr>
            </w:pPr>
          </w:p>
        </w:tc>
        <w:tc>
          <w:tcPr>
            <w:tcW w:w="1260" w:type="dxa"/>
            <w:vAlign w:val="bottom"/>
            <w:tcBorders>
              <w:top w:val="single" w:sz="8" w:color="auto"/>
              <w:bottom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060" w:type="dxa"/>
            <w:vAlign w:val="bottom"/>
            <w:tcBorders>
              <w:left w:val="single" w:sz="8" w:color="auto"/>
              <w:right w:val="single" w:sz="8" w:color="auto"/>
            </w:tcBorders>
            <w:shd w:val="clear" w:color="auto" w:fill="4DC1E4"/>
          </w:tcPr>
          <w:p>
            <w:pPr>
              <w:spacing w:after="0"/>
              <w:rPr>
                <w:sz w:val="10"/>
                <w:szCs w:val="10"/>
                <w:color w:val="auto"/>
              </w:rPr>
            </w:pPr>
          </w:p>
        </w:tc>
        <w:tc>
          <w:tcPr>
            <w:tcW w:w="1720" w:type="dxa"/>
            <w:vAlign w:val="bottom"/>
            <w:shd w:val="clear" w:color="auto" w:fill="4DC1E4"/>
          </w:tcPr>
          <w:p>
            <w:pPr>
              <w:spacing w:after="0"/>
              <w:rPr>
                <w:sz w:val="10"/>
                <w:szCs w:val="10"/>
                <w:color w:val="auto"/>
              </w:rPr>
            </w:pPr>
          </w:p>
        </w:tc>
        <w:tc>
          <w:tcPr>
            <w:tcW w:w="1580" w:type="dxa"/>
            <w:vAlign w:val="bottom"/>
            <w:shd w:val="clear" w:color="auto" w:fill="4DC1E4"/>
          </w:tcPr>
          <w:p>
            <w:pPr>
              <w:spacing w:after="0"/>
              <w:rPr>
                <w:sz w:val="10"/>
                <w:szCs w:val="10"/>
                <w:color w:val="auto"/>
              </w:rPr>
            </w:pPr>
          </w:p>
        </w:tc>
        <w:tc>
          <w:tcPr>
            <w:tcW w:w="1780" w:type="dxa"/>
            <w:vAlign w:val="bottom"/>
            <w:shd w:val="clear" w:color="auto" w:fill="4DC1E4"/>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 OF</w:t>
            </w:r>
          </w:p>
        </w:tc>
        <w:tc>
          <w:tcPr>
            <w:tcW w:w="1400" w:type="dxa"/>
            <w:vAlign w:val="bottom"/>
            <w:shd w:val="clear" w:color="auto" w:fill="4DC1E4"/>
          </w:tcPr>
          <w:p>
            <w:pPr>
              <w:spacing w:after="0"/>
              <w:rPr>
                <w:sz w:val="10"/>
                <w:szCs w:val="10"/>
                <w:color w:val="auto"/>
              </w:rPr>
            </w:pPr>
          </w:p>
        </w:tc>
        <w:tc>
          <w:tcPr>
            <w:tcW w:w="1260" w:type="dxa"/>
            <w:vAlign w:val="bottom"/>
            <w:tcBorders>
              <w:right w:val="single" w:sz="8" w:color="auto"/>
            </w:tcBorders>
            <w:shd w:val="clear" w:color="auto" w:fill="4DC1E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60" w:type="dxa"/>
            <w:vAlign w:val="bottom"/>
            <w:tcBorders>
              <w:left w:val="single" w:sz="8" w:color="auto"/>
              <w:right w:val="single" w:sz="8" w:color="auto"/>
            </w:tcBorders>
            <w:shd w:val="clear" w:color="auto" w:fill="4DC1E4"/>
          </w:tcPr>
          <w:p>
            <w:pPr>
              <w:spacing w:after="0"/>
              <w:rPr>
                <w:sz w:val="13"/>
                <w:szCs w:val="13"/>
                <w:color w:val="auto"/>
              </w:rPr>
            </w:pPr>
          </w:p>
        </w:tc>
        <w:tc>
          <w:tcPr>
            <w:tcW w:w="1720" w:type="dxa"/>
            <w:vAlign w:val="bottom"/>
            <w:shd w:val="clear" w:color="auto" w:fill="4DC1E4"/>
          </w:tcPr>
          <w:p>
            <w:pPr>
              <w:spacing w:after="0"/>
              <w:rPr>
                <w:sz w:val="13"/>
                <w:szCs w:val="13"/>
                <w:color w:val="auto"/>
              </w:rPr>
            </w:pPr>
          </w:p>
        </w:tc>
        <w:tc>
          <w:tcPr>
            <w:tcW w:w="1580" w:type="dxa"/>
            <w:vAlign w:val="bottom"/>
            <w:shd w:val="clear" w:color="auto" w:fill="4DC1E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 OF</w:t>
            </w:r>
          </w:p>
        </w:tc>
        <w:tc>
          <w:tcPr>
            <w:tcW w:w="1780" w:type="dxa"/>
            <w:vAlign w:val="bottom"/>
            <w:shd w:val="clear" w:color="auto" w:fill="4DC1E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ECURITIES</w:t>
            </w:r>
          </w:p>
        </w:tc>
        <w:tc>
          <w:tcPr>
            <w:tcW w:w="1400" w:type="dxa"/>
            <w:vAlign w:val="bottom"/>
            <w:shd w:val="clear" w:color="auto" w:fill="4DC1E4"/>
          </w:tcPr>
          <w:p>
            <w:pPr>
              <w:spacing w:after="0"/>
              <w:rPr>
                <w:sz w:val="13"/>
                <w:szCs w:val="13"/>
                <w:color w:val="auto"/>
              </w:rPr>
            </w:pPr>
          </w:p>
        </w:tc>
        <w:tc>
          <w:tcPr>
            <w:tcW w:w="1260" w:type="dxa"/>
            <w:vAlign w:val="bottom"/>
            <w:tcBorders>
              <w:right w:val="single" w:sz="8" w:color="auto"/>
            </w:tcBorders>
            <w:shd w:val="clear" w:color="auto" w:fill="4DC1E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shd w:val="clear" w:color="auto" w:fill="4DC1E4"/>
          </w:tcPr>
          <w:p>
            <w:pPr>
              <w:spacing w:after="0"/>
              <w:rPr>
                <w:sz w:val="12"/>
                <w:szCs w:val="12"/>
                <w:color w:val="auto"/>
              </w:rPr>
            </w:pPr>
          </w:p>
        </w:tc>
        <w:tc>
          <w:tcPr>
            <w:tcW w:w="1720" w:type="dxa"/>
            <w:vAlign w:val="bottom"/>
            <w:shd w:val="clear" w:color="auto" w:fill="4DC1E4"/>
          </w:tcPr>
          <w:p>
            <w:pPr>
              <w:spacing w:after="0"/>
              <w:rPr>
                <w:sz w:val="12"/>
                <w:szCs w:val="12"/>
                <w:color w:val="auto"/>
              </w:rPr>
            </w:pPr>
          </w:p>
        </w:tc>
        <w:tc>
          <w:tcPr>
            <w:tcW w:w="15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S</w:t>
            </w:r>
            <w:r>
              <w:rPr>
                <w:rFonts w:ascii="Times New Roman" w:cs="Times New Roman" w:eastAsia="Times New Roman" w:hAnsi="Times New Roman"/>
                <w:sz w:val="11"/>
                <w:szCs w:val="11"/>
                <w:b w:val="1"/>
                <w:bCs w:val="1"/>
                <w:color w:val="FFFFFF"/>
              </w:rPr>
              <w:t>ECURITIES</w:t>
            </w:r>
          </w:p>
        </w:tc>
        <w:tc>
          <w:tcPr>
            <w:tcW w:w="17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NDERLYING</w:t>
            </w:r>
          </w:p>
        </w:tc>
        <w:tc>
          <w:tcPr>
            <w:tcW w:w="1400" w:type="dxa"/>
            <w:vAlign w:val="bottom"/>
            <w:shd w:val="clear" w:color="auto" w:fill="4DC1E4"/>
          </w:tcPr>
          <w:p>
            <w:pPr>
              <w:spacing w:after="0"/>
              <w:rPr>
                <w:sz w:val="12"/>
                <w:szCs w:val="12"/>
                <w:color w:val="auto"/>
              </w:rPr>
            </w:pPr>
          </w:p>
        </w:tc>
        <w:tc>
          <w:tcPr>
            <w:tcW w:w="1260" w:type="dxa"/>
            <w:vAlign w:val="bottom"/>
            <w:tcBorders>
              <w:right w:val="single" w:sz="8" w:color="auto"/>
            </w:tcBorders>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Borders>
              <w:left w:val="single" w:sz="8" w:color="auto"/>
              <w:right w:val="single" w:sz="8" w:color="auto"/>
            </w:tcBorders>
            <w:shd w:val="clear" w:color="auto" w:fill="4DC1E4"/>
          </w:tcPr>
          <w:p>
            <w:pPr>
              <w:spacing w:after="0"/>
              <w:rPr>
                <w:sz w:val="12"/>
                <w:szCs w:val="12"/>
                <w:color w:val="auto"/>
              </w:rPr>
            </w:pPr>
          </w:p>
        </w:tc>
        <w:tc>
          <w:tcPr>
            <w:tcW w:w="1720" w:type="dxa"/>
            <w:vAlign w:val="bottom"/>
            <w:shd w:val="clear" w:color="auto" w:fill="4DC1E4"/>
          </w:tcPr>
          <w:p>
            <w:pPr>
              <w:spacing w:after="0"/>
              <w:rPr>
                <w:sz w:val="12"/>
                <w:szCs w:val="12"/>
                <w:color w:val="auto"/>
              </w:rPr>
            </w:pPr>
          </w:p>
        </w:tc>
        <w:tc>
          <w:tcPr>
            <w:tcW w:w="15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NDERLYING</w:t>
            </w:r>
          </w:p>
        </w:tc>
        <w:tc>
          <w:tcPr>
            <w:tcW w:w="17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NEXERCISED</w:t>
            </w:r>
          </w:p>
        </w:tc>
        <w:tc>
          <w:tcPr>
            <w:tcW w:w="14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1260" w:type="dxa"/>
            <w:vAlign w:val="bottom"/>
            <w:tcBorders>
              <w:right w:val="single" w:sz="8" w:color="auto"/>
            </w:tcBorders>
            <w:vMerge w:val="restart"/>
            <w:shd w:val="clear" w:color="auto" w:fill="4DC1E4"/>
          </w:tcPr>
          <w:p>
            <w:pPr>
              <w:jc w:val="center"/>
              <w:ind w:left="181"/>
              <w:spacing w:after="0"/>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w:t>
            </w: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shd w:val="clear" w:color="auto" w:fill="4DC1E4"/>
          </w:tcPr>
          <w:p>
            <w:pPr>
              <w:spacing w:after="0"/>
              <w:rPr>
                <w:sz w:val="12"/>
                <w:szCs w:val="12"/>
                <w:color w:val="auto"/>
              </w:rPr>
            </w:pPr>
          </w:p>
        </w:tc>
        <w:tc>
          <w:tcPr>
            <w:tcW w:w="1720" w:type="dxa"/>
            <w:vAlign w:val="bottom"/>
            <w:vMerge w:val="restart"/>
            <w:shd w:val="clear" w:color="auto" w:fill="4DC1E4"/>
          </w:tcPr>
          <w:p>
            <w:pPr>
              <w:jc w:val="center"/>
              <w:ind w:left="240"/>
              <w:spacing w:after="0"/>
              <w:rPr>
                <w:sz w:val="20"/>
                <w:szCs w:val="20"/>
                <w:color w:val="auto"/>
              </w:rPr>
            </w:pPr>
            <w:r>
              <w:rPr>
                <w:rFonts w:ascii="Times New Roman" w:cs="Times New Roman" w:eastAsia="Times New Roman" w:hAnsi="Times New Roman"/>
                <w:sz w:val="14"/>
                <w:szCs w:val="14"/>
                <w:b w:val="1"/>
                <w:bCs w:val="1"/>
                <w:color w:val="FFFFFF"/>
              </w:rPr>
              <w:t>G</w:t>
            </w:r>
            <w:r>
              <w:rPr>
                <w:rFonts w:ascii="Times New Roman" w:cs="Times New Roman" w:eastAsia="Times New Roman" w:hAnsi="Times New Roman"/>
                <w:sz w:val="11"/>
                <w:szCs w:val="11"/>
                <w:b w:val="1"/>
                <w:bCs w:val="1"/>
                <w:color w:val="FFFFFF"/>
              </w:rPr>
              <w:t>RANT</w:t>
            </w:r>
          </w:p>
        </w:tc>
        <w:tc>
          <w:tcPr>
            <w:tcW w:w="15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NEXERCISED</w:t>
            </w:r>
          </w:p>
        </w:tc>
        <w:tc>
          <w:tcPr>
            <w:tcW w:w="17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PTIONS</w:t>
            </w:r>
            <w:r>
              <w:rPr>
                <w:rFonts w:ascii="Times New Roman" w:cs="Times New Roman" w:eastAsia="Times New Roman" w:hAnsi="Times New Roman"/>
                <w:sz w:val="14"/>
                <w:szCs w:val="14"/>
                <w:b w:val="1"/>
                <w:bCs w:val="1"/>
                <w:color w:val="FFFFFF"/>
              </w:rPr>
              <w:t xml:space="preserve"> (#)</w:t>
            </w:r>
          </w:p>
        </w:tc>
        <w:tc>
          <w:tcPr>
            <w:tcW w:w="1400" w:type="dxa"/>
            <w:vAlign w:val="bottom"/>
            <w:vMerge w:val="continue"/>
            <w:shd w:val="clear" w:color="auto" w:fill="4DC1E4"/>
          </w:tcPr>
          <w:p>
            <w:pPr>
              <w:spacing w:after="0"/>
              <w:rPr>
                <w:sz w:val="12"/>
                <w:szCs w:val="12"/>
                <w:color w:val="auto"/>
              </w:rPr>
            </w:pPr>
          </w:p>
        </w:tc>
        <w:tc>
          <w:tcPr>
            <w:tcW w:w="1260" w:type="dxa"/>
            <w:vAlign w:val="bottom"/>
            <w:tcBorders>
              <w:right w:val="single" w:sz="8" w:color="auto"/>
            </w:tcBorders>
            <w:vMerge w:val="continue"/>
            <w:shd w:val="clear" w:color="auto" w:fill="4DC1E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left w:val="single" w:sz="8" w:color="auto"/>
              <w:right w:val="single" w:sz="8" w:color="auto"/>
            </w:tcBorders>
            <w:vMerge w:val="restart"/>
            <w:shd w:val="clear" w:color="auto" w:fill="4DC1E4"/>
          </w:tcPr>
          <w:p>
            <w:pPr>
              <w:ind w:left="1400"/>
              <w:spacing w:after="0"/>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AME</w:t>
            </w:r>
          </w:p>
        </w:tc>
        <w:tc>
          <w:tcPr>
            <w:tcW w:w="1720" w:type="dxa"/>
            <w:vAlign w:val="bottom"/>
            <w:vMerge w:val="continue"/>
            <w:shd w:val="clear" w:color="auto" w:fill="4DC1E4"/>
          </w:tcPr>
          <w:p>
            <w:pPr>
              <w:spacing w:after="0"/>
              <w:rPr>
                <w:sz w:val="12"/>
                <w:szCs w:val="12"/>
                <w:color w:val="auto"/>
              </w:rPr>
            </w:pPr>
          </w:p>
        </w:tc>
        <w:tc>
          <w:tcPr>
            <w:tcW w:w="158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O</w:t>
            </w:r>
            <w:r>
              <w:rPr>
                <w:rFonts w:ascii="Times New Roman" w:cs="Times New Roman" w:eastAsia="Times New Roman" w:hAnsi="Times New Roman"/>
                <w:sz w:val="11"/>
                <w:szCs w:val="11"/>
                <w:b w:val="1"/>
                <w:bCs w:val="1"/>
                <w:color w:val="FFFFFF"/>
              </w:rPr>
              <w:t>PTIONS</w:t>
            </w:r>
            <w:r>
              <w:rPr>
                <w:rFonts w:ascii="Times New Roman" w:cs="Times New Roman" w:eastAsia="Times New Roman" w:hAnsi="Times New Roman"/>
                <w:sz w:val="14"/>
                <w:szCs w:val="14"/>
                <w:b w:val="1"/>
                <w:bCs w:val="1"/>
                <w:color w:val="FFFFFF"/>
              </w:rPr>
              <w:t xml:space="preserve"> (#)</w:t>
            </w:r>
          </w:p>
        </w:tc>
        <w:tc>
          <w:tcPr>
            <w:tcW w:w="1780" w:type="dxa"/>
            <w:vAlign w:val="bottom"/>
            <w:shd w:val="clear" w:color="auto" w:fill="4DC1E4"/>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FFFFFF"/>
              </w:rPr>
              <w:t>U</w:t>
            </w:r>
            <w:r>
              <w:rPr>
                <w:rFonts w:ascii="Times New Roman" w:cs="Times New Roman" w:eastAsia="Times New Roman" w:hAnsi="Times New Roman"/>
                <w:sz w:val="11"/>
                <w:szCs w:val="11"/>
                <w:b w:val="1"/>
                <w:bCs w:val="1"/>
                <w:color w:val="FFFFFF"/>
              </w:rPr>
              <w:t>NEXERCISABLE</w:t>
            </w:r>
          </w:p>
        </w:tc>
        <w:tc>
          <w:tcPr>
            <w:tcW w:w="1400" w:type="dxa"/>
            <w:vAlign w:val="bottom"/>
            <w:shd w:val="clear" w:color="auto" w:fill="4DC1E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XERCISE</w:t>
            </w:r>
          </w:p>
        </w:tc>
        <w:tc>
          <w:tcPr>
            <w:tcW w:w="1260" w:type="dxa"/>
            <w:vAlign w:val="bottom"/>
            <w:tcBorders>
              <w:right w:val="single" w:sz="8" w:color="auto"/>
            </w:tcBorders>
            <w:shd w:val="clear" w:color="auto" w:fill="4DC1E4"/>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XPIRATION</w:t>
            </w:r>
          </w:p>
        </w:tc>
        <w:tc>
          <w:tcPr>
            <w:tcW w:w="0" w:type="dxa"/>
            <w:vAlign w:val="bottom"/>
          </w:tcPr>
          <w:p>
            <w:pPr>
              <w:spacing w:after="0"/>
              <w:rPr>
                <w:sz w:val="1"/>
                <w:szCs w:val="1"/>
                <w:color w:val="auto"/>
              </w:rPr>
            </w:pPr>
          </w:p>
        </w:tc>
      </w:tr>
      <w:tr>
        <w:trPr>
          <w:trHeight w:val="229"/>
        </w:trPr>
        <w:tc>
          <w:tcPr>
            <w:tcW w:w="3060" w:type="dxa"/>
            <w:vAlign w:val="bottom"/>
            <w:tcBorders>
              <w:left w:val="single" w:sz="8" w:color="auto"/>
              <w:bottom w:val="single" w:sz="8" w:color="4DC1E4"/>
              <w:right w:val="single" w:sz="8" w:color="auto"/>
            </w:tcBorders>
            <w:vMerge w:val="continue"/>
            <w:shd w:val="clear" w:color="auto" w:fill="4DC1E4"/>
          </w:tcPr>
          <w:p>
            <w:pPr>
              <w:spacing w:after="0"/>
              <w:rPr>
                <w:sz w:val="19"/>
                <w:szCs w:val="19"/>
                <w:color w:val="auto"/>
              </w:rPr>
            </w:pPr>
          </w:p>
        </w:tc>
        <w:tc>
          <w:tcPr>
            <w:tcW w:w="1720" w:type="dxa"/>
            <w:vAlign w:val="bottom"/>
            <w:tcBorders>
              <w:bottom w:val="single" w:sz="8" w:color="4DC1E4"/>
            </w:tcBorders>
            <w:shd w:val="clear" w:color="auto" w:fill="4DC1E4"/>
          </w:tcPr>
          <w:p>
            <w:pPr>
              <w:jc w:val="center"/>
              <w:ind w:left="240"/>
              <w:spacing w:after="0"/>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ATE</w:t>
            </w:r>
          </w:p>
        </w:tc>
        <w:tc>
          <w:tcPr>
            <w:tcW w:w="15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E</w:t>
            </w:r>
            <w:r>
              <w:rPr>
                <w:rFonts w:ascii="Times New Roman" w:cs="Times New Roman" w:eastAsia="Times New Roman" w:hAnsi="Times New Roman"/>
                <w:sz w:val="11"/>
                <w:szCs w:val="11"/>
                <w:b w:val="1"/>
                <w:bCs w:val="1"/>
                <w:color w:val="FFFFFF"/>
              </w:rPr>
              <w:t>XERCISABLE</w:t>
            </w:r>
          </w:p>
        </w:tc>
        <w:tc>
          <w:tcPr>
            <w:tcW w:w="17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(1)</w:t>
            </w:r>
          </w:p>
        </w:tc>
        <w:tc>
          <w:tcPr>
            <w:tcW w:w="140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4"/>
                <w:szCs w:val="14"/>
                <w:b w:val="1"/>
                <w:bCs w:val="1"/>
                <w:color w:val="FFFFFF"/>
              </w:rPr>
              <w:t>P</w:t>
            </w:r>
            <w:r>
              <w:rPr>
                <w:rFonts w:ascii="Times New Roman" w:cs="Times New Roman" w:eastAsia="Times New Roman" w:hAnsi="Times New Roman"/>
                <w:sz w:val="11"/>
                <w:szCs w:val="11"/>
                <w:b w:val="1"/>
                <w:bCs w:val="1"/>
                <w:color w:val="FFFFFF"/>
              </w:rPr>
              <w:t>RICE</w:t>
            </w:r>
            <w:r>
              <w:rPr>
                <w:rFonts w:ascii="Times New Roman" w:cs="Times New Roman" w:eastAsia="Times New Roman" w:hAnsi="Times New Roman"/>
                <w:sz w:val="14"/>
                <w:szCs w:val="14"/>
                <w:b w:val="1"/>
                <w:bCs w:val="1"/>
                <w:color w:val="FFFFFF"/>
              </w:rPr>
              <w:t xml:space="preserve"> ($)</w:t>
            </w:r>
          </w:p>
        </w:tc>
        <w:tc>
          <w:tcPr>
            <w:tcW w:w="1260" w:type="dxa"/>
            <w:vAlign w:val="bottom"/>
            <w:tcBorders>
              <w:bottom w:val="single" w:sz="8" w:color="4DC1E4"/>
              <w:right w:val="single" w:sz="8" w:color="auto"/>
            </w:tcBorders>
            <w:shd w:val="clear" w:color="auto" w:fill="4DC1E4"/>
          </w:tcPr>
          <w:p>
            <w:pPr>
              <w:jc w:val="center"/>
              <w:ind w:left="161"/>
              <w:spacing w:after="0"/>
              <w:rPr>
                <w:sz w:val="20"/>
                <w:szCs w:val="20"/>
                <w:color w:val="auto"/>
              </w:rPr>
            </w:pPr>
            <w:r>
              <w:rPr>
                <w:rFonts w:ascii="Times New Roman" w:cs="Times New Roman" w:eastAsia="Times New Roman" w:hAnsi="Times New Roman"/>
                <w:sz w:val="14"/>
                <w:szCs w:val="14"/>
                <w:b w:val="1"/>
                <w:bCs w:val="1"/>
                <w:color w:val="FFFFFF"/>
              </w:rPr>
              <w:t>D</w:t>
            </w:r>
            <w:r>
              <w:rPr>
                <w:rFonts w:ascii="Times New Roman" w:cs="Times New Roman" w:eastAsia="Times New Roman" w:hAnsi="Times New Roman"/>
                <w:sz w:val="11"/>
                <w:szCs w:val="11"/>
                <w:b w:val="1"/>
                <w:bCs w:val="1"/>
                <w:color w:val="FFFFFF"/>
              </w:rPr>
              <w:t>ATE</w:t>
            </w:r>
          </w:p>
        </w:tc>
        <w:tc>
          <w:tcPr>
            <w:tcW w:w="0" w:type="dxa"/>
            <w:vAlign w:val="bottom"/>
          </w:tcPr>
          <w:p>
            <w:pPr>
              <w:spacing w:after="0"/>
              <w:rPr>
                <w:sz w:val="1"/>
                <w:szCs w:val="1"/>
                <w:color w:val="auto"/>
              </w:rPr>
            </w:pPr>
          </w:p>
        </w:tc>
      </w:tr>
      <w:tr>
        <w:trPr>
          <w:trHeight w:val="180"/>
        </w:trPr>
        <w:tc>
          <w:tcPr>
            <w:tcW w:w="3060" w:type="dxa"/>
            <w:vAlign w:val="bottom"/>
            <w:tcBorders>
              <w:top w:val="single" w:sz="8" w:color="auto"/>
              <w:left w:val="single" w:sz="8" w:color="auto"/>
              <w:right w:val="single" w:sz="8" w:color="auto"/>
            </w:tcBorders>
          </w:tcPr>
          <w:p>
            <w:pPr>
              <w:ind w:left="240"/>
              <w:spacing w:after="0" w:line="181" w:lineRule="exact"/>
              <w:rPr>
                <w:sz w:val="20"/>
                <w:szCs w:val="20"/>
                <w:color w:val="auto"/>
              </w:rPr>
            </w:pPr>
            <w:r>
              <w:rPr>
                <w:rFonts w:ascii="Times New Roman" w:cs="Times New Roman" w:eastAsia="Times New Roman" w:hAnsi="Times New Roman"/>
                <w:sz w:val="16"/>
                <w:szCs w:val="16"/>
                <w:b w:val="1"/>
                <w:bCs w:val="1"/>
                <w:color w:val="auto"/>
              </w:rPr>
              <w:t>Carole S. Ben-</w:t>
            </w:r>
          </w:p>
        </w:tc>
        <w:tc>
          <w:tcPr>
            <w:tcW w:w="1720" w:type="dxa"/>
            <w:vAlign w:val="bottom"/>
            <w:tcBorders>
              <w:top w:val="single" w:sz="8" w:color="auto"/>
            </w:tcBorders>
          </w:tcPr>
          <w:p>
            <w:pPr>
              <w:jc w:val="center"/>
              <w:ind w:left="240"/>
              <w:spacing w:after="0" w:line="181" w:lineRule="exact"/>
              <w:rPr>
                <w:sz w:val="20"/>
                <w:szCs w:val="20"/>
                <w:color w:val="auto"/>
              </w:rPr>
            </w:pPr>
            <w:r>
              <w:rPr>
                <w:rFonts w:ascii="Times New Roman" w:cs="Times New Roman" w:eastAsia="Times New Roman" w:hAnsi="Times New Roman"/>
                <w:sz w:val="16"/>
                <w:szCs w:val="16"/>
                <w:color w:val="auto"/>
                <w:w w:val="98"/>
              </w:rPr>
              <w:t>04/10/2017</w:t>
            </w:r>
          </w:p>
        </w:tc>
        <w:tc>
          <w:tcPr>
            <w:tcW w:w="15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55,021</w:t>
            </w:r>
          </w:p>
        </w:tc>
        <w:tc>
          <w:tcPr>
            <w:tcW w:w="17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6,398</w:t>
            </w:r>
          </w:p>
        </w:tc>
        <w:tc>
          <w:tcPr>
            <w:tcW w:w="14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$11.73</w:t>
            </w:r>
          </w:p>
        </w:tc>
        <w:tc>
          <w:tcPr>
            <w:tcW w:w="1260" w:type="dxa"/>
            <w:vAlign w:val="bottom"/>
            <w:tcBorders>
              <w:top w:val="single" w:sz="8" w:color="auto"/>
              <w:right w:val="single" w:sz="8" w:color="auto"/>
            </w:tcBorders>
          </w:tcPr>
          <w:p>
            <w:pPr>
              <w:jc w:val="center"/>
              <w:ind w:left="201"/>
              <w:spacing w:after="0" w:line="181" w:lineRule="exact"/>
              <w:rPr>
                <w:sz w:val="20"/>
                <w:szCs w:val="20"/>
                <w:color w:val="auto"/>
              </w:rPr>
            </w:pPr>
            <w:r>
              <w:rPr>
                <w:rFonts w:ascii="Times New Roman" w:cs="Times New Roman" w:eastAsia="Times New Roman" w:hAnsi="Times New Roman"/>
                <w:sz w:val="16"/>
                <w:szCs w:val="16"/>
                <w:color w:val="auto"/>
              </w:rPr>
              <w:t>04/10/2027</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Maimon, M.D.</w:t>
            </w: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6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05/28/2019</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133,140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$11.73</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5/27/2029</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09/29/2020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248,540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162,856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$11.90</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7/16/2030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1/19/2021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51,117</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55,583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$19.61</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1/19/2031</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1/18/2022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182,000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$8.75</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1/18/2032</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5/10/2022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40,000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5/10/2032</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Michael Celano</w:t>
            </w: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05/28/2020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39,059</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21,420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$11.88</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5/27/2030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09/29/2020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50,810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33,290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$11.90</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7/16/2030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1/19/2021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20,125</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21,875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$19.61</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1/19/2031</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1/18/2022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80,000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$8.75</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1/18/2032</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color w:val="auto"/>
                <w:w w:val="98"/>
              </w:rPr>
              <w:t>5/10/2022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20,000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w:t>
            </w:r>
          </w:p>
        </w:tc>
        <w:tc>
          <w:tcPr>
            <w:tcW w:w="1260" w:type="dxa"/>
            <w:vAlign w:val="bottom"/>
            <w:tcBorders>
              <w:bottom w:val="single" w:sz="8" w:color="auto"/>
              <w:right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rPr>
              <w:t>5/10/2032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880" w:right="20" w:hanging="764"/>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each generally vest as follows: 25% on the first anniversary of the grant date, with the remaining 75% vesting in equal monthly installments over the following 36 calendar months, subject to the optionee’s continued service through the relevant vesting date (and in the case of Mr. Celano’s May 28, 2020 award, subject to accelerated vesting upon certain termination events).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w:t>
      </w:r>
    </w:p>
    <w:p>
      <w:pPr>
        <w:spacing w:after="0" w:line="181"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Carole S. Ben-Maimon, M.D. </w:t>
      </w:r>
      <w:r>
        <w:rPr>
          <w:rFonts w:ascii="Times New Roman" w:cs="Times New Roman" w:eastAsia="Times New Roman" w:hAnsi="Times New Roman"/>
          <w:sz w:val="18"/>
          <w:szCs w:val="18"/>
          <w:color w:val="auto"/>
        </w:rPr>
        <w:t>We entered into an employment agreement with Dr. Ben-Maimon, as our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and remains at, not less than 50% of her base salary.</w:t>
      </w:r>
    </w:p>
    <w:p>
      <w:pPr>
        <w:spacing w:after="0" w:line="14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Employment Agreement with Michael Celano</w:t>
      </w:r>
      <w:r>
        <w:rPr>
          <w:rFonts w:ascii="Times New Roman" w:cs="Times New Roman" w:eastAsia="Times New Roman" w:hAnsi="Times New Roman"/>
          <w:sz w:val="18"/>
          <w:szCs w:val="18"/>
          <w:color w:val="auto"/>
        </w:rPr>
        <w:t>. We entered into an employment agreement with Mr. Celano, as our Chief Financial Officer, on June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Mr. Celano’s period of employment with the Company commenced on May 28, 2020. Pursuant to the terms of this agreement, Mr. Celano’s initial annual base salary was $350,000 and his target annual bonus opportunity is not less than 35% of his base salary. The Compensation Committee increased this bonus opportunity percentage to 40% of base salary effective January 1, 2022. In connection with his hiring, on May 28, 2020, Mr. Celano received a stock option grant in respect of 60,479 shares of our common stock (the “Initial Award”), as further described in the table above entitled “Outstanding Equity Awards at Fiscal 2022 Year-End.”</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Confidential Information and Invention Agreement</w:t>
      </w:r>
    </w:p>
    <w:p>
      <w:pPr>
        <w:spacing w:after="0" w:line="18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Each of Dr. Ben-Maimon and Mr. Celano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23</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Ben-Maimon and Celano Severance Rights</w:t>
      </w:r>
    </w:p>
    <w:p>
      <w:pPr>
        <w:spacing w:after="0" w:line="20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of Dr. Ben-Maimon’s and Mr. Celano’s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without cause or they resign with good reason, then in addition to the Accrued Rights, such executive will be entitled to receive:</w:t>
      </w:r>
    </w:p>
    <w:p>
      <w:pPr>
        <w:spacing w:after="0" w:line="16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unpaid bonus for the immediately preceding calendar year (the “Prior Year Bonus”);</w:t>
      </w:r>
    </w:p>
    <w:p>
      <w:pPr>
        <w:spacing w:after="0" w:line="22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a period of twelve months, in the case of Dr. Ben-Maimon, and nine months, in the case of Mr. Celano, with each payment equal to one-twelfth of their then in effect base salary;</w:t>
      </w:r>
    </w:p>
    <w:p>
      <w:pPr>
        <w:spacing w:after="0" w:line="16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group health coverage under the Consolidated Omnibus Budget Reconciliation Act (“COBRA”) for twelve months, in the case of Dr. Ben-Maimon, and nine, months, in the case of Mr. Celano; and</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18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However, if the executive’s employment is terminated without cause or the executive resigns with good reason within one year following a change in control, then in lieu of the severance payments and benefits described above, he or she would instead receive:</w:t>
      </w:r>
    </w:p>
    <w:p>
      <w:pPr>
        <w:spacing w:after="0" w:line="162"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Bonus;</w:t>
      </w:r>
    </w:p>
    <w:p>
      <w:pPr>
        <w:spacing w:after="0" w:line="22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eighteen months, in the case of Dr. Ben-Maimon, and twelve months, in the case of Mr. Celano, with each payment equal to one-twelfth the sum of the executive’s then in effect base salary and then in effect target annual bonus;</w:t>
      </w:r>
    </w:p>
    <w:p>
      <w:pPr>
        <w:spacing w:after="0" w:line="16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their group health coverage under COBRA for eighteen months, in the case of Dr. Ben-Maimon, and twelve months, in the case of Mr. Celano; and</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19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principal executive officer and other named executive officer (as calculated in accordance with Item 402(v) of Regulation S-K) and certain financial performance measures for each of the last two completed fiscal years.</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24</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r>
        <w:rPr>
          <w:rFonts w:ascii="Times New Roman" w:cs="Times New Roman" w:eastAsia="Times New Roman" w:hAnsi="Times New Roman"/>
          <w:sz w:val="18"/>
          <w:szCs w:val="18"/>
          <w:b w:val="1"/>
          <w:bCs w:val="1"/>
          <w:color w:val="auto"/>
        </w:rPr>
        <w:t>.</w:t>
      </w:r>
    </w:p>
    <w:p>
      <w:pPr>
        <w:spacing w:after="0" w:line="174" w:lineRule="exact"/>
        <w:rPr>
          <w:sz w:val="20"/>
          <w:szCs w:val="20"/>
          <w:color w:val="auto"/>
        </w:rPr>
      </w:pPr>
    </w:p>
    <w:tbl>
      <w:tblPr>
        <w:tblLayout w:type="fixed"/>
        <w:tblInd w:w="790" w:type="dxa"/>
        <w:tblCellMar>
          <w:top w:w="0" w:type="dxa"/>
          <w:left w:w="0" w:type="dxa"/>
          <w:bottom w:w="0" w:type="dxa"/>
          <w:right w:w="0" w:type="dxa"/>
        </w:tblCellMar>
      </w:tblPr>
      <w:tr>
        <w:trPr>
          <w:trHeight w:val="214"/>
        </w:trPr>
        <w:tc>
          <w:tcPr>
            <w:tcW w:w="58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560" w:type="dxa"/>
            <w:vAlign w:val="bottom"/>
            <w:tcBorders>
              <w:top w:val="single" w:sz="8" w:color="auto"/>
              <w:right w:val="single" w:sz="8" w:color="auto"/>
            </w:tcBorders>
            <w:shd w:val="clear" w:color="auto" w:fill="4DC1E4"/>
          </w:tcPr>
          <w:p>
            <w:pPr>
              <w:spacing w:after="0"/>
              <w:rPr>
                <w:sz w:val="18"/>
                <w:szCs w:val="18"/>
                <w:color w:val="auto"/>
              </w:rPr>
            </w:pPr>
          </w:p>
        </w:tc>
        <w:tc>
          <w:tcPr>
            <w:tcW w:w="1560" w:type="dxa"/>
            <w:vAlign w:val="bottom"/>
            <w:tcBorders>
              <w:top w:val="single" w:sz="8" w:color="auto"/>
              <w:right w:val="single" w:sz="8" w:color="auto"/>
            </w:tcBorders>
            <w:shd w:val="clear" w:color="auto" w:fill="4DC1E4"/>
          </w:tcPr>
          <w:p>
            <w:pPr>
              <w:spacing w:after="0"/>
              <w:rPr>
                <w:sz w:val="18"/>
                <w:szCs w:val="18"/>
                <w:color w:val="auto"/>
              </w:rPr>
            </w:pPr>
          </w:p>
        </w:tc>
        <w:tc>
          <w:tcPr>
            <w:tcW w:w="1640" w:type="dxa"/>
            <w:vAlign w:val="bottom"/>
            <w:tcBorders>
              <w:top w:val="single" w:sz="8" w:color="auto"/>
              <w:right w:val="single" w:sz="8" w:color="auto"/>
            </w:tcBorders>
            <w:shd w:val="clear" w:color="auto" w:fill="4DC1E4"/>
          </w:tcPr>
          <w:p>
            <w:pPr>
              <w:spacing w:after="0"/>
              <w:rPr>
                <w:sz w:val="18"/>
                <w:szCs w:val="18"/>
                <w:color w:val="auto"/>
              </w:rPr>
            </w:pPr>
          </w:p>
        </w:tc>
        <w:tc>
          <w:tcPr>
            <w:tcW w:w="1580" w:type="dxa"/>
            <w:vAlign w:val="bottom"/>
            <w:tcBorders>
              <w:top w:val="single" w:sz="8" w:color="auto"/>
              <w:right w:val="single" w:sz="8" w:color="auto"/>
            </w:tcBorders>
            <w:shd w:val="clear" w:color="auto" w:fill="4DC1E4"/>
          </w:tcPr>
          <w:p>
            <w:pPr>
              <w:spacing w:after="0"/>
              <w:rPr>
                <w:sz w:val="18"/>
                <w:szCs w:val="18"/>
                <w:color w:val="auto"/>
              </w:rPr>
            </w:pPr>
          </w:p>
        </w:tc>
        <w:tc>
          <w:tcPr>
            <w:tcW w:w="142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540" w:type="dxa"/>
            <w:vAlign w:val="bottom"/>
            <w:tcBorders>
              <w:top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spacing w:after="0"/>
              <w:rPr>
                <w:sz w:val="17"/>
                <w:szCs w:val="17"/>
                <w:color w:val="auto"/>
              </w:rPr>
            </w:pPr>
          </w:p>
        </w:tc>
        <w:tc>
          <w:tcPr>
            <w:tcW w:w="1580" w:type="dxa"/>
            <w:vAlign w:val="bottom"/>
            <w:tcBorders>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Initial Fixed</w:t>
            </w:r>
          </w:p>
        </w:tc>
        <w:tc>
          <w:tcPr>
            <w:tcW w:w="1540" w:type="dxa"/>
            <w:vAlign w:val="bottom"/>
            <w:tcBorders>
              <w:right w:val="single" w:sz="8" w:color="auto"/>
            </w:tcBorders>
            <w:shd w:val="clear" w:color="auto" w:fill="4DC1E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auto"/>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shd w:val="clear" w:color="auto" w:fill="4DC1E4"/>
          </w:tcPr>
          <w:p>
            <w:pPr>
              <w:spacing w:after="0"/>
              <w:rPr>
                <w:sz w:val="17"/>
                <w:szCs w:val="17"/>
                <w:color w:val="auto"/>
              </w:rPr>
            </w:pPr>
          </w:p>
        </w:tc>
        <w:tc>
          <w:tcPr>
            <w:tcW w:w="1580" w:type="dxa"/>
            <w:vAlign w:val="bottom"/>
            <w:tcBorders>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$100</w:t>
            </w:r>
          </w:p>
        </w:tc>
        <w:tc>
          <w:tcPr>
            <w:tcW w:w="1540" w:type="dxa"/>
            <w:vAlign w:val="bottom"/>
            <w:tcBorders>
              <w:right w:val="single" w:sz="8" w:color="auto"/>
            </w:tcBorders>
            <w:shd w:val="clear" w:color="auto" w:fill="4DC1E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Borders>
              <w:left w:val="single" w:sz="8" w:color="auto"/>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560" w:type="dxa"/>
            <w:vAlign w:val="bottom"/>
            <w:tcBorders>
              <w:right w:val="single" w:sz="8" w:color="auto"/>
            </w:tcBorders>
            <w:shd w:val="clear" w:color="auto" w:fill="4DC1E4"/>
          </w:tcPr>
          <w:p>
            <w:pPr>
              <w:spacing w:after="0"/>
              <w:rPr>
                <w:sz w:val="17"/>
                <w:szCs w:val="17"/>
                <w:color w:val="auto"/>
              </w:rPr>
            </w:pPr>
          </w:p>
        </w:tc>
        <w:tc>
          <w:tcPr>
            <w:tcW w:w="164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Average</w:t>
            </w:r>
          </w:p>
        </w:tc>
        <w:tc>
          <w:tcPr>
            <w:tcW w:w="1580" w:type="dxa"/>
            <w:vAlign w:val="bottom"/>
            <w:tcBorders>
              <w:right w:val="single" w:sz="8" w:color="auto"/>
            </w:tcBorders>
            <w:shd w:val="clear" w:color="auto" w:fill="4DC1E4"/>
          </w:tcPr>
          <w:p>
            <w:pPr>
              <w:spacing w:after="0"/>
              <w:rPr>
                <w:sz w:val="17"/>
                <w:szCs w:val="17"/>
                <w:color w:val="auto"/>
              </w:rPr>
            </w:pPr>
          </w:p>
        </w:tc>
        <w:tc>
          <w:tcPr>
            <w:tcW w:w="14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Investment</w:t>
            </w:r>
          </w:p>
        </w:tc>
        <w:tc>
          <w:tcPr>
            <w:tcW w:w="1540" w:type="dxa"/>
            <w:vAlign w:val="bottom"/>
            <w:tcBorders>
              <w:right w:val="single" w:sz="8" w:color="auto"/>
            </w:tcBorders>
            <w:shd w:val="clear" w:color="auto" w:fill="4DC1E4"/>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right w:val="single" w:sz="8" w:color="auto"/>
            </w:tcBorders>
            <w:shd w:val="clear" w:color="auto" w:fill="4DC1E4"/>
          </w:tcPr>
          <w:p>
            <w:pPr>
              <w:spacing w:after="0"/>
              <w:rPr>
                <w:sz w:val="5"/>
                <w:szCs w:val="5"/>
                <w:color w:val="auto"/>
              </w:rPr>
            </w:pPr>
          </w:p>
        </w:tc>
        <w:tc>
          <w:tcPr>
            <w:tcW w:w="1560" w:type="dxa"/>
            <w:vAlign w:val="bottom"/>
            <w:tcBorders>
              <w:right w:val="single" w:sz="8" w:color="auto"/>
            </w:tcBorders>
            <w:shd w:val="clear" w:color="auto" w:fill="4DC1E4"/>
          </w:tcPr>
          <w:p>
            <w:pPr>
              <w:spacing w:after="0"/>
              <w:rPr>
                <w:sz w:val="5"/>
                <w:szCs w:val="5"/>
                <w:color w:val="auto"/>
              </w:rPr>
            </w:pPr>
          </w:p>
        </w:tc>
        <w:tc>
          <w:tcPr>
            <w:tcW w:w="1560" w:type="dxa"/>
            <w:vAlign w:val="bottom"/>
            <w:tcBorders>
              <w:right w:val="single" w:sz="8" w:color="auto"/>
            </w:tcBorders>
            <w:shd w:val="clear" w:color="auto" w:fill="4DC1E4"/>
          </w:tcPr>
          <w:p>
            <w:pPr>
              <w:spacing w:after="0"/>
              <w:rPr>
                <w:sz w:val="5"/>
                <w:szCs w:val="5"/>
                <w:color w:val="auto"/>
              </w:rPr>
            </w:pPr>
          </w:p>
        </w:tc>
        <w:tc>
          <w:tcPr>
            <w:tcW w:w="1640" w:type="dxa"/>
            <w:vAlign w:val="bottom"/>
            <w:tcBorders>
              <w:right w:val="single" w:sz="8" w:color="auto"/>
            </w:tcBorders>
            <w:vMerge w:val="continue"/>
            <w:shd w:val="clear" w:color="auto" w:fill="4DC1E4"/>
          </w:tcPr>
          <w:p>
            <w:pPr>
              <w:spacing w:after="0"/>
              <w:rPr>
                <w:sz w:val="5"/>
                <w:szCs w:val="5"/>
                <w:color w:val="auto"/>
              </w:rPr>
            </w:pPr>
          </w:p>
        </w:tc>
        <w:tc>
          <w:tcPr>
            <w:tcW w:w="15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Average</w:t>
            </w:r>
          </w:p>
        </w:tc>
        <w:tc>
          <w:tcPr>
            <w:tcW w:w="142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Based on</w:t>
            </w:r>
          </w:p>
        </w:tc>
        <w:tc>
          <w:tcPr>
            <w:tcW w:w="154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80" w:type="dxa"/>
            <w:vAlign w:val="bottom"/>
            <w:tcBorders>
              <w:left w:val="single" w:sz="8" w:color="auto"/>
              <w:right w:val="single" w:sz="8" w:color="auto"/>
            </w:tcBorders>
            <w:shd w:val="clear" w:color="auto" w:fill="4DC1E4"/>
          </w:tcPr>
          <w:p>
            <w:pPr>
              <w:spacing w:after="0"/>
              <w:rPr>
                <w:sz w:val="11"/>
                <w:szCs w:val="11"/>
                <w:color w:val="auto"/>
              </w:rPr>
            </w:pPr>
          </w:p>
        </w:tc>
        <w:tc>
          <w:tcPr>
            <w:tcW w:w="1560" w:type="dxa"/>
            <w:vAlign w:val="bottom"/>
            <w:tcBorders>
              <w:right w:val="single" w:sz="8" w:color="auto"/>
            </w:tcBorders>
            <w:shd w:val="clear" w:color="auto" w:fill="4DC1E4"/>
          </w:tcPr>
          <w:p>
            <w:pPr>
              <w:spacing w:after="0"/>
              <w:rPr>
                <w:sz w:val="11"/>
                <w:szCs w:val="11"/>
                <w:color w:val="auto"/>
              </w:rPr>
            </w:pPr>
          </w:p>
        </w:tc>
        <w:tc>
          <w:tcPr>
            <w:tcW w:w="1560" w:type="dxa"/>
            <w:vAlign w:val="bottom"/>
            <w:tcBorders>
              <w:right w:val="single" w:sz="8" w:color="auto"/>
            </w:tcBorders>
            <w:shd w:val="clear" w:color="auto" w:fill="4DC1E4"/>
          </w:tcPr>
          <w:p>
            <w:pPr>
              <w:spacing w:after="0"/>
              <w:rPr>
                <w:sz w:val="11"/>
                <w:szCs w:val="11"/>
                <w:color w:val="auto"/>
              </w:rPr>
            </w:pPr>
          </w:p>
        </w:tc>
        <w:tc>
          <w:tcPr>
            <w:tcW w:w="164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Summary</w:t>
            </w:r>
          </w:p>
        </w:tc>
        <w:tc>
          <w:tcPr>
            <w:tcW w:w="1580" w:type="dxa"/>
            <w:vAlign w:val="bottom"/>
            <w:tcBorders>
              <w:right w:val="single" w:sz="8" w:color="auto"/>
            </w:tcBorders>
            <w:vMerge w:val="continue"/>
            <w:shd w:val="clear" w:color="auto" w:fill="4DC1E4"/>
          </w:tcPr>
          <w:p>
            <w:pPr>
              <w:spacing w:after="0"/>
              <w:rPr>
                <w:sz w:val="11"/>
                <w:szCs w:val="11"/>
                <w:color w:val="auto"/>
              </w:rPr>
            </w:pPr>
          </w:p>
        </w:tc>
        <w:tc>
          <w:tcPr>
            <w:tcW w:w="1420" w:type="dxa"/>
            <w:vAlign w:val="bottom"/>
            <w:tcBorders>
              <w:right w:val="single" w:sz="8" w:color="auto"/>
            </w:tcBorders>
            <w:vMerge w:val="continue"/>
            <w:shd w:val="clear" w:color="auto" w:fill="4DC1E4"/>
          </w:tcPr>
          <w:p>
            <w:pPr>
              <w:spacing w:after="0"/>
              <w:rPr>
                <w:sz w:val="11"/>
                <w:szCs w:val="11"/>
                <w:color w:val="auto"/>
              </w:rPr>
            </w:pPr>
          </w:p>
        </w:tc>
        <w:tc>
          <w:tcPr>
            <w:tcW w:w="1540" w:type="dxa"/>
            <w:vAlign w:val="bottom"/>
            <w:tcBorders>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right w:val="single" w:sz="8" w:color="auto"/>
            </w:tcBorders>
            <w:shd w:val="clear" w:color="auto" w:fill="4DC1E4"/>
          </w:tcPr>
          <w:p>
            <w:pPr>
              <w:spacing w:after="0"/>
              <w:rPr>
                <w:sz w:val="5"/>
                <w:szCs w:val="5"/>
                <w:color w:val="auto"/>
              </w:rPr>
            </w:pP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Summary</w:t>
            </w:r>
          </w:p>
        </w:tc>
        <w:tc>
          <w:tcPr>
            <w:tcW w:w="1560" w:type="dxa"/>
            <w:vAlign w:val="bottom"/>
            <w:tcBorders>
              <w:right w:val="single" w:sz="8" w:color="auto"/>
            </w:tcBorders>
            <w:shd w:val="clear" w:color="auto" w:fill="4DC1E4"/>
          </w:tcPr>
          <w:p>
            <w:pPr>
              <w:spacing w:after="0"/>
              <w:rPr>
                <w:sz w:val="5"/>
                <w:szCs w:val="5"/>
                <w:color w:val="auto"/>
              </w:rPr>
            </w:pPr>
          </w:p>
        </w:tc>
        <w:tc>
          <w:tcPr>
            <w:tcW w:w="1640" w:type="dxa"/>
            <w:vAlign w:val="bottom"/>
            <w:tcBorders>
              <w:right w:val="single" w:sz="8" w:color="auto"/>
            </w:tcBorders>
            <w:vMerge w:val="continue"/>
            <w:shd w:val="clear" w:color="auto" w:fill="4DC1E4"/>
          </w:tcPr>
          <w:p>
            <w:pPr>
              <w:spacing w:after="0"/>
              <w:rPr>
                <w:sz w:val="5"/>
                <w:szCs w:val="5"/>
                <w:color w:val="auto"/>
              </w:rPr>
            </w:pPr>
          </w:p>
        </w:tc>
        <w:tc>
          <w:tcPr>
            <w:tcW w:w="15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42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Total</w:t>
            </w:r>
          </w:p>
        </w:tc>
        <w:tc>
          <w:tcPr>
            <w:tcW w:w="154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80" w:type="dxa"/>
            <w:vAlign w:val="bottom"/>
            <w:tcBorders>
              <w:left w:val="single" w:sz="8" w:color="auto"/>
              <w:right w:val="single" w:sz="8" w:color="auto"/>
            </w:tcBorders>
            <w:shd w:val="clear" w:color="auto" w:fill="4DC1E4"/>
          </w:tcPr>
          <w:p>
            <w:pPr>
              <w:spacing w:after="0"/>
              <w:rPr>
                <w:sz w:val="11"/>
                <w:szCs w:val="11"/>
                <w:color w:val="auto"/>
              </w:rPr>
            </w:pPr>
          </w:p>
        </w:tc>
        <w:tc>
          <w:tcPr>
            <w:tcW w:w="1560" w:type="dxa"/>
            <w:vAlign w:val="bottom"/>
            <w:tcBorders>
              <w:right w:val="single" w:sz="8" w:color="auto"/>
            </w:tcBorders>
            <w:vMerge w:val="continue"/>
            <w:shd w:val="clear" w:color="auto" w:fill="4DC1E4"/>
          </w:tcPr>
          <w:p>
            <w:pPr>
              <w:spacing w:after="0"/>
              <w:rPr>
                <w:sz w:val="11"/>
                <w:szCs w:val="11"/>
                <w:color w:val="auto"/>
              </w:rPr>
            </w:pPr>
          </w:p>
        </w:tc>
        <w:tc>
          <w:tcPr>
            <w:tcW w:w="1560" w:type="dxa"/>
            <w:vAlign w:val="bottom"/>
            <w:tcBorders>
              <w:right w:val="single" w:sz="8" w:color="auto"/>
            </w:tcBorders>
            <w:shd w:val="clear" w:color="auto" w:fill="4DC1E4"/>
          </w:tcPr>
          <w:p>
            <w:pPr>
              <w:spacing w:after="0"/>
              <w:rPr>
                <w:sz w:val="11"/>
                <w:szCs w:val="11"/>
                <w:color w:val="auto"/>
              </w:rPr>
            </w:pPr>
          </w:p>
        </w:tc>
        <w:tc>
          <w:tcPr>
            <w:tcW w:w="164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580" w:type="dxa"/>
            <w:vAlign w:val="bottom"/>
            <w:tcBorders>
              <w:right w:val="single" w:sz="8" w:color="auto"/>
            </w:tcBorders>
            <w:vMerge w:val="continue"/>
            <w:shd w:val="clear" w:color="auto" w:fill="4DC1E4"/>
          </w:tcPr>
          <w:p>
            <w:pPr>
              <w:spacing w:after="0"/>
              <w:rPr>
                <w:sz w:val="11"/>
                <w:szCs w:val="11"/>
                <w:color w:val="auto"/>
              </w:rPr>
            </w:pPr>
          </w:p>
        </w:tc>
        <w:tc>
          <w:tcPr>
            <w:tcW w:w="1420" w:type="dxa"/>
            <w:vAlign w:val="bottom"/>
            <w:tcBorders>
              <w:right w:val="single" w:sz="8" w:color="auto"/>
            </w:tcBorders>
            <w:vMerge w:val="continue"/>
            <w:shd w:val="clear" w:color="auto" w:fill="4DC1E4"/>
          </w:tcPr>
          <w:p>
            <w:pPr>
              <w:spacing w:after="0"/>
              <w:rPr>
                <w:sz w:val="11"/>
                <w:szCs w:val="11"/>
                <w:color w:val="auto"/>
              </w:rPr>
            </w:pPr>
          </w:p>
        </w:tc>
        <w:tc>
          <w:tcPr>
            <w:tcW w:w="1540" w:type="dxa"/>
            <w:vAlign w:val="bottom"/>
            <w:tcBorders>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right w:val="single" w:sz="8" w:color="auto"/>
            </w:tcBorders>
            <w:shd w:val="clear" w:color="auto" w:fill="4DC1E4"/>
          </w:tcPr>
          <w:p>
            <w:pPr>
              <w:spacing w:after="0"/>
              <w:rPr>
                <w:sz w:val="5"/>
                <w:szCs w:val="5"/>
                <w:color w:val="auto"/>
              </w:rPr>
            </w:pP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640" w:type="dxa"/>
            <w:vAlign w:val="bottom"/>
            <w:tcBorders>
              <w:right w:val="single" w:sz="8" w:color="auto"/>
            </w:tcBorders>
            <w:vMerge w:val="continue"/>
            <w:shd w:val="clear" w:color="auto" w:fill="4DC1E4"/>
          </w:tcPr>
          <w:p>
            <w:pPr>
              <w:spacing w:after="0"/>
              <w:rPr>
                <w:sz w:val="5"/>
                <w:szCs w:val="5"/>
                <w:color w:val="auto"/>
              </w:rPr>
            </w:pPr>
          </w:p>
        </w:tc>
        <w:tc>
          <w:tcPr>
            <w:tcW w:w="15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Actually Paid</w:t>
            </w:r>
          </w:p>
        </w:tc>
        <w:tc>
          <w:tcPr>
            <w:tcW w:w="142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Shareholder</w:t>
            </w:r>
          </w:p>
        </w:tc>
        <w:tc>
          <w:tcPr>
            <w:tcW w:w="154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80" w:type="dxa"/>
            <w:vAlign w:val="bottom"/>
            <w:tcBorders>
              <w:left w:val="single" w:sz="8" w:color="auto"/>
              <w:right w:val="single" w:sz="8" w:color="auto"/>
            </w:tcBorders>
            <w:shd w:val="clear" w:color="auto" w:fill="4DC1E4"/>
          </w:tcPr>
          <w:p>
            <w:pPr>
              <w:spacing w:after="0"/>
              <w:rPr>
                <w:sz w:val="11"/>
                <w:szCs w:val="11"/>
                <w:color w:val="auto"/>
              </w:rPr>
            </w:pPr>
          </w:p>
        </w:tc>
        <w:tc>
          <w:tcPr>
            <w:tcW w:w="1560" w:type="dxa"/>
            <w:vAlign w:val="bottom"/>
            <w:tcBorders>
              <w:right w:val="single" w:sz="8" w:color="auto"/>
            </w:tcBorders>
            <w:vMerge w:val="continue"/>
            <w:shd w:val="clear" w:color="auto" w:fill="4DC1E4"/>
          </w:tcPr>
          <w:p>
            <w:pPr>
              <w:spacing w:after="0"/>
              <w:rPr>
                <w:sz w:val="11"/>
                <w:szCs w:val="11"/>
                <w:color w:val="auto"/>
              </w:rPr>
            </w:pPr>
          </w:p>
        </w:tc>
        <w:tc>
          <w:tcPr>
            <w:tcW w:w="1560" w:type="dxa"/>
            <w:vAlign w:val="bottom"/>
            <w:tcBorders>
              <w:right w:val="single" w:sz="8" w:color="auto"/>
            </w:tcBorders>
            <w:vMerge w:val="continue"/>
            <w:shd w:val="clear" w:color="auto" w:fill="4DC1E4"/>
          </w:tcPr>
          <w:p>
            <w:pPr>
              <w:spacing w:after="0"/>
              <w:rPr>
                <w:sz w:val="11"/>
                <w:szCs w:val="11"/>
                <w:color w:val="auto"/>
              </w:rPr>
            </w:pPr>
          </w:p>
        </w:tc>
        <w:tc>
          <w:tcPr>
            <w:tcW w:w="164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Table Total for</w:t>
            </w:r>
          </w:p>
        </w:tc>
        <w:tc>
          <w:tcPr>
            <w:tcW w:w="1580" w:type="dxa"/>
            <w:vAlign w:val="bottom"/>
            <w:tcBorders>
              <w:right w:val="single" w:sz="8" w:color="auto"/>
            </w:tcBorders>
            <w:vMerge w:val="continue"/>
            <w:shd w:val="clear" w:color="auto" w:fill="4DC1E4"/>
          </w:tcPr>
          <w:p>
            <w:pPr>
              <w:spacing w:after="0"/>
              <w:rPr>
                <w:sz w:val="11"/>
                <w:szCs w:val="11"/>
                <w:color w:val="auto"/>
              </w:rPr>
            </w:pPr>
          </w:p>
        </w:tc>
        <w:tc>
          <w:tcPr>
            <w:tcW w:w="1420" w:type="dxa"/>
            <w:vAlign w:val="bottom"/>
            <w:tcBorders>
              <w:right w:val="single" w:sz="8" w:color="auto"/>
            </w:tcBorders>
            <w:vMerge w:val="continue"/>
            <w:shd w:val="clear" w:color="auto" w:fill="4DC1E4"/>
          </w:tcPr>
          <w:p>
            <w:pPr>
              <w:spacing w:after="0"/>
              <w:rPr>
                <w:sz w:val="11"/>
                <w:szCs w:val="11"/>
                <w:color w:val="auto"/>
              </w:rPr>
            </w:pPr>
          </w:p>
        </w:tc>
        <w:tc>
          <w:tcPr>
            <w:tcW w:w="1540" w:type="dxa"/>
            <w:vAlign w:val="bottom"/>
            <w:tcBorders>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right w:val="single" w:sz="8" w:color="auto"/>
            </w:tcBorders>
            <w:shd w:val="clear" w:color="auto" w:fill="4DC1E4"/>
          </w:tcPr>
          <w:p>
            <w:pPr>
              <w:spacing w:after="0"/>
              <w:rPr>
                <w:sz w:val="5"/>
                <w:szCs w:val="5"/>
                <w:color w:val="auto"/>
              </w:rPr>
            </w:pP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Table Total</w:t>
            </w: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Actually Paid</w:t>
            </w:r>
          </w:p>
        </w:tc>
        <w:tc>
          <w:tcPr>
            <w:tcW w:w="1640" w:type="dxa"/>
            <w:vAlign w:val="bottom"/>
            <w:tcBorders>
              <w:right w:val="single" w:sz="8" w:color="auto"/>
            </w:tcBorders>
            <w:vMerge w:val="continue"/>
            <w:shd w:val="clear" w:color="auto" w:fill="4DC1E4"/>
          </w:tcPr>
          <w:p>
            <w:pPr>
              <w:spacing w:after="0"/>
              <w:rPr>
                <w:sz w:val="5"/>
                <w:szCs w:val="5"/>
                <w:color w:val="auto"/>
              </w:rPr>
            </w:pPr>
          </w:p>
        </w:tc>
        <w:tc>
          <w:tcPr>
            <w:tcW w:w="15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to Non-PEO</w:t>
            </w:r>
          </w:p>
        </w:tc>
        <w:tc>
          <w:tcPr>
            <w:tcW w:w="142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Return</w:t>
            </w:r>
          </w:p>
        </w:tc>
        <w:tc>
          <w:tcPr>
            <w:tcW w:w="1540" w:type="dxa"/>
            <w:vAlign w:val="bottom"/>
            <w:tcBorders>
              <w:right w:val="single" w:sz="8" w:color="auto"/>
            </w:tcBorders>
            <w:vMerge w:val="restart"/>
            <w:shd w:val="clear" w:color="auto" w:fill="4DC1E4"/>
          </w:tcPr>
          <w:p>
            <w:pPr>
              <w:jc w:val="right"/>
              <w:ind w:right="359"/>
              <w:spacing w:after="0"/>
              <w:rPr>
                <w:sz w:val="20"/>
                <w:szCs w:val="20"/>
                <w:color w:val="auto"/>
              </w:rPr>
            </w:pPr>
            <w:r>
              <w:rPr>
                <w:rFonts w:ascii="Times New Roman" w:cs="Times New Roman" w:eastAsia="Times New Roman" w:hAnsi="Times New Roman"/>
                <w:sz w:val="16"/>
                <w:szCs w:val="16"/>
                <w:b w:val="1"/>
                <w:bCs w:val="1"/>
                <w:color w:val="FFFFFF"/>
              </w:rPr>
              <w:t>Net (Loss)</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right w:val="single" w:sz="8" w:color="auto"/>
            </w:tcBorders>
            <w:shd w:val="clear" w:color="auto" w:fill="4DC1E4"/>
          </w:tcPr>
          <w:p>
            <w:pPr>
              <w:spacing w:after="0"/>
              <w:rPr>
                <w:sz w:val="11"/>
                <w:szCs w:val="11"/>
                <w:color w:val="auto"/>
              </w:rPr>
            </w:pPr>
          </w:p>
        </w:tc>
        <w:tc>
          <w:tcPr>
            <w:tcW w:w="1560" w:type="dxa"/>
            <w:vAlign w:val="bottom"/>
            <w:tcBorders>
              <w:right w:val="single" w:sz="8" w:color="auto"/>
            </w:tcBorders>
            <w:vMerge w:val="continue"/>
            <w:shd w:val="clear" w:color="auto" w:fill="4DC1E4"/>
          </w:tcPr>
          <w:p>
            <w:pPr>
              <w:spacing w:after="0"/>
              <w:rPr>
                <w:sz w:val="11"/>
                <w:szCs w:val="11"/>
                <w:color w:val="auto"/>
              </w:rPr>
            </w:pPr>
          </w:p>
        </w:tc>
        <w:tc>
          <w:tcPr>
            <w:tcW w:w="1560" w:type="dxa"/>
            <w:vAlign w:val="bottom"/>
            <w:tcBorders>
              <w:right w:val="single" w:sz="8" w:color="auto"/>
            </w:tcBorders>
            <w:vMerge w:val="continue"/>
            <w:shd w:val="clear" w:color="auto" w:fill="4DC1E4"/>
          </w:tcPr>
          <w:p>
            <w:pPr>
              <w:spacing w:after="0"/>
              <w:rPr>
                <w:sz w:val="11"/>
                <w:szCs w:val="11"/>
                <w:color w:val="auto"/>
              </w:rPr>
            </w:pPr>
          </w:p>
        </w:tc>
        <w:tc>
          <w:tcPr>
            <w:tcW w:w="164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Non-PEO NEO</w:t>
            </w:r>
          </w:p>
        </w:tc>
        <w:tc>
          <w:tcPr>
            <w:tcW w:w="1580" w:type="dxa"/>
            <w:vAlign w:val="bottom"/>
            <w:tcBorders>
              <w:right w:val="single" w:sz="8" w:color="auto"/>
            </w:tcBorders>
            <w:vMerge w:val="continue"/>
            <w:shd w:val="clear" w:color="auto" w:fill="4DC1E4"/>
          </w:tcPr>
          <w:p>
            <w:pPr>
              <w:spacing w:after="0"/>
              <w:rPr>
                <w:sz w:val="11"/>
                <w:szCs w:val="11"/>
                <w:color w:val="auto"/>
              </w:rPr>
            </w:pPr>
          </w:p>
        </w:tc>
        <w:tc>
          <w:tcPr>
            <w:tcW w:w="1420" w:type="dxa"/>
            <w:vAlign w:val="bottom"/>
            <w:tcBorders>
              <w:right w:val="single" w:sz="8" w:color="auto"/>
            </w:tcBorders>
            <w:vMerge w:val="continue"/>
            <w:shd w:val="clear" w:color="auto" w:fill="4DC1E4"/>
          </w:tcPr>
          <w:p>
            <w:pPr>
              <w:spacing w:after="0"/>
              <w:rPr>
                <w:sz w:val="11"/>
                <w:szCs w:val="11"/>
                <w:color w:val="auto"/>
              </w:rPr>
            </w:pPr>
          </w:p>
        </w:tc>
        <w:tc>
          <w:tcPr>
            <w:tcW w:w="1540" w:type="dxa"/>
            <w:vAlign w:val="bottom"/>
            <w:tcBorders>
              <w:right w:val="single" w:sz="8" w:color="auto"/>
            </w:tcBorders>
            <w:vMerge w:val="continue"/>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tcBorders>
              <w:left w:val="single" w:sz="8" w:color="auto"/>
              <w:right w:val="single" w:sz="8" w:color="auto"/>
            </w:tcBorders>
            <w:vMerge w:val="restart"/>
            <w:shd w:val="clear" w:color="auto" w:fill="4DC1E4"/>
          </w:tcPr>
          <w:p>
            <w:pPr>
              <w:jc w:val="center"/>
              <w:ind w:left="59"/>
              <w:spacing w:after="0"/>
              <w:rPr>
                <w:sz w:val="20"/>
                <w:szCs w:val="20"/>
                <w:color w:val="auto"/>
              </w:rPr>
            </w:pPr>
            <w:r>
              <w:rPr>
                <w:rFonts w:ascii="Times New Roman" w:cs="Times New Roman" w:eastAsia="Times New Roman" w:hAnsi="Times New Roman"/>
                <w:sz w:val="16"/>
                <w:szCs w:val="16"/>
                <w:b w:val="1"/>
                <w:bCs w:val="1"/>
                <w:color w:val="FFFFFF"/>
                <w:w w:val="94"/>
              </w:rPr>
              <w:t>Year</w:t>
            </w: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 xml:space="preserve">for PEO </w:t>
            </w:r>
            <w:r>
              <w:rPr>
                <w:rFonts w:ascii="Times New Roman" w:cs="Times New Roman" w:eastAsia="Times New Roman" w:hAnsi="Times New Roman"/>
                <w:sz w:val="24"/>
                <w:szCs w:val="24"/>
                <w:b w:val="1"/>
                <w:bCs w:val="1"/>
                <w:color w:val="FFFFFF"/>
                <w:w w:val="94"/>
                <w:vertAlign w:val="superscript"/>
              </w:rPr>
              <w:t>(1)</w:t>
            </w:r>
          </w:p>
        </w:tc>
        <w:tc>
          <w:tcPr>
            <w:tcW w:w="15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 xml:space="preserve">to PEO </w:t>
            </w:r>
            <w:r>
              <w:rPr>
                <w:rFonts w:ascii="Times New Roman" w:cs="Times New Roman" w:eastAsia="Times New Roman" w:hAnsi="Times New Roman"/>
                <w:sz w:val="24"/>
                <w:szCs w:val="24"/>
                <w:b w:val="1"/>
                <w:bCs w:val="1"/>
                <w:color w:val="FFFFFF"/>
                <w:w w:val="93"/>
                <w:vertAlign w:val="superscript"/>
              </w:rPr>
              <w:t>(2)</w:t>
            </w:r>
          </w:p>
        </w:tc>
        <w:tc>
          <w:tcPr>
            <w:tcW w:w="1640" w:type="dxa"/>
            <w:vAlign w:val="bottom"/>
            <w:tcBorders>
              <w:right w:val="single" w:sz="8" w:color="auto"/>
            </w:tcBorders>
            <w:vMerge w:val="continue"/>
            <w:shd w:val="clear" w:color="auto" w:fill="4DC1E4"/>
          </w:tcPr>
          <w:p>
            <w:pPr>
              <w:spacing w:after="0"/>
              <w:rPr>
                <w:sz w:val="5"/>
                <w:szCs w:val="5"/>
                <w:color w:val="auto"/>
              </w:rPr>
            </w:pPr>
          </w:p>
        </w:tc>
        <w:tc>
          <w:tcPr>
            <w:tcW w:w="15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89"/>
              </w:rPr>
              <w:t>NEO</w:t>
            </w:r>
            <w:r>
              <w:rPr>
                <w:rFonts w:ascii="Times New Roman" w:cs="Times New Roman" w:eastAsia="Times New Roman" w:hAnsi="Times New Roman"/>
                <w:sz w:val="24"/>
                <w:szCs w:val="24"/>
                <w:b w:val="1"/>
                <w:bCs w:val="1"/>
                <w:color w:val="FFFFFF"/>
                <w:w w:val="89"/>
                <w:vertAlign w:val="superscript"/>
              </w:rPr>
              <w:t>(4)</w:t>
            </w:r>
          </w:p>
        </w:tc>
        <w:tc>
          <w:tcPr>
            <w:tcW w:w="142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(“TSR”)</w:t>
            </w:r>
            <w:r>
              <w:rPr>
                <w:rFonts w:ascii="Times New Roman" w:cs="Times New Roman" w:eastAsia="Times New Roman" w:hAnsi="Times New Roman"/>
                <w:sz w:val="24"/>
                <w:szCs w:val="24"/>
                <w:b w:val="1"/>
                <w:bCs w:val="1"/>
                <w:color w:val="FFFFFF"/>
                <w:w w:val="96"/>
                <w:vertAlign w:val="superscript"/>
              </w:rPr>
              <w:t>(5)</w:t>
            </w:r>
          </w:p>
        </w:tc>
        <w:tc>
          <w:tcPr>
            <w:tcW w:w="1540" w:type="dxa"/>
            <w:vAlign w:val="bottom"/>
            <w:tcBorders>
              <w:right w:val="single" w:sz="8" w:color="auto"/>
            </w:tcBorders>
            <w:vMerge w:val="restart"/>
            <w:shd w:val="clear" w:color="auto" w:fill="4DC1E4"/>
          </w:tcPr>
          <w:p>
            <w:pPr>
              <w:jc w:val="right"/>
              <w:ind w:right="239"/>
              <w:spacing w:after="0"/>
              <w:rPr>
                <w:sz w:val="20"/>
                <w:szCs w:val="20"/>
                <w:color w:val="auto"/>
              </w:rPr>
            </w:pPr>
            <w:r>
              <w:rPr>
                <w:rFonts w:ascii="Times New Roman" w:cs="Times New Roman" w:eastAsia="Times New Roman" w:hAnsi="Times New Roman"/>
                <w:sz w:val="16"/>
                <w:szCs w:val="16"/>
                <w:b w:val="1"/>
                <w:bCs w:val="1"/>
                <w:color w:val="FFFFFF"/>
              </w:rPr>
              <w:t>(thousands)</w:t>
            </w:r>
            <w:r>
              <w:rPr>
                <w:rFonts w:ascii="Times New Roman" w:cs="Times New Roman" w:eastAsia="Times New Roman" w:hAnsi="Times New Roman"/>
                <w:sz w:val="24"/>
                <w:szCs w:val="24"/>
                <w:b w:val="1"/>
                <w:bCs w:val="1"/>
                <w:color w:val="FFFFFF"/>
                <w:vertAlign w:val="superscript"/>
              </w:rPr>
              <w:t>(6)</w:t>
            </w:r>
          </w:p>
        </w:tc>
        <w:tc>
          <w:tcPr>
            <w:tcW w:w="0" w:type="dxa"/>
            <w:vAlign w:val="bottom"/>
          </w:tcPr>
          <w:p>
            <w:pPr>
              <w:spacing w:after="0"/>
              <w:rPr>
                <w:sz w:val="1"/>
                <w:szCs w:val="1"/>
                <w:color w:val="auto"/>
              </w:rPr>
            </w:pPr>
          </w:p>
        </w:tc>
      </w:tr>
      <w:tr>
        <w:trPr>
          <w:trHeight w:val="246"/>
        </w:trPr>
        <w:tc>
          <w:tcPr>
            <w:tcW w:w="580" w:type="dxa"/>
            <w:vAlign w:val="bottom"/>
            <w:tcBorders>
              <w:left w:val="single" w:sz="8" w:color="auto"/>
              <w:bottom w:val="single" w:sz="8" w:color="auto"/>
              <w:right w:val="single" w:sz="8" w:color="auto"/>
            </w:tcBorders>
            <w:vMerge w:val="continue"/>
            <w:shd w:val="clear" w:color="auto" w:fill="4DC1E4"/>
          </w:tcPr>
          <w:p>
            <w:pPr>
              <w:spacing w:after="0"/>
              <w:rPr>
                <w:sz w:val="21"/>
                <w:szCs w:val="21"/>
                <w:color w:val="auto"/>
              </w:rPr>
            </w:pPr>
          </w:p>
        </w:tc>
        <w:tc>
          <w:tcPr>
            <w:tcW w:w="1560" w:type="dxa"/>
            <w:vAlign w:val="bottom"/>
            <w:tcBorders>
              <w:bottom w:val="single" w:sz="8" w:color="auto"/>
              <w:right w:val="single" w:sz="8" w:color="auto"/>
            </w:tcBorders>
            <w:vMerge w:val="continue"/>
            <w:shd w:val="clear" w:color="auto" w:fill="4DC1E4"/>
          </w:tcPr>
          <w:p>
            <w:pPr>
              <w:spacing w:after="0"/>
              <w:rPr>
                <w:sz w:val="21"/>
                <w:szCs w:val="21"/>
                <w:color w:val="auto"/>
              </w:rPr>
            </w:pPr>
          </w:p>
        </w:tc>
        <w:tc>
          <w:tcPr>
            <w:tcW w:w="1560" w:type="dxa"/>
            <w:vAlign w:val="bottom"/>
            <w:tcBorders>
              <w:bottom w:val="single" w:sz="8" w:color="auto"/>
              <w:right w:val="single" w:sz="8" w:color="auto"/>
            </w:tcBorders>
            <w:vMerge w:val="continue"/>
            <w:shd w:val="clear" w:color="auto" w:fill="4DC1E4"/>
          </w:tcPr>
          <w:p>
            <w:pPr>
              <w:spacing w:after="0"/>
              <w:rPr>
                <w:sz w:val="21"/>
                <w:szCs w:val="21"/>
                <w:color w:val="auto"/>
              </w:rPr>
            </w:pPr>
          </w:p>
        </w:tc>
        <w:tc>
          <w:tcPr>
            <w:tcW w:w="1640" w:type="dxa"/>
            <w:vAlign w:val="bottom"/>
            <w:tcBorders>
              <w:bottom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(3)</w:t>
            </w:r>
          </w:p>
        </w:tc>
        <w:tc>
          <w:tcPr>
            <w:tcW w:w="1580" w:type="dxa"/>
            <w:vAlign w:val="bottom"/>
            <w:tcBorders>
              <w:bottom w:val="single" w:sz="8" w:color="auto"/>
              <w:right w:val="single" w:sz="8" w:color="auto"/>
            </w:tcBorders>
            <w:vMerge w:val="continue"/>
            <w:shd w:val="clear" w:color="auto" w:fill="4DC1E4"/>
          </w:tcPr>
          <w:p>
            <w:pPr>
              <w:spacing w:after="0"/>
              <w:rPr>
                <w:sz w:val="21"/>
                <w:szCs w:val="21"/>
                <w:color w:val="auto"/>
              </w:rPr>
            </w:pPr>
          </w:p>
        </w:tc>
        <w:tc>
          <w:tcPr>
            <w:tcW w:w="1420" w:type="dxa"/>
            <w:vAlign w:val="bottom"/>
            <w:tcBorders>
              <w:bottom w:val="single" w:sz="8" w:color="auto"/>
              <w:right w:val="single" w:sz="8" w:color="auto"/>
            </w:tcBorders>
            <w:vMerge w:val="continue"/>
            <w:shd w:val="clear" w:color="auto" w:fill="4DC1E4"/>
          </w:tcPr>
          <w:p>
            <w:pPr>
              <w:spacing w:after="0"/>
              <w:rPr>
                <w:sz w:val="21"/>
                <w:szCs w:val="21"/>
                <w:color w:val="auto"/>
              </w:rPr>
            </w:pPr>
          </w:p>
        </w:tc>
        <w:tc>
          <w:tcPr>
            <w:tcW w:w="1540" w:type="dxa"/>
            <w:vAlign w:val="bottom"/>
            <w:tcBorders>
              <w:bottom w:val="single" w:sz="8" w:color="auto"/>
              <w:right w:val="single" w:sz="8" w:color="auto"/>
            </w:tcBorders>
            <w:vMerge w:val="continue"/>
            <w:shd w:val="clear" w:color="auto" w:fill="4DC1E4"/>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80" w:type="dxa"/>
            <w:vAlign w:val="bottom"/>
            <w:tcBorders>
              <w:left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(a)</w:t>
            </w:r>
          </w:p>
        </w:tc>
        <w:tc>
          <w:tcPr>
            <w:tcW w:w="1560" w:type="dxa"/>
            <w:vAlign w:val="bottom"/>
            <w:tcBorders>
              <w:right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(b)</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1640" w:type="dxa"/>
            <w:vAlign w:val="bottom"/>
            <w:tcBorders>
              <w:right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rPr>
              <w:t>(d)</w:t>
            </w:r>
          </w:p>
        </w:tc>
        <w:tc>
          <w:tcPr>
            <w:tcW w:w="1580" w:type="dxa"/>
            <w:vAlign w:val="bottom"/>
            <w:tcBorders>
              <w:right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(e)</w:t>
            </w:r>
          </w:p>
        </w:tc>
        <w:tc>
          <w:tcPr>
            <w:tcW w:w="1420" w:type="dxa"/>
            <w:vAlign w:val="bottom"/>
            <w:tcBorders>
              <w:right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(f)</w:t>
            </w:r>
          </w:p>
        </w:tc>
        <w:tc>
          <w:tcPr>
            <w:tcW w:w="1540" w:type="dxa"/>
            <w:vAlign w:val="bottom"/>
            <w:tcBorders>
              <w:right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(g)</w:t>
            </w:r>
          </w:p>
        </w:tc>
        <w:tc>
          <w:tcPr>
            <w:tcW w:w="0" w:type="dxa"/>
            <w:vAlign w:val="bottom"/>
          </w:tcPr>
          <w:p>
            <w:pPr>
              <w:spacing w:after="0"/>
              <w:rPr>
                <w:sz w:val="1"/>
                <w:szCs w:val="1"/>
                <w:color w:val="auto"/>
              </w:rPr>
            </w:pPr>
          </w:p>
        </w:tc>
      </w:tr>
      <w:tr>
        <w:trPr>
          <w:trHeight w:val="100"/>
        </w:trPr>
        <w:tc>
          <w:tcPr>
            <w:tcW w:w="58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80" w:type="dxa"/>
            <w:vAlign w:val="bottom"/>
            <w:tcBorders>
              <w:left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5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$2,129,549</w:t>
            </w:r>
          </w:p>
        </w:tc>
        <w:tc>
          <w:tcPr>
            <w:tcW w:w="15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($437,290)</w:t>
            </w:r>
          </w:p>
        </w:tc>
        <w:tc>
          <w:tcPr>
            <w:tcW w:w="16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$1,132,322</w:t>
            </w:r>
          </w:p>
        </w:tc>
        <w:tc>
          <w:tcPr>
            <w:tcW w:w="15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($205,217)</w:t>
            </w:r>
          </w:p>
        </w:tc>
        <w:tc>
          <w:tcPr>
            <w:tcW w:w="14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$19.29</w:t>
            </w:r>
          </w:p>
        </w:tc>
        <w:tc>
          <w:tcPr>
            <w:tcW w:w="154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($35,355)</w:t>
            </w:r>
          </w:p>
        </w:tc>
        <w:tc>
          <w:tcPr>
            <w:tcW w:w="0" w:type="dxa"/>
            <w:vAlign w:val="bottom"/>
          </w:tcPr>
          <w:p>
            <w:pPr>
              <w:spacing w:after="0"/>
              <w:rPr>
                <w:sz w:val="1"/>
                <w:szCs w:val="1"/>
                <w:color w:val="auto"/>
              </w:rPr>
            </w:pPr>
          </w:p>
        </w:tc>
      </w:tr>
      <w:tr>
        <w:trPr>
          <w:trHeight w:val="60"/>
        </w:trPr>
        <w:tc>
          <w:tcPr>
            <w:tcW w:w="58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80" w:type="dxa"/>
            <w:vAlign w:val="bottom"/>
            <w:tcBorders>
              <w:left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5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$2,233,823</w:t>
            </w:r>
          </w:p>
        </w:tc>
        <w:tc>
          <w:tcPr>
            <w:tcW w:w="15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($2,414,309)</w:t>
            </w:r>
          </w:p>
        </w:tc>
        <w:tc>
          <w:tcPr>
            <w:tcW w:w="16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$1,065,754</w:t>
            </w:r>
          </w:p>
        </w:tc>
        <w:tc>
          <w:tcPr>
            <w:tcW w:w="15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($699,064)</w:t>
            </w:r>
          </w:p>
        </w:tc>
        <w:tc>
          <w:tcPr>
            <w:tcW w:w="142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$50.40</w:t>
            </w:r>
          </w:p>
        </w:tc>
        <w:tc>
          <w:tcPr>
            <w:tcW w:w="154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($50,636)</w:t>
            </w:r>
          </w:p>
        </w:tc>
        <w:tc>
          <w:tcPr>
            <w:tcW w:w="0" w:type="dxa"/>
            <w:vAlign w:val="bottom"/>
          </w:tcPr>
          <w:p>
            <w:pPr>
              <w:spacing w:after="0"/>
              <w:rPr>
                <w:sz w:val="1"/>
                <w:szCs w:val="1"/>
                <w:color w:val="auto"/>
              </w:rPr>
            </w:pPr>
          </w:p>
        </w:tc>
      </w:tr>
      <w:tr>
        <w:trPr>
          <w:trHeight w:val="60"/>
        </w:trPr>
        <w:tc>
          <w:tcPr>
            <w:tcW w:w="580" w:type="dxa"/>
            <w:vAlign w:val="bottom"/>
            <w:tcBorders>
              <w:left w:val="single" w:sz="8" w:color="auto"/>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20" w:right="300" w:hanging="4"/>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Ben-Maimon (our Chief Executive Officer) for each corresponding year in the “Total” column of the Summary Compensation Table. Refer to “Executive Compensation-Summary Compensation Table.”</w:t>
      </w:r>
    </w:p>
    <w:p>
      <w:pPr>
        <w:spacing w:after="0" w:line="67"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In accordance with the requirements of Item 402(v) of Regulation S-K, the following adjustments were made to Dr. Ben-Maimon’s total compensation for each year to determine the compensation actually paid:</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00"/>
        </w:trPr>
        <w:tc>
          <w:tcPr>
            <w:tcW w:w="580" w:type="dxa"/>
            <w:vAlign w:val="bottom"/>
            <w:tcBorders>
              <w:top w:val="single" w:sz="8" w:color="auto"/>
              <w:left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3600" w:type="dxa"/>
            <w:vAlign w:val="bottom"/>
            <w:tcBorders>
              <w:top w:val="single" w:sz="8" w:color="auto"/>
              <w:right w:val="single" w:sz="8" w:color="auto"/>
            </w:tcBorders>
            <w:shd w:val="clear" w:color="auto" w:fill="4DC1E4"/>
          </w:tcPr>
          <w:p>
            <w:pPr>
              <w:jc w:val="right"/>
              <w:ind w:right="579"/>
              <w:spacing w:after="0"/>
              <w:rPr>
                <w:sz w:val="20"/>
                <w:szCs w:val="20"/>
                <w:color w:val="auto"/>
              </w:rPr>
            </w:pPr>
            <w:r>
              <w:rPr>
                <w:rFonts w:ascii="Times New Roman" w:cs="Times New Roman" w:eastAsia="Times New Roman" w:hAnsi="Times New Roman"/>
                <w:sz w:val="16"/>
                <w:szCs w:val="16"/>
                <w:b w:val="1"/>
                <w:bCs w:val="1"/>
                <w:color w:val="FFFFFF"/>
              </w:rPr>
              <w:t>Reported Summary Compensation</w:t>
            </w:r>
          </w:p>
        </w:tc>
        <w:tc>
          <w:tcPr>
            <w:tcW w:w="2460" w:type="dxa"/>
            <w:vAlign w:val="bottom"/>
            <w:tcBorders>
              <w:top w:val="single" w:sz="8" w:color="auto"/>
              <w:right w:val="single" w:sz="8" w:color="auto"/>
            </w:tcBorders>
            <w:shd w:val="clear" w:color="auto" w:fill="4DC1E4"/>
          </w:tcPr>
          <w:p>
            <w:pPr>
              <w:jc w:val="center"/>
              <w:ind w:right="59"/>
              <w:spacing w:after="0"/>
              <w:rPr>
                <w:sz w:val="20"/>
                <w:szCs w:val="20"/>
                <w:color w:val="auto"/>
              </w:rPr>
            </w:pPr>
            <w:r>
              <w:rPr>
                <w:rFonts w:ascii="Times New Roman" w:cs="Times New Roman" w:eastAsia="Times New Roman" w:hAnsi="Times New Roman"/>
                <w:sz w:val="16"/>
                <w:szCs w:val="16"/>
                <w:b w:val="1"/>
                <w:bCs w:val="1"/>
                <w:color w:val="FFFFFF"/>
              </w:rPr>
              <w:t>Less:</w:t>
            </w:r>
          </w:p>
        </w:tc>
        <w:tc>
          <w:tcPr>
            <w:tcW w:w="2180" w:type="dxa"/>
            <w:vAlign w:val="bottom"/>
            <w:tcBorders>
              <w:top w:val="single" w:sz="8" w:color="auto"/>
              <w:right w:val="single" w:sz="8" w:color="auto"/>
            </w:tcBorders>
            <w:shd w:val="clear" w:color="auto" w:fill="4DC1E4"/>
          </w:tcPr>
          <w:p>
            <w:pPr>
              <w:jc w:val="center"/>
              <w:ind w:right="82"/>
              <w:spacing w:after="0"/>
              <w:rPr>
                <w:sz w:val="20"/>
                <w:szCs w:val="20"/>
                <w:color w:val="auto"/>
              </w:rPr>
            </w:pPr>
            <w:r>
              <w:rPr>
                <w:rFonts w:ascii="Times New Roman" w:cs="Times New Roman" w:eastAsia="Times New Roman" w:hAnsi="Times New Roman"/>
                <w:sz w:val="16"/>
                <w:szCs w:val="16"/>
                <w:b w:val="1"/>
                <w:bCs w:val="1"/>
                <w:color w:val="FFFFFF"/>
                <w:w w:val="97"/>
              </w:rPr>
              <w:t>Plus:</w:t>
            </w:r>
          </w:p>
        </w:tc>
        <w:tc>
          <w:tcPr>
            <w:tcW w:w="2100" w:type="dxa"/>
            <w:vAlign w:val="bottom"/>
            <w:tcBorders>
              <w:top w:val="single" w:sz="8" w:color="auto"/>
              <w:right w:val="single" w:sz="8" w:color="auto"/>
            </w:tcBorders>
            <w:shd w:val="clear" w:color="auto" w:fill="4DC1E4"/>
          </w:tcPr>
          <w:p>
            <w:pPr>
              <w:jc w:val="center"/>
              <w:ind w:left="399"/>
              <w:spacing w:after="0"/>
              <w:rPr>
                <w:sz w:val="20"/>
                <w:szCs w:val="20"/>
                <w:color w:val="auto"/>
              </w:rPr>
            </w:pPr>
            <w:r>
              <w:rPr>
                <w:rFonts w:ascii="Times New Roman" w:cs="Times New Roman" w:eastAsia="Times New Roman" w:hAnsi="Times New Roman"/>
                <w:sz w:val="16"/>
                <w:szCs w:val="16"/>
                <w:b w:val="1"/>
                <w:bCs w:val="1"/>
                <w:color w:val="FFFFFF"/>
                <w:w w:val="97"/>
              </w:rPr>
              <w:t>Equals</w:t>
            </w:r>
          </w:p>
        </w:tc>
      </w:tr>
      <w:tr>
        <w:trPr>
          <w:trHeight w:val="202"/>
        </w:trPr>
        <w:tc>
          <w:tcPr>
            <w:tcW w:w="580" w:type="dxa"/>
            <w:vAlign w:val="bottom"/>
            <w:tcBorders>
              <w:left w:val="single" w:sz="8" w:color="auto"/>
              <w:right w:val="single" w:sz="8" w:color="auto"/>
            </w:tcBorders>
            <w:shd w:val="clear" w:color="auto" w:fill="4DC1E4"/>
          </w:tcPr>
          <w:p>
            <w:pPr>
              <w:spacing w:after="0"/>
              <w:rPr>
                <w:sz w:val="17"/>
                <w:szCs w:val="17"/>
                <w:color w:val="auto"/>
              </w:rPr>
            </w:pPr>
          </w:p>
        </w:tc>
        <w:tc>
          <w:tcPr>
            <w:tcW w:w="3600" w:type="dxa"/>
            <w:vAlign w:val="bottom"/>
            <w:tcBorders>
              <w:right w:val="single" w:sz="8" w:color="auto"/>
            </w:tcBorders>
            <w:shd w:val="clear" w:color="auto" w:fill="4DC1E4"/>
          </w:tcPr>
          <w:p>
            <w:pPr>
              <w:jc w:val="right"/>
              <w:ind w:right="1099"/>
              <w:spacing w:after="0"/>
              <w:rPr>
                <w:sz w:val="20"/>
                <w:szCs w:val="20"/>
                <w:color w:val="auto"/>
              </w:rPr>
            </w:pPr>
            <w:r>
              <w:rPr>
                <w:rFonts w:ascii="Times New Roman" w:cs="Times New Roman" w:eastAsia="Times New Roman" w:hAnsi="Times New Roman"/>
                <w:sz w:val="16"/>
                <w:szCs w:val="16"/>
                <w:b w:val="1"/>
                <w:bCs w:val="1"/>
                <w:color w:val="FFFFFF"/>
              </w:rPr>
              <w:t>Table Total for PEO</w:t>
            </w:r>
          </w:p>
        </w:tc>
        <w:tc>
          <w:tcPr>
            <w:tcW w:w="2460" w:type="dxa"/>
            <w:vAlign w:val="bottom"/>
            <w:tcBorders>
              <w:right w:val="single" w:sz="8" w:color="auto"/>
            </w:tcBorders>
            <w:shd w:val="clear" w:color="auto" w:fill="4DC1E4"/>
          </w:tcPr>
          <w:p>
            <w:pPr>
              <w:jc w:val="center"/>
              <w:ind w:right="79"/>
              <w:spacing w:after="0"/>
              <w:rPr>
                <w:sz w:val="20"/>
                <w:szCs w:val="20"/>
                <w:color w:val="auto"/>
              </w:rPr>
            </w:pPr>
            <w:r>
              <w:rPr>
                <w:rFonts w:ascii="Times New Roman" w:cs="Times New Roman" w:eastAsia="Times New Roman" w:hAnsi="Times New Roman"/>
                <w:sz w:val="16"/>
                <w:szCs w:val="16"/>
                <w:b w:val="1"/>
                <w:bCs w:val="1"/>
                <w:color w:val="FFFFFF"/>
              </w:rPr>
              <w:t>Reported Value of</w:t>
            </w:r>
          </w:p>
        </w:tc>
        <w:tc>
          <w:tcPr>
            <w:tcW w:w="2180" w:type="dxa"/>
            <w:vAlign w:val="bottom"/>
            <w:tcBorders>
              <w:right w:val="single" w:sz="8" w:color="auto"/>
            </w:tcBorders>
            <w:shd w:val="clear" w:color="auto" w:fill="4DC1E4"/>
          </w:tcPr>
          <w:p>
            <w:pPr>
              <w:jc w:val="center"/>
              <w:ind w:right="82"/>
              <w:spacing w:after="0"/>
              <w:rPr>
                <w:sz w:val="20"/>
                <w:szCs w:val="20"/>
                <w:color w:val="auto"/>
              </w:rPr>
            </w:pPr>
            <w:r>
              <w:rPr>
                <w:rFonts w:ascii="Times New Roman" w:cs="Times New Roman" w:eastAsia="Times New Roman" w:hAnsi="Times New Roman"/>
                <w:sz w:val="16"/>
                <w:szCs w:val="16"/>
                <w:b w:val="1"/>
                <w:bCs w:val="1"/>
                <w:color w:val="FFFFFF"/>
              </w:rPr>
              <w:t>Equity Award</w:t>
            </w:r>
          </w:p>
        </w:tc>
        <w:tc>
          <w:tcPr>
            <w:tcW w:w="2100" w:type="dxa"/>
            <w:vAlign w:val="bottom"/>
            <w:tcBorders>
              <w:right w:val="single" w:sz="8" w:color="auto"/>
            </w:tcBorders>
            <w:shd w:val="clear" w:color="auto" w:fill="4DC1E4"/>
          </w:tcPr>
          <w:p>
            <w:pPr>
              <w:jc w:val="center"/>
              <w:ind w:left="399"/>
              <w:spacing w:after="0"/>
              <w:rPr>
                <w:sz w:val="20"/>
                <w:szCs w:val="20"/>
                <w:color w:val="auto"/>
              </w:rPr>
            </w:pPr>
            <w:r>
              <w:rPr>
                <w:rFonts w:ascii="Times New Roman" w:cs="Times New Roman" w:eastAsia="Times New Roman" w:hAnsi="Times New Roman"/>
                <w:sz w:val="16"/>
                <w:szCs w:val="16"/>
                <w:b w:val="1"/>
                <w:bCs w:val="1"/>
                <w:color w:val="FFFFFF"/>
                <w:w w:val="99"/>
              </w:rPr>
              <w:t>Compensation</w:t>
            </w:r>
          </w:p>
        </w:tc>
      </w:tr>
      <w:tr>
        <w:trPr>
          <w:trHeight w:val="203"/>
        </w:trPr>
        <w:tc>
          <w:tcPr>
            <w:tcW w:w="580" w:type="dxa"/>
            <w:vAlign w:val="bottom"/>
            <w:tcBorders>
              <w:left w:val="single" w:sz="8" w:color="auto"/>
              <w:right w:val="single" w:sz="8" w:color="auto"/>
            </w:tcBorders>
            <w:shd w:val="clear" w:color="auto" w:fill="4DC1E4"/>
          </w:tcPr>
          <w:p>
            <w:pPr>
              <w:spacing w:after="0"/>
              <w:rPr>
                <w:sz w:val="17"/>
                <w:szCs w:val="17"/>
                <w:color w:val="auto"/>
              </w:rPr>
            </w:pPr>
          </w:p>
        </w:tc>
        <w:tc>
          <w:tcPr>
            <w:tcW w:w="3600" w:type="dxa"/>
            <w:vAlign w:val="bottom"/>
            <w:tcBorders>
              <w:right w:val="single" w:sz="8" w:color="auto"/>
            </w:tcBorders>
            <w:shd w:val="clear" w:color="auto" w:fill="4DC1E4"/>
          </w:tcPr>
          <w:p>
            <w:pPr>
              <w:jc w:val="right"/>
              <w:ind w:right="1699"/>
              <w:spacing w:after="0"/>
              <w:rPr>
                <w:sz w:val="20"/>
                <w:szCs w:val="20"/>
                <w:color w:val="auto"/>
              </w:rPr>
            </w:pPr>
            <w:r>
              <w:rPr>
                <w:rFonts w:ascii="Times New Roman" w:cs="Times New Roman" w:eastAsia="Times New Roman" w:hAnsi="Times New Roman"/>
                <w:sz w:val="16"/>
                <w:szCs w:val="16"/>
                <w:b w:val="1"/>
                <w:bCs w:val="1"/>
                <w:color w:val="FFFFFF"/>
              </w:rPr>
              <w:t>($)</w:t>
            </w:r>
          </w:p>
        </w:tc>
        <w:tc>
          <w:tcPr>
            <w:tcW w:w="2460" w:type="dxa"/>
            <w:vAlign w:val="bottom"/>
            <w:tcBorders>
              <w:right w:val="single" w:sz="8" w:color="auto"/>
            </w:tcBorders>
            <w:shd w:val="clear" w:color="auto" w:fill="4DC1E4"/>
          </w:tcPr>
          <w:p>
            <w:pPr>
              <w:jc w:val="center"/>
              <w:ind w:right="79"/>
              <w:spacing w:after="0" w:line="202" w:lineRule="exact"/>
              <w:rPr>
                <w:sz w:val="20"/>
                <w:szCs w:val="20"/>
                <w:color w:val="auto"/>
              </w:rPr>
            </w:pPr>
            <w:r>
              <w:rPr>
                <w:rFonts w:ascii="Times New Roman" w:cs="Times New Roman" w:eastAsia="Times New Roman" w:hAnsi="Times New Roman"/>
                <w:sz w:val="16"/>
                <w:szCs w:val="16"/>
                <w:b w:val="1"/>
                <w:bCs w:val="1"/>
                <w:color w:val="FFFFFF"/>
                <w:w w:val="97"/>
              </w:rPr>
              <w:t xml:space="preserve">Equity Awards </w:t>
            </w:r>
            <w:r>
              <w:rPr>
                <w:rFonts w:ascii="Times New Roman" w:cs="Times New Roman" w:eastAsia="Times New Roman" w:hAnsi="Times New Roman"/>
                <w:sz w:val="23"/>
                <w:szCs w:val="23"/>
                <w:b w:val="1"/>
                <w:bCs w:val="1"/>
                <w:color w:val="FFFFFF"/>
                <w:w w:val="97"/>
                <w:vertAlign w:val="superscript"/>
              </w:rPr>
              <w:t>(a)</w:t>
            </w:r>
          </w:p>
        </w:tc>
        <w:tc>
          <w:tcPr>
            <w:tcW w:w="2180" w:type="dxa"/>
            <w:vAlign w:val="bottom"/>
            <w:tcBorders>
              <w:right w:val="single" w:sz="8" w:color="auto"/>
            </w:tcBorders>
            <w:shd w:val="clear" w:color="auto" w:fill="4DC1E4"/>
          </w:tcPr>
          <w:p>
            <w:pPr>
              <w:jc w:val="center"/>
              <w:ind w:right="122"/>
              <w:spacing w:after="0"/>
              <w:rPr>
                <w:sz w:val="20"/>
                <w:szCs w:val="20"/>
                <w:color w:val="auto"/>
              </w:rPr>
            </w:pPr>
            <w:r>
              <w:rPr>
                <w:rFonts w:ascii="Times New Roman" w:cs="Times New Roman" w:eastAsia="Times New Roman" w:hAnsi="Times New Roman"/>
                <w:sz w:val="16"/>
                <w:szCs w:val="16"/>
                <w:b w:val="1"/>
                <w:bCs w:val="1"/>
                <w:color w:val="FFFFFF"/>
              </w:rPr>
              <w:t>Adjustments</w:t>
            </w:r>
          </w:p>
        </w:tc>
        <w:tc>
          <w:tcPr>
            <w:tcW w:w="2100" w:type="dxa"/>
            <w:vAlign w:val="bottom"/>
            <w:tcBorders>
              <w:right w:val="single" w:sz="8" w:color="auto"/>
            </w:tcBorders>
            <w:shd w:val="clear" w:color="auto" w:fill="4DC1E4"/>
          </w:tcPr>
          <w:p>
            <w:pPr>
              <w:jc w:val="center"/>
              <w:ind w:left="399"/>
              <w:spacing w:after="0"/>
              <w:rPr>
                <w:sz w:val="20"/>
                <w:szCs w:val="20"/>
                <w:color w:val="auto"/>
              </w:rPr>
            </w:pPr>
            <w:r>
              <w:rPr>
                <w:rFonts w:ascii="Times New Roman" w:cs="Times New Roman" w:eastAsia="Times New Roman" w:hAnsi="Times New Roman"/>
                <w:sz w:val="16"/>
                <w:szCs w:val="16"/>
                <w:b w:val="1"/>
                <w:bCs w:val="1"/>
                <w:color w:val="FFFFFF"/>
              </w:rPr>
              <w:t>Actually Paid to PEO</w:t>
            </w:r>
          </w:p>
        </w:tc>
      </w:tr>
      <w:tr>
        <w:trPr>
          <w:trHeight w:val="165"/>
        </w:trPr>
        <w:tc>
          <w:tcPr>
            <w:tcW w:w="580" w:type="dxa"/>
            <w:vAlign w:val="bottom"/>
            <w:tcBorders>
              <w:left w:val="single" w:sz="8" w:color="auto"/>
              <w:right w:val="single" w:sz="8" w:color="auto"/>
            </w:tcBorders>
            <w:shd w:val="clear" w:color="auto" w:fill="4DC1E4"/>
          </w:tcPr>
          <w:p>
            <w:pPr>
              <w:spacing w:after="0"/>
              <w:rPr>
                <w:sz w:val="14"/>
                <w:szCs w:val="14"/>
                <w:color w:val="auto"/>
              </w:rPr>
            </w:pPr>
          </w:p>
        </w:tc>
        <w:tc>
          <w:tcPr>
            <w:tcW w:w="3600" w:type="dxa"/>
            <w:vAlign w:val="bottom"/>
            <w:tcBorders>
              <w:right w:val="single" w:sz="8" w:color="auto"/>
            </w:tcBorders>
            <w:shd w:val="clear" w:color="auto" w:fill="4DC1E4"/>
          </w:tcPr>
          <w:p>
            <w:pPr>
              <w:spacing w:after="0"/>
              <w:rPr>
                <w:sz w:val="14"/>
                <w:szCs w:val="14"/>
                <w:color w:val="auto"/>
              </w:rPr>
            </w:pPr>
          </w:p>
        </w:tc>
        <w:tc>
          <w:tcPr>
            <w:tcW w:w="2460" w:type="dxa"/>
            <w:vAlign w:val="bottom"/>
            <w:tcBorders>
              <w:right w:val="single" w:sz="8" w:color="auto"/>
            </w:tcBorders>
            <w:shd w:val="clear" w:color="auto" w:fill="4DC1E4"/>
          </w:tcPr>
          <w:p>
            <w:pPr>
              <w:jc w:val="center"/>
              <w:ind w:right="79"/>
              <w:spacing w:after="0" w:line="165" w:lineRule="exact"/>
              <w:rPr>
                <w:sz w:val="20"/>
                <w:szCs w:val="20"/>
                <w:color w:val="auto"/>
              </w:rPr>
            </w:pPr>
            <w:r>
              <w:rPr>
                <w:rFonts w:ascii="Times New Roman" w:cs="Times New Roman" w:eastAsia="Times New Roman" w:hAnsi="Times New Roman"/>
                <w:sz w:val="16"/>
                <w:szCs w:val="16"/>
                <w:b w:val="1"/>
                <w:bCs w:val="1"/>
                <w:color w:val="FFFFFF"/>
                <w:w w:val="96"/>
              </w:rPr>
              <w:t>($)</w:t>
            </w:r>
          </w:p>
        </w:tc>
        <w:tc>
          <w:tcPr>
            <w:tcW w:w="2180" w:type="dxa"/>
            <w:vAlign w:val="bottom"/>
            <w:tcBorders>
              <w:right w:val="single" w:sz="8" w:color="auto"/>
            </w:tcBorders>
            <w:shd w:val="clear" w:color="auto" w:fill="4DC1E4"/>
          </w:tcPr>
          <w:p>
            <w:pPr>
              <w:jc w:val="center"/>
              <w:ind w:right="82"/>
              <w:spacing w:after="0"/>
              <w:rPr>
                <w:sz w:val="20"/>
                <w:szCs w:val="20"/>
                <w:color w:val="auto"/>
              </w:rPr>
            </w:pPr>
            <w:r>
              <w:rPr>
                <w:rFonts w:ascii="Times New Roman" w:cs="Times New Roman" w:eastAsia="Times New Roman" w:hAnsi="Times New Roman"/>
                <w:sz w:val="12"/>
                <w:szCs w:val="12"/>
                <w:b w:val="1"/>
                <w:bCs w:val="1"/>
                <w:color w:val="FFFFFF"/>
                <w:w w:val="95"/>
              </w:rPr>
              <w:t>(b)</w:t>
            </w:r>
          </w:p>
        </w:tc>
        <w:tc>
          <w:tcPr>
            <w:tcW w:w="2100" w:type="dxa"/>
            <w:vAlign w:val="bottom"/>
            <w:tcBorders>
              <w:right w:val="single" w:sz="8" w:color="auto"/>
            </w:tcBorders>
            <w:shd w:val="clear" w:color="auto" w:fill="4DC1E4"/>
          </w:tcPr>
          <w:p>
            <w:pPr>
              <w:jc w:val="center"/>
              <w:ind w:left="399"/>
              <w:spacing w:after="0" w:line="165" w:lineRule="exact"/>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275"/>
        </w:trPr>
        <w:tc>
          <w:tcPr>
            <w:tcW w:w="580" w:type="dxa"/>
            <w:vAlign w:val="bottom"/>
            <w:tcBorders>
              <w:left w:val="single" w:sz="8" w:color="auto"/>
              <w:bottom w:val="single" w:sz="8" w:color="4DC1E4"/>
              <w:right w:val="single" w:sz="8" w:color="auto"/>
            </w:tcBorders>
            <w:shd w:val="clear" w:color="auto" w:fill="4DC1E4"/>
          </w:tcPr>
          <w:p>
            <w:pPr>
              <w:spacing w:after="0"/>
              <w:rPr>
                <w:sz w:val="23"/>
                <w:szCs w:val="23"/>
                <w:color w:val="auto"/>
              </w:rPr>
            </w:pPr>
          </w:p>
        </w:tc>
        <w:tc>
          <w:tcPr>
            <w:tcW w:w="3600" w:type="dxa"/>
            <w:vAlign w:val="bottom"/>
            <w:tcBorders>
              <w:bottom w:val="single" w:sz="8" w:color="4DC1E4"/>
              <w:right w:val="single" w:sz="8" w:color="auto"/>
            </w:tcBorders>
            <w:shd w:val="clear" w:color="auto" w:fill="4DC1E4"/>
          </w:tcPr>
          <w:p>
            <w:pPr>
              <w:spacing w:after="0"/>
              <w:rPr>
                <w:sz w:val="23"/>
                <w:szCs w:val="23"/>
                <w:color w:val="auto"/>
              </w:rPr>
            </w:pPr>
          </w:p>
        </w:tc>
        <w:tc>
          <w:tcPr>
            <w:tcW w:w="2460" w:type="dxa"/>
            <w:vAlign w:val="bottom"/>
            <w:tcBorders>
              <w:bottom w:val="single" w:sz="8" w:color="4DC1E4"/>
              <w:right w:val="single" w:sz="8" w:color="auto"/>
            </w:tcBorders>
            <w:shd w:val="clear" w:color="auto" w:fill="4DC1E4"/>
          </w:tcPr>
          <w:p>
            <w:pPr>
              <w:spacing w:after="0"/>
              <w:rPr>
                <w:sz w:val="23"/>
                <w:szCs w:val="23"/>
                <w:color w:val="auto"/>
              </w:rPr>
            </w:pPr>
          </w:p>
        </w:tc>
        <w:tc>
          <w:tcPr>
            <w:tcW w:w="2180" w:type="dxa"/>
            <w:vAlign w:val="bottom"/>
            <w:tcBorders>
              <w:bottom w:val="single" w:sz="8" w:color="4DC1E4"/>
              <w:right w:val="single" w:sz="8" w:color="auto"/>
            </w:tcBorders>
            <w:shd w:val="clear" w:color="auto" w:fill="4DC1E4"/>
          </w:tcPr>
          <w:p>
            <w:pPr>
              <w:jc w:val="center"/>
              <w:ind w:right="82"/>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2100" w:type="dxa"/>
            <w:vAlign w:val="bottom"/>
            <w:tcBorders>
              <w:bottom w:val="single" w:sz="8" w:color="4DC1E4"/>
              <w:right w:val="single" w:sz="8" w:color="auto"/>
            </w:tcBorders>
            <w:shd w:val="clear" w:color="auto" w:fill="4DC1E4"/>
          </w:tcPr>
          <w:p>
            <w:pPr>
              <w:spacing w:after="0"/>
              <w:rPr>
                <w:sz w:val="23"/>
                <w:szCs w:val="23"/>
                <w:color w:val="auto"/>
              </w:rPr>
            </w:pPr>
          </w:p>
        </w:tc>
      </w:tr>
      <w:tr>
        <w:trPr>
          <w:trHeight w:val="204"/>
        </w:trPr>
        <w:tc>
          <w:tcPr>
            <w:tcW w:w="5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2022</w:t>
            </w:r>
          </w:p>
        </w:tc>
        <w:tc>
          <w:tcPr>
            <w:tcW w:w="3600" w:type="dxa"/>
            <w:vAlign w:val="bottom"/>
            <w:tcBorders>
              <w:top w:val="single" w:sz="8" w:color="auto"/>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$2,129,549</w:t>
            </w:r>
          </w:p>
        </w:tc>
        <w:tc>
          <w:tcPr>
            <w:tcW w:w="2460" w:type="dxa"/>
            <w:vAlign w:val="bottom"/>
            <w:tcBorders>
              <w:top w:val="single" w:sz="8" w:color="auto"/>
              <w:right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($1,283,915)</w:t>
            </w:r>
          </w:p>
        </w:tc>
        <w:tc>
          <w:tcPr>
            <w:tcW w:w="2180" w:type="dxa"/>
            <w:vAlign w:val="bottom"/>
            <w:tcBorders>
              <w:top w:val="single" w:sz="8" w:color="auto"/>
              <w:right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($1,282,924)</w:t>
            </w:r>
          </w:p>
        </w:tc>
        <w:tc>
          <w:tcPr>
            <w:tcW w:w="2100" w:type="dxa"/>
            <w:vAlign w:val="bottom"/>
            <w:tcBorders>
              <w:top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($437,290)</w:t>
            </w:r>
          </w:p>
        </w:tc>
      </w:tr>
      <w:tr>
        <w:trPr>
          <w:trHeight w:val="60"/>
        </w:trPr>
        <w:tc>
          <w:tcPr>
            <w:tcW w:w="580" w:type="dxa"/>
            <w:vAlign w:val="bottom"/>
            <w:tcBorders>
              <w:left w:val="single" w:sz="8" w:color="auto"/>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r>
      <w:tr>
        <w:trPr>
          <w:trHeight w:val="204"/>
        </w:trPr>
        <w:tc>
          <w:tcPr>
            <w:tcW w:w="5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2021</w:t>
            </w:r>
          </w:p>
        </w:tc>
        <w:tc>
          <w:tcPr>
            <w:tcW w:w="3600" w:type="dxa"/>
            <w:vAlign w:val="bottom"/>
            <w:tcBorders>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$2,233,823</w:t>
            </w:r>
          </w:p>
        </w:tc>
        <w:tc>
          <w:tcPr>
            <w:tcW w:w="2460" w:type="dxa"/>
            <w:vAlign w:val="bottom"/>
            <w:tcBorders>
              <w:right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($1,570,389)</w:t>
            </w:r>
          </w:p>
        </w:tc>
        <w:tc>
          <w:tcPr>
            <w:tcW w:w="2180" w:type="dxa"/>
            <w:vAlign w:val="bottom"/>
            <w:tcBorders>
              <w:right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($3,077,743)</w:t>
            </w:r>
          </w:p>
        </w:tc>
        <w:tc>
          <w:tcPr>
            <w:tcW w:w="210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($2,414,309)</w:t>
            </w:r>
          </w:p>
        </w:tc>
      </w:tr>
      <w:tr>
        <w:trPr>
          <w:trHeight w:val="60"/>
        </w:trPr>
        <w:tc>
          <w:tcPr>
            <w:tcW w:w="580" w:type="dxa"/>
            <w:vAlign w:val="bottom"/>
            <w:tcBorders>
              <w:left w:val="single" w:sz="8" w:color="auto"/>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r>
    </w:tbl>
    <w:p>
      <w:pPr>
        <w:spacing w:after="0" w:line="157" w:lineRule="exact"/>
        <w:rPr>
          <w:sz w:val="20"/>
          <w:szCs w:val="20"/>
          <w:color w:val="auto"/>
        </w:rPr>
      </w:pPr>
    </w:p>
    <w:p>
      <w:pPr>
        <w:ind w:left="120" w:right="20" w:hanging="4"/>
        <w:spacing w:after="0" w:line="282" w:lineRule="auto"/>
        <w:tabs>
          <w:tab w:leader="none" w:pos="3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spacing w:after="0" w:line="5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25</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tbl>
      <w:tblPr>
        <w:tblLayout w:type="fixed"/>
        <w:tblInd w:w="130" w:type="dxa"/>
        <w:tblCellMar>
          <w:top w:w="0" w:type="dxa"/>
          <w:left w:w="0" w:type="dxa"/>
          <w:bottom w:w="0" w:type="dxa"/>
          <w:right w:w="0" w:type="dxa"/>
        </w:tblCellMar>
      </w:tblPr>
      <w:tr>
        <w:trPr>
          <w:trHeight w:val="214"/>
        </w:trPr>
        <w:tc>
          <w:tcPr>
            <w:tcW w:w="218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220" w:type="dxa"/>
            <w:vAlign w:val="bottom"/>
            <w:tcBorders>
              <w:top w:val="single" w:sz="8" w:color="auto"/>
              <w:right w:val="single" w:sz="8" w:color="auto"/>
            </w:tcBorders>
            <w:shd w:val="clear" w:color="auto" w:fill="4DC1E4"/>
          </w:tcPr>
          <w:p>
            <w:pPr>
              <w:spacing w:after="0"/>
              <w:rPr>
                <w:sz w:val="18"/>
                <w:szCs w:val="18"/>
                <w:color w:val="auto"/>
              </w:rPr>
            </w:pPr>
          </w:p>
        </w:tc>
        <w:tc>
          <w:tcPr>
            <w:tcW w:w="1240" w:type="dxa"/>
            <w:vAlign w:val="bottom"/>
            <w:tcBorders>
              <w:top w:val="single" w:sz="8" w:color="auto"/>
              <w:right w:val="single" w:sz="8" w:color="auto"/>
            </w:tcBorders>
            <w:shd w:val="clear" w:color="auto" w:fill="4DC1E4"/>
          </w:tcPr>
          <w:p>
            <w:pPr>
              <w:spacing w:after="0"/>
              <w:rPr>
                <w:sz w:val="18"/>
                <w:szCs w:val="18"/>
                <w:color w:val="auto"/>
              </w:rPr>
            </w:pPr>
          </w:p>
        </w:tc>
        <w:tc>
          <w:tcPr>
            <w:tcW w:w="1220" w:type="dxa"/>
            <w:vAlign w:val="bottom"/>
            <w:tcBorders>
              <w:top w:val="single" w:sz="8" w:color="auto"/>
              <w:right w:val="single" w:sz="8" w:color="auto"/>
            </w:tcBorders>
            <w:shd w:val="clear" w:color="auto" w:fill="4DC1E4"/>
          </w:tcPr>
          <w:p>
            <w:pPr>
              <w:spacing w:after="0"/>
              <w:rPr>
                <w:sz w:val="18"/>
                <w:szCs w:val="18"/>
                <w:color w:val="auto"/>
              </w:rPr>
            </w:pPr>
          </w:p>
        </w:tc>
        <w:tc>
          <w:tcPr>
            <w:tcW w:w="1120" w:type="dxa"/>
            <w:vAlign w:val="bottom"/>
            <w:tcBorders>
              <w:top w:val="single" w:sz="8" w:color="auto"/>
              <w:right w:val="single" w:sz="8" w:color="auto"/>
            </w:tcBorders>
            <w:shd w:val="clear" w:color="auto" w:fill="4DC1E4"/>
          </w:tcPr>
          <w:p>
            <w:pPr>
              <w:spacing w:after="0"/>
              <w:rPr>
                <w:sz w:val="18"/>
                <w:szCs w:val="18"/>
                <w:color w:val="auto"/>
              </w:rPr>
            </w:pPr>
          </w:p>
        </w:tc>
        <w:tc>
          <w:tcPr>
            <w:tcW w:w="1260" w:type="dxa"/>
            <w:vAlign w:val="bottom"/>
            <w:tcBorders>
              <w:top w:val="single" w:sz="8" w:color="auto"/>
              <w:right w:val="single" w:sz="8" w:color="auto"/>
            </w:tcBorders>
            <w:shd w:val="clear" w:color="auto" w:fill="4DC1E4"/>
          </w:tcPr>
          <w:p>
            <w:pPr>
              <w:spacing w:after="0"/>
              <w:rPr>
                <w:sz w:val="18"/>
                <w:szCs w:val="18"/>
                <w:color w:val="auto"/>
              </w:rPr>
            </w:pPr>
          </w:p>
        </w:tc>
        <w:tc>
          <w:tcPr>
            <w:tcW w:w="138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Value of</w:t>
            </w:r>
          </w:p>
        </w:tc>
        <w:tc>
          <w:tcPr>
            <w:tcW w:w="1300" w:type="dxa"/>
            <w:vAlign w:val="bottom"/>
            <w:tcBorders>
              <w:top w:val="single" w:sz="8" w:color="auto"/>
              <w:right w:val="single" w:sz="8" w:color="auto"/>
            </w:tcBorders>
            <w:shd w:val="clear" w:color="auto" w:fill="4DC1E4"/>
          </w:tcPr>
          <w:p>
            <w:pPr>
              <w:spacing w:after="0"/>
              <w:rPr>
                <w:sz w:val="18"/>
                <w:szCs w:val="18"/>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Year over</w:t>
            </w:r>
          </w:p>
        </w:tc>
        <w:tc>
          <w:tcPr>
            <w:tcW w:w="1220" w:type="dxa"/>
            <w:vAlign w:val="bottom"/>
            <w:tcBorders>
              <w:right w:val="single" w:sz="8" w:color="auto"/>
            </w:tcBorders>
            <w:shd w:val="clear" w:color="auto" w:fill="4DC1E4"/>
          </w:tcPr>
          <w:p>
            <w:pPr>
              <w:spacing w:after="0"/>
              <w:rPr>
                <w:sz w:val="17"/>
                <w:szCs w:val="17"/>
                <w:color w:val="auto"/>
              </w:rPr>
            </w:pPr>
          </w:p>
        </w:tc>
        <w:tc>
          <w:tcPr>
            <w:tcW w:w="1120" w:type="dxa"/>
            <w:vAlign w:val="bottom"/>
            <w:tcBorders>
              <w:right w:val="single" w:sz="8" w:color="auto"/>
            </w:tcBorders>
            <w:shd w:val="clear" w:color="auto" w:fill="4DC1E4"/>
          </w:tcPr>
          <w:p>
            <w:pPr>
              <w:spacing w:after="0"/>
              <w:rPr>
                <w:sz w:val="17"/>
                <w:szCs w:val="17"/>
                <w:color w:val="auto"/>
              </w:rPr>
            </w:pP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Fair Value at</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Change</w:t>
            </w:r>
          </w:p>
        </w:tc>
        <w:tc>
          <w:tcPr>
            <w:tcW w:w="1220" w:type="dxa"/>
            <w:vAlign w:val="bottom"/>
            <w:tcBorders>
              <w:right w:val="single" w:sz="8" w:color="auto"/>
            </w:tcBorders>
            <w:shd w:val="clear" w:color="auto" w:fill="4DC1E4"/>
          </w:tcPr>
          <w:p>
            <w:pPr>
              <w:spacing w:after="0"/>
              <w:rPr>
                <w:sz w:val="17"/>
                <w:szCs w:val="17"/>
                <w:color w:val="auto"/>
              </w:rPr>
            </w:pPr>
          </w:p>
        </w:tc>
        <w:tc>
          <w:tcPr>
            <w:tcW w:w="1120" w:type="dxa"/>
            <w:vAlign w:val="bottom"/>
            <w:tcBorders>
              <w:right w:val="single" w:sz="8" w:color="auto"/>
            </w:tcBorders>
            <w:shd w:val="clear" w:color="auto" w:fill="4DC1E4"/>
          </w:tcPr>
          <w:p>
            <w:pPr>
              <w:spacing w:after="0"/>
              <w:rPr>
                <w:sz w:val="17"/>
                <w:szCs w:val="17"/>
                <w:color w:val="auto"/>
              </w:rPr>
            </w:pP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End of</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other</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End</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 Fair Value</w:t>
            </w:r>
          </w:p>
        </w:tc>
        <w:tc>
          <w:tcPr>
            <w:tcW w:w="1220" w:type="dxa"/>
            <w:vAlign w:val="bottom"/>
            <w:tcBorders>
              <w:right w:val="single" w:sz="8" w:color="auto"/>
            </w:tcBorders>
            <w:shd w:val="clear" w:color="auto" w:fill="4DC1E4"/>
          </w:tcPr>
          <w:p>
            <w:pPr>
              <w:spacing w:after="0"/>
              <w:rPr>
                <w:sz w:val="17"/>
                <w:szCs w:val="17"/>
                <w:color w:val="auto"/>
              </w:rPr>
            </w:pP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Prior</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Earnings</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Year</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Year of</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Outstanding</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Change in</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Outstanding</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Vesting</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Unvested</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Equity</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Failed to</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not Otherwise</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Unvested</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Meet</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300" w:type="dxa"/>
            <w:vAlign w:val="bottom"/>
            <w:tcBorders>
              <w:right w:val="single" w:sz="8" w:color="auto"/>
            </w:tcBorders>
            <w:shd w:val="clear" w:color="auto" w:fill="4DC1E4"/>
          </w:tcPr>
          <w:p>
            <w:pPr>
              <w:spacing w:after="0"/>
              <w:rPr>
                <w:sz w:val="17"/>
                <w:szCs w:val="17"/>
                <w:color w:val="auto"/>
              </w:rPr>
            </w:pP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Vesting</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Total</w:t>
            </w: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and</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Prior Years</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Conditions</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Value or</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Prior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Vested in</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that Vested</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in the</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w:t>
            </w:r>
          </w:p>
        </w:tc>
      </w:tr>
      <w:tr>
        <w:trPr>
          <w:trHeight w:val="203"/>
        </w:trPr>
        <w:tc>
          <w:tcPr>
            <w:tcW w:w="218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in the Year</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Years</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the Year</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300" w:type="dxa"/>
            <w:vAlign w:val="bottom"/>
            <w:tcBorders>
              <w:right w:val="single" w:sz="8" w:color="auto"/>
            </w:tcBorders>
            <w:shd w:val="clear" w:color="auto" w:fill="4DC1E4"/>
          </w:tcPr>
          <w:p>
            <w:pPr>
              <w:jc w:val="center"/>
              <w:ind w:right="19"/>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12"/>
        </w:trPr>
        <w:tc>
          <w:tcPr>
            <w:tcW w:w="2180" w:type="dxa"/>
            <w:vAlign w:val="bottom"/>
            <w:tcBorders>
              <w:left w:val="single" w:sz="8" w:color="auto"/>
              <w:right w:val="single" w:sz="8" w:color="auto"/>
            </w:tcBorders>
            <w:shd w:val="clear" w:color="auto" w:fill="4DC1E4"/>
          </w:tcPr>
          <w:p>
            <w:pPr>
              <w:ind w:left="1000"/>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1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3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87"/>
        </w:trPr>
        <w:tc>
          <w:tcPr>
            <w:tcW w:w="2180" w:type="dxa"/>
            <w:vAlign w:val="bottom"/>
            <w:tcBorders>
              <w:left w:val="single" w:sz="8" w:color="auto"/>
              <w:bottom w:val="single" w:sz="8" w:color="auto"/>
              <w:right w:val="single" w:sz="8" w:color="auto"/>
            </w:tcBorders>
            <w:shd w:val="clear" w:color="auto" w:fill="4DC1E4"/>
          </w:tcPr>
          <w:p>
            <w:pPr>
              <w:spacing w:after="0"/>
              <w:rPr>
                <w:sz w:val="7"/>
                <w:szCs w:val="7"/>
                <w:color w:val="auto"/>
              </w:rPr>
            </w:pPr>
          </w:p>
        </w:tc>
        <w:tc>
          <w:tcPr>
            <w:tcW w:w="1220" w:type="dxa"/>
            <w:vAlign w:val="bottom"/>
            <w:tcBorders>
              <w:bottom w:val="single" w:sz="8" w:color="auto"/>
              <w:right w:val="single" w:sz="8" w:color="auto"/>
            </w:tcBorders>
            <w:shd w:val="clear" w:color="auto" w:fill="4DC1E4"/>
          </w:tcPr>
          <w:p>
            <w:pPr>
              <w:spacing w:after="0"/>
              <w:rPr>
                <w:sz w:val="7"/>
                <w:szCs w:val="7"/>
                <w:color w:val="auto"/>
              </w:rPr>
            </w:pPr>
          </w:p>
        </w:tc>
        <w:tc>
          <w:tcPr>
            <w:tcW w:w="1240" w:type="dxa"/>
            <w:vAlign w:val="bottom"/>
            <w:tcBorders>
              <w:bottom w:val="single" w:sz="8" w:color="auto"/>
              <w:right w:val="single" w:sz="8" w:color="auto"/>
            </w:tcBorders>
            <w:shd w:val="clear" w:color="auto" w:fill="4DC1E4"/>
          </w:tcPr>
          <w:p>
            <w:pPr>
              <w:spacing w:after="0"/>
              <w:rPr>
                <w:sz w:val="7"/>
                <w:szCs w:val="7"/>
                <w:color w:val="auto"/>
              </w:rPr>
            </w:pPr>
          </w:p>
        </w:tc>
        <w:tc>
          <w:tcPr>
            <w:tcW w:w="1220" w:type="dxa"/>
            <w:vAlign w:val="bottom"/>
            <w:tcBorders>
              <w:bottom w:val="single" w:sz="8" w:color="auto"/>
              <w:right w:val="single" w:sz="8" w:color="auto"/>
            </w:tcBorders>
            <w:shd w:val="clear" w:color="auto" w:fill="4DC1E4"/>
          </w:tcPr>
          <w:p>
            <w:pPr>
              <w:spacing w:after="0"/>
              <w:rPr>
                <w:sz w:val="7"/>
                <w:szCs w:val="7"/>
                <w:color w:val="auto"/>
              </w:rPr>
            </w:pPr>
          </w:p>
        </w:tc>
        <w:tc>
          <w:tcPr>
            <w:tcW w:w="1120" w:type="dxa"/>
            <w:vAlign w:val="bottom"/>
            <w:tcBorders>
              <w:bottom w:val="single" w:sz="8" w:color="auto"/>
              <w:right w:val="single" w:sz="8" w:color="auto"/>
            </w:tcBorders>
            <w:shd w:val="clear" w:color="auto" w:fill="4DC1E4"/>
          </w:tcPr>
          <w:p>
            <w:pPr>
              <w:spacing w:after="0"/>
              <w:rPr>
                <w:sz w:val="7"/>
                <w:szCs w:val="7"/>
                <w:color w:val="auto"/>
              </w:rPr>
            </w:pPr>
          </w:p>
        </w:tc>
        <w:tc>
          <w:tcPr>
            <w:tcW w:w="1260" w:type="dxa"/>
            <w:vAlign w:val="bottom"/>
            <w:tcBorders>
              <w:bottom w:val="single" w:sz="8" w:color="auto"/>
              <w:right w:val="single" w:sz="8" w:color="auto"/>
            </w:tcBorders>
            <w:shd w:val="clear" w:color="auto" w:fill="4DC1E4"/>
          </w:tcPr>
          <w:p>
            <w:pPr>
              <w:spacing w:after="0"/>
              <w:rPr>
                <w:sz w:val="7"/>
                <w:szCs w:val="7"/>
                <w:color w:val="auto"/>
              </w:rPr>
            </w:pPr>
          </w:p>
        </w:tc>
        <w:tc>
          <w:tcPr>
            <w:tcW w:w="1380" w:type="dxa"/>
            <w:vAlign w:val="bottom"/>
            <w:tcBorders>
              <w:bottom w:val="single" w:sz="8" w:color="auto"/>
              <w:right w:val="single" w:sz="8" w:color="auto"/>
            </w:tcBorders>
            <w:shd w:val="clear" w:color="auto" w:fill="4DC1E4"/>
          </w:tcPr>
          <w:p>
            <w:pPr>
              <w:spacing w:after="0"/>
              <w:rPr>
                <w:sz w:val="7"/>
                <w:szCs w:val="7"/>
                <w:color w:val="auto"/>
              </w:rPr>
            </w:pPr>
          </w:p>
        </w:tc>
        <w:tc>
          <w:tcPr>
            <w:tcW w:w="1300" w:type="dxa"/>
            <w:vAlign w:val="bottom"/>
            <w:tcBorders>
              <w:bottom w:val="single" w:sz="8" w:color="auto"/>
              <w:right w:val="single" w:sz="8" w:color="auto"/>
            </w:tcBorders>
            <w:shd w:val="clear" w:color="auto" w:fill="4DC1E4"/>
          </w:tcPr>
          <w:p>
            <w:pPr>
              <w:spacing w:after="0"/>
              <w:rPr>
                <w:sz w:val="7"/>
                <w:szCs w:val="7"/>
                <w:color w:val="auto"/>
              </w:rPr>
            </w:pPr>
          </w:p>
        </w:tc>
      </w:tr>
      <w:tr>
        <w:trPr>
          <w:trHeight w:val="204"/>
        </w:trPr>
        <w:tc>
          <w:tcPr>
            <w:tcW w:w="2180" w:type="dxa"/>
            <w:vAlign w:val="bottom"/>
            <w:tcBorders>
              <w:left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2022</w:t>
            </w:r>
          </w:p>
        </w:tc>
        <w:tc>
          <w:tcPr>
            <w:tcW w:w="12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$643,985</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($1,182,385)</w:t>
            </w:r>
          </w:p>
        </w:tc>
        <w:tc>
          <w:tcPr>
            <w:tcW w:w="122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($744,524)</w:t>
            </w:r>
          </w:p>
        </w:tc>
        <w:tc>
          <w:tcPr>
            <w:tcW w:w="12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($1,282,924)</w:t>
            </w:r>
          </w:p>
        </w:tc>
      </w:tr>
      <w:tr>
        <w:trPr>
          <w:trHeight w:val="60"/>
        </w:trPr>
        <w:tc>
          <w:tcPr>
            <w:tcW w:w="2180" w:type="dxa"/>
            <w:vAlign w:val="bottom"/>
            <w:tcBorders>
              <w:left w:val="single" w:sz="8" w:color="auto"/>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r>
        <w:trPr>
          <w:trHeight w:val="204"/>
        </w:trPr>
        <w:tc>
          <w:tcPr>
            <w:tcW w:w="2180" w:type="dxa"/>
            <w:vAlign w:val="bottom"/>
            <w:tcBorders>
              <w:left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2021</w:t>
            </w:r>
          </w:p>
        </w:tc>
        <w:tc>
          <w:tcPr>
            <w:tcW w:w="122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$690,390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($3,006,050)</w:t>
            </w:r>
          </w:p>
        </w:tc>
        <w:tc>
          <w:tcPr>
            <w:tcW w:w="122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($762,083)</w:t>
            </w:r>
          </w:p>
        </w:tc>
        <w:tc>
          <w:tcPr>
            <w:tcW w:w="12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($3,077,743)</w:t>
            </w:r>
          </w:p>
        </w:tc>
      </w:tr>
      <w:tr>
        <w:trPr>
          <w:trHeight w:val="60"/>
        </w:trPr>
        <w:tc>
          <w:tcPr>
            <w:tcW w:w="2180" w:type="dxa"/>
            <w:vAlign w:val="bottom"/>
            <w:tcBorders>
              <w:left w:val="single" w:sz="8" w:color="auto"/>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0"/>
          <w:szCs w:val="20"/>
          <w:color w:val="auto"/>
        </w:rPr>
      </w:pPr>
    </w:p>
    <w:p>
      <w:pPr>
        <w:jc w:val="both"/>
        <w:ind w:left="120" w:right="20" w:hanging="4"/>
        <w:spacing w:after="0" w:line="266" w:lineRule="auto"/>
        <w:tabs>
          <w:tab w:leader="none" w:pos="3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company’s named executive officers as a group (excluding Dr. Ben-Maimon) in the “Total” column of the Summary Compensation Table in each applicable year. For 2022 and 2021, Mr. Celano is the company’s sole non-PEO Named Executive Officer.</w:t>
      </w:r>
    </w:p>
    <w:p>
      <w:pPr>
        <w:spacing w:after="0" w:line="148" w:lineRule="exact"/>
        <w:rPr>
          <w:rFonts w:ascii="Times New Roman" w:cs="Times New Roman" w:eastAsia="Times New Roman" w:hAnsi="Times New Roman"/>
          <w:sz w:val="18"/>
          <w:szCs w:val="18"/>
          <w:color w:val="auto"/>
        </w:rPr>
      </w:pPr>
    </w:p>
    <w:p>
      <w:pPr>
        <w:ind w:left="120" w:right="100" w:hanging="4"/>
        <w:spacing w:after="0" w:line="257"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amount of “compensation actually paid” to the named executive officers as a group (excluding Dr. Ben-Maimon), as computed in accordance with Item 402(v) of Regulation S-K (exclusively Mr. Celano for 2022 and 2021). The dollar amounts do not reflect the actual average amount of compensation earned by or paid to the named executive officers as a group (excluding</w:t>
      </w:r>
    </w:p>
    <w:p>
      <w:pPr>
        <w:spacing w:after="0" w:line="1" w:lineRule="exact"/>
        <w:rPr>
          <w:rFonts w:ascii="Times New Roman" w:cs="Times New Roman" w:eastAsia="Times New Roman" w:hAnsi="Times New Roman"/>
          <w:sz w:val="18"/>
          <w:szCs w:val="18"/>
          <w:color w:val="auto"/>
        </w:rPr>
      </w:pPr>
    </w:p>
    <w:p>
      <w:pPr>
        <w:ind w:left="120" w:right="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Ben-Maimon) during the applicable year. In accordance with the requirements of Item 402(v) of Regulation S-K, the following adjustments were made to average total compensation for the named executive officers as a group (excluding Dr. Ben-Maimon) for each year to determine the compensation actually paid, using the same methodology described above in Note (2):</w:t>
      </w:r>
    </w:p>
    <w:p>
      <w:pPr>
        <w:spacing w:after="0" w:line="211" w:lineRule="exact"/>
        <w:rPr>
          <w:sz w:val="20"/>
          <w:szCs w:val="20"/>
          <w:color w:val="auto"/>
        </w:rPr>
      </w:pPr>
    </w:p>
    <w:tbl>
      <w:tblPr>
        <w:tblLayout w:type="fixed"/>
        <w:tblInd w:w="130" w:type="dxa"/>
        <w:tblCellMar>
          <w:top w:w="0" w:type="dxa"/>
          <w:left w:w="0" w:type="dxa"/>
          <w:bottom w:w="0" w:type="dxa"/>
          <w:right w:w="0" w:type="dxa"/>
        </w:tblCellMar>
      </w:tblPr>
      <w:tr>
        <w:trPr>
          <w:trHeight w:val="214"/>
        </w:trPr>
        <w:tc>
          <w:tcPr>
            <w:tcW w:w="98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4380" w:type="dxa"/>
            <w:vAlign w:val="bottom"/>
            <w:tcBorders>
              <w:top w:val="single" w:sz="8" w:color="auto"/>
              <w:right w:val="single" w:sz="8" w:color="auto"/>
            </w:tcBorders>
            <w:shd w:val="clear" w:color="auto" w:fill="4DC1E4"/>
          </w:tcPr>
          <w:p>
            <w:pPr>
              <w:spacing w:after="0"/>
              <w:rPr>
                <w:sz w:val="18"/>
                <w:szCs w:val="18"/>
                <w:color w:val="auto"/>
              </w:rPr>
            </w:pPr>
          </w:p>
        </w:tc>
        <w:tc>
          <w:tcPr>
            <w:tcW w:w="1860" w:type="dxa"/>
            <w:vAlign w:val="bottom"/>
            <w:tcBorders>
              <w:top w:val="single" w:sz="8" w:color="auto"/>
              <w:right w:val="single" w:sz="8" w:color="auto"/>
            </w:tcBorders>
            <w:shd w:val="clear" w:color="auto" w:fill="4DC1E4"/>
          </w:tcPr>
          <w:p>
            <w:pPr>
              <w:spacing w:after="0"/>
              <w:rPr>
                <w:sz w:val="18"/>
                <w:szCs w:val="18"/>
                <w:color w:val="auto"/>
              </w:rPr>
            </w:pPr>
          </w:p>
        </w:tc>
        <w:tc>
          <w:tcPr>
            <w:tcW w:w="1840" w:type="dxa"/>
            <w:vAlign w:val="bottom"/>
            <w:tcBorders>
              <w:top w:val="single" w:sz="8" w:color="auto"/>
              <w:right w:val="single" w:sz="8" w:color="auto"/>
            </w:tcBorders>
            <w:shd w:val="clear" w:color="auto" w:fill="4DC1E4"/>
          </w:tcPr>
          <w:p>
            <w:pPr>
              <w:spacing w:after="0"/>
              <w:rPr>
                <w:sz w:val="18"/>
                <w:szCs w:val="18"/>
                <w:color w:val="auto"/>
              </w:rPr>
            </w:pPr>
          </w:p>
        </w:tc>
        <w:tc>
          <w:tcPr>
            <w:tcW w:w="186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Equals</w:t>
            </w:r>
          </w:p>
        </w:tc>
      </w:tr>
      <w:tr>
        <w:trPr>
          <w:trHeight w:val="203"/>
        </w:trPr>
        <w:tc>
          <w:tcPr>
            <w:tcW w:w="980" w:type="dxa"/>
            <w:vAlign w:val="bottom"/>
            <w:tcBorders>
              <w:left w:val="single" w:sz="8" w:color="auto"/>
              <w:right w:val="single" w:sz="8" w:color="auto"/>
            </w:tcBorders>
            <w:shd w:val="clear" w:color="auto" w:fill="4DC1E4"/>
          </w:tcPr>
          <w:p>
            <w:pPr>
              <w:spacing w:after="0"/>
              <w:rPr>
                <w:sz w:val="17"/>
                <w:szCs w:val="17"/>
                <w:color w:val="auto"/>
              </w:rPr>
            </w:pPr>
          </w:p>
        </w:tc>
        <w:tc>
          <w:tcPr>
            <w:tcW w:w="4380" w:type="dxa"/>
            <w:vAlign w:val="bottom"/>
            <w:tcBorders>
              <w:right w:val="single" w:sz="8" w:color="auto"/>
            </w:tcBorders>
            <w:shd w:val="clear" w:color="auto" w:fill="4DC1E4"/>
          </w:tcPr>
          <w:p>
            <w:pPr>
              <w:spacing w:after="0"/>
              <w:rPr>
                <w:sz w:val="17"/>
                <w:szCs w:val="17"/>
                <w:color w:val="auto"/>
              </w:rPr>
            </w:pP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Less:</w:t>
            </w:r>
          </w:p>
        </w:tc>
        <w:tc>
          <w:tcPr>
            <w:tcW w:w="18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Plus:</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r>
      <w:tr>
        <w:trPr>
          <w:trHeight w:val="202"/>
        </w:trPr>
        <w:tc>
          <w:tcPr>
            <w:tcW w:w="980" w:type="dxa"/>
            <w:vAlign w:val="bottom"/>
            <w:tcBorders>
              <w:left w:val="single" w:sz="8" w:color="auto"/>
              <w:right w:val="single" w:sz="8" w:color="auto"/>
            </w:tcBorders>
            <w:shd w:val="clear" w:color="auto" w:fill="4DC1E4"/>
          </w:tcPr>
          <w:p>
            <w:pPr>
              <w:spacing w:after="0"/>
              <w:rPr>
                <w:sz w:val="17"/>
                <w:szCs w:val="17"/>
                <w:color w:val="auto"/>
              </w:rPr>
            </w:pPr>
          </w:p>
        </w:tc>
        <w:tc>
          <w:tcPr>
            <w:tcW w:w="4380" w:type="dxa"/>
            <w:vAlign w:val="bottom"/>
            <w:tcBorders>
              <w:right w:val="single" w:sz="8" w:color="auto"/>
            </w:tcBorders>
            <w:shd w:val="clear" w:color="auto" w:fill="4DC1E4"/>
          </w:tcPr>
          <w:p>
            <w:pPr>
              <w:jc w:val="center"/>
              <w:ind w:left="679"/>
              <w:spacing w:after="0"/>
              <w:rPr>
                <w:sz w:val="20"/>
                <w:szCs w:val="20"/>
                <w:color w:val="auto"/>
              </w:rPr>
            </w:pPr>
            <w:r>
              <w:rPr>
                <w:rFonts w:ascii="Times New Roman" w:cs="Times New Roman" w:eastAsia="Times New Roman" w:hAnsi="Times New Roman"/>
                <w:sz w:val="16"/>
                <w:szCs w:val="16"/>
                <w:b w:val="1"/>
                <w:bCs w:val="1"/>
                <w:color w:val="FFFFFF"/>
              </w:rPr>
              <w:t>Reported Summary Compensation</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Reported Value of</w:t>
            </w:r>
          </w:p>
        </w:tc>
        <w:tc>
          <w:tcPr>
            <w:tcW w:w="18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Actually Paid to Non-</w:t>
            </w:r>
          </w:p>
        </w:tc>
      </w:tr>
      <w:tr>
        <w:trPr>
          <w:trHeight w:val="203"/>
        </w:trPr>
        <w:tc>
          <w:tcPr>
            <w:tcW w:w="980" w:type="dxa"/>
            <w:vAlign w:val="bottom"/>
            <w:tcBorders>
              <w:left w:val="single" w:sz="8" w:color="auto"/>
              <w:right w:val="single" w:sz="8" w:color="auto"/>
            </w:tcBorders>
            <w:shd w:val="clear" w:color="auto" w:fill="4DC1E4"/>
          </w:tcPr>
          <w:p>
            <w:pPr>
              <w:spacing w:after="0"/>
              <w:rPr>
                <w:sz w:val="17"/>
                <w:szCs w:val="17"/>
                <w:color w:val="auto"/>
              </w:rPr>
            </w:pPr>
          </w:p>
        </w:tc>
        <w:tc>
          <w:tcPr>
            <w:tcW w:w="4380" w:type="dxa"/>
            <w:vAlign w:val="bottom"/>
            <w:tcBorders>
              <w:right w:val="single" w:sz="8" w:color="auto"/>
            </w:tcBorders>
            <w:shd w:val="clear" w:color="auto" w:fill="4DC1E4"/>
          </w:tcPr>
          <w:p>
            <w:pPr>
              <w:jc w:val="center"/>
              <w:ind w:left="659"/>
              <w:spacing w:after="0"/>
              <w:rPr>
                <w:sz w:val="20"/>
                <w:szCs w:val="20"/>
                <w:color w:val="auto"/>
              </w:rPr>
            </w:pPr>
            <w:r>
              <w:rPr>
                <w:rFonts w:ascii="Times New Roman" w:cs="Times New Roman" w:eastAsia="Times New Roman" w:hAnsi="Times New Roman"/>
                <w:sz w:val="16"/>
                <w:szCs w:val="16"/>
                <w:b w:val="1"/>
                <w:bCs w:val="1"/>
                <w:color w:val="FFFFFF"/>
                <w:w w:val="99"/>
              </w:rPr>
              <w:t>Table Total for Non-PEO NEO</w:t>
            </w:r>
          </w:p>
        </w:tc>
        <w:tc>
          <w:tcPr>
            <w:tcW w:w="1860" w:type="dxa"/>
            <w:vAlign w:val="bottom"/>
            <w:tcBorders>
              <w:right w:val="single" w:sz="8" w:color="auto"/>
            </w:tcBorders>
            <w:shd w:val="clear" w:color="auto" w:fill="4DC1E4"/>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FFFFFF"/>
                <w:w w:val="95"/>
              </w:rPr>
              <w:t xml:space="preserve">Equity Awards </w:t>
            </w:r>
            <w:r>
              <w:rPr>
                <w:rFonts w:ascii="Times New Roman" w:cs="Times New Roman" w:eastAsia="Times New Roman" w:hAnsi="Times New Roman"/>
                <w:sz w:val="23"/>
                <w:szCs w:val="23"/>
                <w:b w:val="1"/>
                <w:bCs w:val="1"/>
                <w:color w:val="FFFFFF"/>
                <w:w w:val="95"/>
                <w:vertAlign w:val="superscript"/>
              </w:rPr>
              <w:t>(a)</w:t>
            </w:r>
          </w:p>
        </w:tc>
        <w:tc>
          <w:tcPr>
            <w:tcW w:w="1840" w:type="dxa"/>
            <w:vAlign w:val="bottom"/>
            <w:tcBorders>
              <w:right w:val="single" w:sz="8" w:color="auto"/>
            </w:tcBorders>
            <w:shd w:val="clear" w:color="auto" w:fill="4DC1E4"/>
          </w:tcPr>
          <w:p>
            <w:pPr>
              <w:jc w:val="center"/>
              <w:spacing w:after="0" w:line="203" w:lineRule="exact"/>
              <w:rPr>
                <w:sz w:val="20"/>
                <w:szCs w:val="20"/>
                <w:color w:val="auto"/>
              </w:rPr>
            </w:pPr>
            <w:r>
              <w:rPr>
                <w:rFonts w:ascii="Times New Roman" w:cs="Times New Roman" w:eastAsia="Times New Roman" w:hAnsi="Times New Roman"/>
                <w:sz w:val="16"/>
                <w:szCs w:val="16"/>
                <w:b w:val="1"/>
                <w:bCs w:val="1"/>
                <w:color w:val="FFFFFF"/>
                <w:w w:val="96"/>
              </w:rPr>
              <w:t xml:space="preserve">Adjustments </w:t>
            </w:r>
            <w:r>
              <w:rPr>
                <w:rFonts w:ascii="Times New Roman" w:cs="Times New Roman" w:eastAsia="Times New Roman" w:hAnsi="Times New Roman"/>
                <w:sz w:val="23"/>
                <w:szCs w:val="23"/>
                <w:b w:val="1"/>
                <w:bCs w:val="1"/>
                <w:color w:val="FFFFFF"/>
                <w:w w:val="96"/>
                <w:vertAlign w:val="superscript"/>
              </w:rPr>
              <w:t>(b)</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PEO NEO</w:t>
            </w:r>
          </w:p>
        </w:tc>
      </w:tr>
      <w:tr>
        <w:trPr>
          <w:trHeight w:val="212"/>
        </w:trPr>
        <w:tc>
          <w:tcPr>
            <w:tcW w:w="980" w:type="dxa"/>
            <w:vAlign w:val="bottom"/>
            <w:tcBorders>
              <w:left w:val="single" w:sz="8" w:color="auto"/>
              <w:right w:val="single" w:sz="8" w:color="auto"/>
            </w:tcBorders>
            <w:shd w:val="clear" w:color="auto" w:fill="4DC1E4"/>
          </w:tcPr>
          <w:p>
            <w:pPr>
              <w:ind w:left="400"/>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4380" w:type="dxa"/>
            <w:vAlign w:val="bottom"/>
            <w:tcBorders>
              <w:right w:val="single" w:sz="8" w:color="auto"/>
            </w:tcBorders>
            <w:shd w:val="clear" w:color="auto" w:fill="4DC1E4"/>
          </w:tcPr>
          <w:p>
            <w:pPr>
              <w:jc w:val="center"/>
              <w:ind w:left="679"/>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8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8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87"/>
        </w:trPr>
        <w:tc>
          <w:tcPr>
            <w:tcW w:w="980" w:type="dxa"/>
            <w:vAlign w:val="bottom"/>
            <w:tcBorders>
              <w:left w:val="single" w:sz="8" w:color="auto"/>
              <w:bottom w:val="single" w:sz="8" w:color="auto"/>
              <w:right w:val="single" w:sz="8" w:color="auto"/>
            </w:tcBorders>
            <w:shd w:val="clear" w:color="auto" w:fill="4DC1E4"/>
          </w:tcPr>
          <w:p>
            <w:pPr>
              <w:spacing w:after="0"/>
              <w:rPr>
                <w:sz w:val="7"/>
                <w:szCs w:val="7"/>
                <w:color w:val="auto"/>
              </w:rPr>
            </w:pPr>
          </w:p>
        </w:tc>
        <w:tc>
          <w:tcPr>
            <w:tcW w:w="4380" w:type="dxa"/>
            <w:vAlign w:val="bottom"/>
            <w:tcBorders>
              <w:bottom w:val="single" w:sz="8" w:color="auto"/>
              <w:right w:val="single" w:sz="8" w:color="auto"/>
            </w:tcBorders>
            <w:shd w:val="clear" w:color="auto" w:fill="4DC1E4"/>
          </w:tcPr>
          <w:p>
            <w:pPr>
              <w:spacing w:after="0"/>
              <w:rPr>
                <w:sz w:val="7"/>
                <w:szCs w:val="7"/>
                <w:color w:val="auto"/>
              </w:rPr>
            </w:pPr>
          </w:p>
        </w:tc>
        <w:tc>
          <w:tcPr>
            <w:tcW w:w="1860" w:type="dxa"/>
            <w:vAlign w:val="bottom"/>
            <w:tcBorders>
              <w:bottom w:val="single" w:sz="8" w:color="auto"/>
              <w:right w:val="single" w:sz="8" w:color="auto"/>
            </w:tcBorders>
            <w:shd w:val="clear" w:color="auto" w:fill="4DC1E4"/>
          </w:tcPr>
          <w:p>
            <w:pPr>
              <w:spacing w:after="0"/>
              <w:rPr>
                <w:sz w:val="7"/>
                <w:szCs w:val="7"/>
                <w:color w:val="auto"/>
              </w:rPr>
            </w:pPr>
          </w:p>
        </w:tc>
        <w:tc>
          <w:tcPr>
            <w:tcW w:w="1840" w:type="dxa"/>
            <w:vAlign w:val="bottom"/>
            <w:tcBorders>
              <w:bottom w:val="single" w:sz="8" w:color="auto"/>
              <w:right w:val="single" w:sz="8" w:color="auto"/>
            </w:tcBorders>
            <w:shd w:val="clear" w:color="auto" w:fill="4DC1E4"/>
          </w:tcPr>
          <w:p>
            <w:pPr>
              <w:spacing w:after="0"/>
              <w:rPr>
                <w:sz w:val="7"/>
                <w:szCs w:val="7"/>
                <w:color w:val="auto"/>
              </w:rPr>
            </w:pPr>
          </w:p>
        </w:tc>
        <w:tc>
          <w:tcPr>
            <w:tcW w:w="1860" w:type="dxa"/>
            <w:vAlign w:val="bottom"/>
            <w:tcBorders>
              <w:bottom w:val="single" w:sz="8" w:color="auto"/>
              <w:right w:val="single" w:sz="8" w:color="auto"/>
            </w:tcBorders>
            <w:shd w:val="clear" w:color="auto" w:fill="4DC1E4"/>
          </w:tcPr>
          <w:p>
            <w:pPr>
              <w:spacing w:after="0"/>
              <w:rPr>
                <w:sz w:val="7"/>
                <w:szCs w:val="7"/>
                <w:color w:val="auto"/>
              </w:rPr>
            </w:pPr>
          </w:p>
        </w:tc>
      </w:tr>
      <w:tr>
        <w:trPr>
          <w:trHeight w:val="204"/>
        </w:trPr>
        <w:tc>
          <w:tcPr>
            <w:tcW w:w="98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2022</w:t>
            </w:r>
          </w:p>
        </w:tc>
        <w:tc>
          <w:tcPr>
            <w:tcW w:w="43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$1,132,322</w:t>
            </w:r>
          </w:p>
        </w:tc>
        <w:tc>
          <w:tcPr>
            <w:tcW w:w="18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($569,702)</w:t>
            </w:r>
          </w:p>
        </w:tc>
        <w:tc>
          <w:tcPr>
            <w:tcW w:w="18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($357,403)</w:t>
            </w:r>
          </w:p>
        </w:tc>
        <w:tc>
          <w:tcPr>
            <w:tcW w:w="18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$205,217</w:t>
            </w:r>
          </w:p>
        </w:tc>
      </w:tr>
      <w:tr>
        <w:trPr>
          <w:trHeight w:val="73"/>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438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r>
      <w:tr>
        <w:trPr>
          <w:trHeight w:val="204"/>
        </w:trPr>
        <w:tc>
          <w:tcPr>
            <w:tcW w:w="980" w:type="dxa"/>
            <w:vAlign w:val="bottom"/>
            <w:tcBorders>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2021</w:t>
            </w:r>
          </w:p>
        </w:tc>
        <w:tc>
          <w:tcPr>
            <w:tcW w:w="43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$1,065,754</w:t>
            </w:r>
          </w:p>
        </w:tc>
        <w:tc>
          <w:tcPr>
            <w:tcW w:w="18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($618,148)</w:t>
            </w:r>
          </w:p>
        </w:tc>
        <w:tc>
          <w:tcPr>
            <w:tcW w:w="18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($1,146,670)</w:t>
            </w:r>
          </w:p>
        </w:tc>
        <w:tc>
          <w:tcPr>
            <w:tcW w:w="18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($699,064)</w:t>
            </w:r>
          </w:p>
        </w:tc>
      </w:tr>
      <w:tr>
        <w:trPr>
          <w:trHeight w:val="73"/>
        </w:trPr>
        <w:tc>
          <w:tcPr>
            <w:tcW w:w="980" w:type="dxa"/>
            <w:vAlign w:val="bottom"/>
            <w:tcBorders>
              <w:left w:val="single" w:sz="8" w:color="auto"/>
              <w:bottom w:val="single" w:sz="8" w:color="auto"/>
              <w:right w:val="single" w:sz="8" w:color="auto"/>
            </w:tcBorders>
          </w:tcPr>
          <w:p>
            <w:pPr>
              <w:spacing w:after="0"/>
              <w:rPr>
                <w:sz w:val="6"/>
                <w:szCs w:val="6"/>
                <w:color w:val="auto"/>
              </w:rPr>
            </w:pPr>
          </w:p>
        </w:tc>
        <w:tc>
          <w:tcPr>
            <w:tcW w:w="438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amounts deducted or added in calculating the total average equity award adjustments are as follows:</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214"/>
        </w:trPr>
        <w:tc>
          <w:tcPr>
            <w:tcW w:w="13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180" w:type="dxa"/>
            <w:vAlign w:val="bottom"/>
            <w:tcBorders>
              <w:top w:val="single" w:sz="8" w:color="auto"/>
              <w:right w:val="single" w:sz="8" w:color="auto"/>
            </w:tcBorders>
            <w:shd w:val="clear" w:color="auto" w:fill="4DC1E4"/>
          </w:tcPr>
          <w:p>
            <w:pPr>
              <w:spacing w:after="0"/>
              <w:rPr>
                <w:sz w:val="18"/>
                <w:szCs w:val="18"/>
                <w:color w:val="auto"/>
              </w:rPr>
            </w:pPr>
          </w:p>
        </w:tc>
        <w:tc>
          <w:tcPr>
            <w:tcW w:w="1200" w:type="dxa"/>
            <w:vAlign w:val="bottom"/>
            <w:tcBorders>
              <w:top w:val="single" w:sz="8" w:color="auto"/>
              <w:right w:val="single" w:sz="8" w:color="auto"/>
            </w:tcBorders>
            <w:shd w:val="clear" w:color="auto" w:fill="4DC1E4"/>
          </w:tcPr>
          <w:p>
            <w:pPr>
              <w:spacing w:after="0"/>
              <w:rPr>
                <w:sz w:val="18"/>
                <w:szCs w:val="18"/>
                <w:color w:val="auto"/>
              </w:rPr>
            </w:pPr>
          </w:p>
        </w:tc>
        <w:tc>
          <w:tcPr>
            <w:tcW w:w="1200" w:type="dxa"/>
            <w:vAlign w:val="bottom"/>
            <w:tcBorders>
              <w:top w:val="single" w:sz="8" w:color="auto"/>
              <w:right w:val="single" w:sz="8" w:color="auto"/>
            </w:tcBorders>
            <w:shd w:val="clear" w:color="auto" w:fill="4DC1E4"/>
          </w:tcPr>
          <w:p>
            <w:pPr>
              <w:spacing w:after="0"/>
              <w:rPr>
                <w:sz w:val="18"/>
                <w:szCs w:val="18"/>
                <w:color w:val="auto"/>
              </w:rPr>
            </w:pPr>
          </w:p>
        </w:tc>
        <w:tc>
          <w:tcPr>
            <w:tcW w:w="1200" w:type="dxa"/>
            <w:vAlign w:val="bottom"/>
            <w:tcBorders>
              <w:top w:val="single" w:sz="8" w:color="auto"/>
              <w:right w:val="single" w:sz="8" w:color="auto"/>
            </w:tcBorders>
            <w:shd w:val="clear" w:color="auto" w:fill="4DC1E4"/>
          </w:tcPr>
          <w:p>
            <w:pPr>
              <w:spacing w:after="0"/>
              <w:rPr>
                <w:sz w:val="18"/>
                <w:szCs w:val="18"/>
                <w:color w:val="auto"/>
              </w:rPr>
            </w:pPr>
          </w:p>
        </w:tc>
        <w:tc>
          <w:tcPr>
            <w:tcW w:w="1200" w:type="dxa"/>
            <w:vAlign w:val="bottom"/>
            <w:tcBorders>
              <w:top w:val="single" w:sz="8" w:color="auto"/>
              <w:right w:val="single" w:sz="8" w:color="auto"/>
            </w:tcBorders>
            <w:shd w:val="clear" w:color="auto" w:fill="4DC1E4"/>
          </w:tcPr>
          <w:p>
            <w:pPr>
              <w:spacing w:after="0"/>
              <w:rPr>
                <w:sz w:val="18"/>
                <w:szCs w:val="18"/>
                <w:color w:val="auto"/>
              </w:rPr>
            </w:pPr>
          </w:p>
        </w:tc>
        <w:tc>
          <w:tcPr>
            <w:tcW w:w="2400" w:type="dxa"/>
            <w:vAlign w:val="bottom"/>
            <w:tcBorders>
              <w:top w:val="single" w:sz="8" w:color="auto"/>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220" w:type="dxa"/>
            <w:vAlign w:val="bottom"/>
            <w:tcBorders>
              <w:top w:val="single" w:sz="8" w:color="auto"/>
              <w:right w:val="single" w:sz="8" w:color="auto"/>
            </w:tcBorders>
            <w:shd w:val="clear" w:color="auto" w:fill="4DC1E4"/>
          </w:tcPr>
          <w:p>
            <w:pPr>
              <w:spacing w:after="0"/>
              <w:rPr>
                <w:sz w:val="18"/>
                <w:szCs w:val="18"/>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20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Year Change</w:t>
            </w:r>
          </w:p>
        </w:tc>
        <w:tc>
          <w:tcPr>
            <w:tcW w:w="120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spacing w:after="0"/>
              <w:rPr>
                <w:sz w:val="17"/>
                <w:szCs w:val="17"/>
                <w:color w:val="auto"/>
              </w:rPr>
            </w:pP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at the End</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other</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Year End</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9"/>
              </w:rPr>
              <w:t>in Fair Value</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the Prior</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9"/>
              </w:rPr>
              <w:t>Earnings</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89"/>
              </w:rPr>
              <w:t>of</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Year</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7"/>
              </w:rPr>
              <w:t>Year of</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9"/>
              </w:rPr>
              <w:t>Paid on Stock</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89"/>
              </w:rPr>
              <w:t>of</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Outstanding</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Vesting</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Change in</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9"/>
              </w:rPr>
              <w:t>Equity</w:t>
            </w:r>
          </w:p>
        </w:tc>
        <w:tc>
          <w:tcPr>
            <w:tcW w:w="24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Outstanding</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and</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Date of</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Fair Value</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Awards that</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Unvested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Equity</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Failed to</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not Otherwise</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2"/>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Unvested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8"/>
              </w:rPr>
              <w:t>Meet</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220" w:type="dxa"/>
            <w:vAlign w:val="bottom"/>
            <w:tcBorders>
              <w:right w:val="single" w:sz="8" w:color="auto"/>
            </w:tcBorders>
            <w:shd w:val="clear" w:color="auto" w:fill="4DC1E4"/>
          </w:tcPr>
          <w:p>
            <w:pPr>
              <w:spacing w:after="0"/>
              <w:rPr>
                <w:sz w:val="17"/>
                <w:szCs w:val="17"/>
                <w:color w:val="auto"/>
              </w:rPr>
            </w:pP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6"/>
              </w:rPr>
              <w:t>Vesting</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Fair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3"/>
              </w:rPr>
              <w:t>Total</w:t>
            </w: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Awards</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and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Prior Years</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8"/>
              </w:rPr>
              <w:t>Value or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Equity</w:t>
            </w: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Prior</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Vested in</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that Vested</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8"/>
              </w:rPr>
              <w:t>in the</w:t>
            </w:r>
          </w:p>
        </w:tc>
        <w:tc>
          <w:tcPr>
            <w:tcW w:w="24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3"/>
              </w:rPr>
              <w:t>Total</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w:t>
            </w:r>
          </w:p>
        </w:tc>
      </w:tr>
      <w:tr>
        <w:trPr>
          <w:trHeight w:val="203"/>
        </w:trPr>
        <w:tc>
          <w:tcPr>
            <w:tcW w:w="1320" w:type="dxa"/>
            <w:vAlign w:val="bottom"/>
            <w:tcBorders>
              <w:left w:val="single" w:sz="8" w:color="auto"/>
              <w:right w:val="single" w:sz="8" w:color="auto"/>
            </w:tcBorders>
            <w:shd w:val="clear" w:color="auto" w:fill="4DC1E4"/>
          </w:tcPr>
          <w:p>
            <w:pPr>
              <w:spacing w:after="0"/>
              <w:rPr>
                <w:sz w:val="17"/>
                <w:szCs w:val="17"/>
                <w:color w:val="auto"/>
              </w:rPr>
            </w:pPr>
          </w:p>
        </w:tc>
        <w:tc>
          <w:tcPr>
            <w:tcW w:w="11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200" w:type="dxa"/>
            <w:vAlign w:val="bottom"/>
            <w:tcBorders>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8"/>
              </w:rPr>
              <w:t>the Year</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2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Year</w:t>
            </w:r>
          </w:p>
        </w:tc>
        <w:tc>
          <w:tcPr>
            <w:tcW w:w="24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29"/>
        </w:trPr>
        <w:tc>
          <w:tcPr>
            <w:tcW w:w="1320" w:type="dxa"/>
            <w:vAlign w:val="bottom"/>
            <w:tcBorders>
              <w:left w:val="single" w:sz="8" w:color="auto"/>
              <w:bottom w:val="single" w:sz="8" w:color="auto"/>
              <w:right w:val="single" w:sz="8" w:color="auto"/>
            </w:tcBorders>
            <w:shd w:val="clear" w:color="auto" w:fill="4DC1E4"/>
          </w:tcPr>
          <w:p>
            <w:pPr>
              <w:ind w:left="560"/>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180" w:type="dxa"/>
            <w:vAlign w:val="bottom"/>
            <w:tcBorders>
              <w:bottom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00" w:type="dxa"/>
            <w:vAlign w:val="bottom"/>
            <w:tcBorders>
              <w:bottom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00" w:type="dxa"/>
            <w:vAlign w:val="bottom"/>
            <w:tcBorders>
              <w:bottom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00" w:type="dxa"/>
            <w:vAlign w:val="bottom"/>
            <w:tcBorders>
              <w:bottom w:val="single" w:sz="8" w:color="auto"/>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00" w:type="dxa"/>
            <w:vAlign w:val="bottom"/>
            <w:tcBorders>
              <w:bottom w:val="single" w:sz="8" w:color="auto"/>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2400" w:type="dxa"/>
            <w:vAlign w:val="bottom"/>
            <w:tcBorders>
              <w:bottom w:val="single" w:sz="8" w:color="auto"/>
              <w:right w:val="single" w:sz="8" w:color="auto"/>
            </w:tcBorders>
            <w:shd w:val="clear" w:color="auto" w:fill="4DC1E4"/>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20" w:type="dxa"/>
            <w:vAlign w:val="bottom"/>
            <w:tcBorders>
              <w:bottom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226"/>
        </w:trPr>
        <w:tc>
          <w:tcPr>
            <w:tcW w:w="1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$291,354</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($390,139)</w:t>
            </w:r>
          </w:p>
        </w:tc>
        <w:tc>
          <w:tcPr>
            <w:tcW w:w="12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($258,618)</w:t>
            </w:r>
          </w:p>
        </w:tc>
        <w:tc>
          <w:tcPr>
            <w:tcW w:w="12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($357,403)</w:t>
            </w:r>
          </w:p>
        </w:tc>
      </w:tr>
      <w:tr>
        <w:trPr>
          <w:trHeight w:val="223"/>
        </w:trPr>
        <w:tc>
          <w:tcPr>
            <w:tcW w:w="1320" w:type="dxa"/>
            <w:vAlign w:val="bottom"/>
            <w:tcBorders>
              <w:left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$271,756</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($927,872)</w:t>
            </w:r>
          </w:p>
        </w:tc>
        <w:tc>
          <w:tcPr>
            <w:tcW w:w="12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($490,554)</w:t>
            </w:r>
          </w:p>
        </w:tc>
        <w:tc>
          <w:tcPr>
            <w:tcW w:w="12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($1,146,670)</w:t>
            </w:r>
          </w:p>
        </w:tc>
      </w:tr>
    </w:tbl>
    <w:p>
      <w:pPr>
        <w:spacing w:after="0" w:line="126" w:lineRule="exact"/>
        <w:rPr>
          <w:sz w:val="20"/>
          <w:szCs w:val="20"/>
          <w:color w:val="auto"/>
        </w:rPr>
      </w:pPr>
    </w:p>
    <w:p>
      <w:pPr>
        <w:sectPr>
          <w:pgSz w:w="11900" w:h="16838" w:orient="portrait"/>
          <w:cols w:equalWidth="0" w:num="1">
            <w:col w:w="11140"/>
          </w:cols>
          <w:pgMar w:left="320" w:top="455" w:right="439" w:bottom="1440" w:gutter="0" w:footer="0" w:header="0"/>
        </w:sectPr>
      </w:pPr>
    </w:p>
    <w:p>
      <w:pPr>
        <w:ind w:left="55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26</w:t>
      </w:r>
    </w:p>
    <w:p>
      <w:pPr>
        <w:sectPr>
          <w:pgSz w:w="11900" w:h="16838" w:orient="portrait"/>
          <w:cols w:equalWidth="0" w:num="1">
            <w:col w:w="11140"/>
          </w:cols>
          <w:pgMar w:left="320" w:top="455"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4" w:lineRule="exact"/>
        <w:rPr>
          <w:sz w:val="20"/>
          <w:szCs w:val="20"/>
          <w:color w:val="auto"/>
        </w:rPr>
      </w:pPr>
    </w:p>
    <w:p>
      <w:pPr>
        <w:ind w:left="120" w:right="320" w:hanging="4"/>
        <w:spacing w:after="0" w:line="266"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2021 or 2022.</w:t>
      </w:r>
    </w:p>
    <w:p>
      <w:pPr>
        <w:spacing w:after="0" w:line="148" w:lineRule="exact"/>
        <w:rPr>
          <w:rFonts w:ascii="Times New Roman" w:cs="Times New Roman" w:eastAsia="Times New Roman" w:hAnsi="Times New Roman"/>
          <w:sz w:val="18"/>
          <w:szCs w:val="18"/>
          <w:color w:val="auto"/>
        </w:rPr>
      </w:pPr>
    </w:p>
    <w:p>
      <w:pPr>
        <w:ind w:left="120" w:right="240" w:hanging="4"/>
        <w:spacing w:after="0" w:line="282"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consolidated audited financial statements for the applicable year.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38"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Because we are not a commercial-stage company, we did not have any revenue during the periods presented. Consequently, our company has not historically looked to net income (loss) as a performance measure for our executive compensation programs.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3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shown in the following graph, the compensation actually paid to Dr. Ben-Maimon and the average amount of compensation actually paid to our other named executive officers as a group (exclusively Mr. Celano for 2022 and 2021) during the periods presented show negative compensation actually paid for Dr. Ben-Maimon in both periods presented reflecting the fact that she is negatively impacted by the lower total shareholder returns for the periods presented. Mr. Celano is also negatively impacted by the lower total shareholder returns for the periods presented.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27</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8"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We do utilize several performance measures to align executive compensation with our performance, but those tend not to be financial performance measures, such as TSR. For example, as described in more detail above in the section “Executive Compensation - Annual Cash and Equity Bonus Opportunities part of the compensation our named executive officers are eligible to receive consists of annual performance-based cash bonuses which are designed to provide appropriate incentives to our executives to achieve defined annual corporate goals and to reward our executives for individual achievement towards these goals, subject to certain employment criteria as described above under “-Agreements with our Named Executive Officers.” Additionally, we view stock options, which are an integral part of our executive compensation program, as related to company performance although not directly tied to TSR, because they provide value only if the market price of our common stock increases, and if the executive officer continues in our employment over the vesting period. These stock option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134620</wp:posOffset>
            </wp:positionV>
            <wp:extent cx="5349240" cy="3334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28</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Since January 1, 2021,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8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0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named executive officers, see the section titled “Executive Compensation — Employment Agreements.”</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have also granted stock options to our executive officers and directors. For a description of these stock options, see the sections titled “Director Compensation” and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0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29</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a summary of the shares available for grant under the Company’s equity incentive plans as of December 31, 2022:</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4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w:t>
            </w:r>
          </w:p>
        </w:tc>
        <w:tc>
          <w:tcPr>
            <w:tcW w:w="3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w:t>
            </w: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64"/>
        </w:trPr>
        <w:tc>
          <w:tcPr>
            <w:tcW w:w="54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3,071,528</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w:t>
            </w:r>
          </w:p>
        </w:tc>
        <w:tc>
          <w:tcPr>
            <w:tcW w:w="230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1,054,277 (1) (2)</w:t>
            </w:r>
          </w:p>
        </w:tc>
        <w:tc>
          <w:tcPr>
            <w:tcW w:w="0" w:type="dxa"/>
            <w:vAlign w:val="bottom"/>
          </w:tcPr>
          <w:p>
            <w:pPr>
              <w:spacing w:after="0"/>
              <w:rPr>
                <w:sz w:val="1"/>
                <w:szCs w:val="1"/>
                <w:color w:val="auto"/>
              </w:rPr>
            </w:pPr>
          </w:p>
        </w:tc>
      </w:tr>
      <w:tr>
        <w:trPr>
          <w:trHeight w:val="19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8"/>
        </w:trPr>
        <w:tc>
          <w:tcPr>
            <w:tcW w:w="544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3,071,528</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w:t>
            </w:r>
          </w:p>
        </w:tc>
        <w:tc>
          <w:tcPr>
            <w:tcW w:w="2300" w:type="dxa"/>
            <w:vAlign w:val="bottom"/>
            <w:tcBorders>
              <w:bottom w:val="single" w:sz="8" w:color="CCEEFF"/>
            </w:tcBorders>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1,054,277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60" w:right="20" w:hanging="544"/>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shares available for issuance under the Company’s 2020 Equity Incentive Plan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w:t>
      </w:r>
    </w:p>
    <w:p>
      <w:pPr>
        <w:spacing w:after="0" w:line="85" w:lineRule="exact"/>
        <w:rPr>
          <w:rFonts w:ascii="Times New Roman" w:cs="Times New Roman" w:eastAsia="Times New Roman" w:hAnsi="Times New Roman"/>
          <w:sz w:val="18"/>
          <w:szCs w:val="18"/>
          <w:color w:val="auto"/>
        </w:rPr>
      </w:pPr>
    </w:p>
    <w:p>
      <w:pPr>
        <w:jc w:val="both"/>
        <w:ind w:left="660" w:right="20" w:hanging="544"/>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2023, 1,730,768 shares were added to the 2020 Plan in accordance with the evergreen feature described above, increasing the maximum number of shares of the Company’s common stock that may be issued under the 2020 Plan to 2,785,045 shares. This increase is not reflected in the table above.</w:t>
      </w:r>
    </w:p>
    <w:p>
      <w:pPr>
        <w:spacing w:after="0" w:line="14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30</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March 30, 2023 by (a) each person known by us to be the beneficial owner of more than 5% of the outstanding shares of common stock, (b) each named executive officer identified in the “2022 Summary Compensation Table” above, (c) each director and nominee for director, and (d) all executive officers and directors as a group.</w:t>
      </w:r>
    </w:p>
    <w:p>
      <w:pPr>
        <w:spacing w:after="0" w:line="14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percentage of common stock outstanding is based on 43,269,200 shares of our common stock outstanding as of March 30, 2023. For purposes of the table below, and in accordance with the rules of the SEC, we deem shares of common stock subject to options, warrants or other derivative securities of the Company that are currently exercisable or exercisable within sixty days of March 30, 2023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20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4"/>
          <w:szCs w:val="14"/>
          <w:b w:val="1"/>
          <w:bCs w:val="1"/>
          <w:color w:val="FFFFFF"/>
        </w:rPr>
        <w:t>HARES</w:t>
      </w:r>
      <w:r>
        <w:rPr>
          <w:rFonts w:ascii="Times New Roman" w:cs="Times New Roman" w:eastAsia="Times New Roman" w:hAnsi="Times New Roman"/>
          <w:sz w:val="18"/>
          <w:szCs w:val="18"/>
          <w:b w:val="1"/>
          <w:bCs w:val="1"/>
          <w:color w:val="FFFFFF"/>
        </w:rPr>
        <w:t xml:space="preserve"> B</w:t>
      </w:r>
      <w:r>
        <w:rPr>
          <w:rFonts w:ascii="Times New Roman" w:cs="Times New Roman" w:eastAsia="Times New Roman" w:hAnsi="Times New Roman"/>
          <w:sz w:val="14"/>
          <w:szCs w:val="14"/>
          <w:b w:val="1"/>
          <w:bCs w:val="1"/>
          <w:color w:val="FFFFFF"/>
        </w:rPr>
        <w:t>ENEFICIALLY</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4"/>
          <w:szCs w:val="14"/>
          <w:b w:val="1"/>
          <w:bCs w:val="1"/>
          <w:color w:val="FFFFFF"/>
        </w:rPr>
        <w:t>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26580" cy="27774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6580" cy="27774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080" w:type="dxa"/>
            <w:vAlign w:val="bottom"/>
            <w:tcBorders>
              <w:bottom w:val="single" w:sz="8" w:color="auto"/>
            </w:tcBorders>
            <w:shd w:val="clear" w:color="auto" w:fill="4DC1E4"/>
          </w:tcPr>
          <w:p>
            <w:pPr>
              <w:ind w:left="134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4"/>
                <w:szCs w:val="14"/>
                <w:b w:val="1"/>
                <w:bCs w:val="1"/>
                <w:color w:val="FFFFFF"/>
              </w:rPr>
              <w:t>AME OF</w:t>
            </w:r>
            <w:r>
              <w:rPr>
                <w:rFonts w:ascii="Times New Roman" w:cs="Times New Roman" w:eastAsia="Times New Roman" w:hAnsi="Times New Roman"/>
                <w:sz w:val="18"/>
                <w:szCs w:val="18"/>
                <w:b w:val="1"/>
                <w:bCs w:val="1"/>
                <w:color w:val="FFFFFF"/>
              </w:rPr>
              <w:t xml:space="preserve"> B</w:t>
            </w:r>
            <w:r>
              <w:rPr>
                <w:rFonts w:ascii="Times New Roman" w:cs="Times New Roman" w:eastAsia="Times New Roman" w:hAnsi="Times New Roman"/>
                <w:sz w:val="14"/>
                <w:szCs w:val="14"/>
                <w:b w:val="1"/>
                <w:bCs w:val="1"/>
                <w:color w:val="FFFFFF"/>
              </w:rPr>
              <w:t>ENEFICIAL</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4"/>
                <w:szCs w:val="14"/>
                <w:b w:val="1"/>
                <w:bCs w:val="1"/>
                <w:color w:val="FFFFFF"/>
              </w:rPr>
              <w:t>WNER</w:t>
            </w:r>
          </w:p>
        </w:tc>
        <w:tc>
          <w:tcPr>
            <w:tcW w:w="3520" w:type="dxa"/>
            <w:vAlign w:val="bottom"/>
            <w:tcBorders>
              <w:bottom w:val="single" w:sz="8" w:color="auto"/>
            </w:tcBorders>
            <w:shd w:val="clear" w:color="auto" w:fill="4DC1E4"/>
          </w:tcPr>
          <w:p>
            <w:pPr>
              <w:ind w:left="106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4"/>
                <w:szCs w:val="14"/>
                <w:b w:val="1"/>
                <w:bCs w:val="1"/>
                <w:color w:val="FFFFFF"/>
              </w:rPr>
              <w:t>UMBER OF</w:t>
            </w:r>
            <w:r>
              <w:rPr>
                <w:rFonts w:ascii="Times New Roman" w:cs="Times New Roman" w:eastAsia="Times New Roman" w:hAnsi="Times New Roman"/>
                <w:sz w:val="18"/>
                <w:szCs w:val="18"/>
                <w:b w:val="1"/>
                <w:bCs w:val="1"/>
                <w:color w:val="FFFFFF"/>
              </w:rPr>
              <w:t xml:space="preserve"> S</w:t>
            </w:r>
            <w:r>
              <w:rPr>
                <w:rFonts w:ascii="Times New Roman" w:cs="Times New Roman" w:eastAsia="Times New Roman" w:hAnsi="Times New Roman"/>
                <w:sz w:val="14"/>
                <w:szCs w:val="14"/>
                <w:b w:val="1"/>
                <w:bCs w:val="1"/>
                <w:color w:val="FFFFFF"/>
              </w:rPr>
              <w:t>HARES</w:t>
            </w:r>
          </w:p>
        </w:tc>
        <w:tc>
          <w:tcPr>
            <w:tcW w:w="2300" w:type="dxa"/>
            <w:vAlign w:val="bottom"/>
            <w:tcBorders>
              <w:bottom w:val="single" w:sz="8" w:color="auto"/>
            </w:tcBorders>
            <w:shd w:val="clear" w:color="auto" w:fill="4DC1E4"/>
          </w:tcPr>
          <w:p>
            <w:pPr>
              <w:ind w:left="86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4"/>
                <w:szCs w:val="14"/>
                <w:b w:val="1"/>
                <w:bCs w:val="1"/>
                <w:color w:val="FFFFFF"/>
              </w:rPr>
              <w:t>ERCENTAGE</w:t>
            </w:r>
          </w:p>
        </w:tc>
      </w:tr>
      <w:tr>
        <w:trPr>
          <w:trHeight w:val="232"/>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2"/>
        </w:trPr>
        <w:tc>
          <w:tcPr>
            <w:tcW w:w="50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Entities affiliated with Deerfield Management (1)</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16,973,634</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39.2%</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Entities affiliated with CHI Advisors (2)</w:t>
            </w:r>
          </w:p>
        </w:tc>
        <w:tc>
          <w:tcPr>
            <w:tcW w:w="35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3,473,366</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5"/>
              </w:rPr>
              <w:t>8.0%</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Entities affiliated with Perceptive Advisors (3)</w:t>
            </w:r>
          </w:p>
        </w:tc>
        <w:tc>
          <w:tcPr>
            <w:tcW w:w="35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2,860,000</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5"/>
              </w:rPr>
              <w:t>6.6%</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32"/>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2"/>
        </w:trPr>
        <w:tc>
          <w:tcPr>
            <w:tcW w:w="50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Carole S. Ben-Maimon, M.D. (4)</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675,703</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5"/>
              </w:rPr>
              <w:t>1.5%</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Michael Celano (5)</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192,841</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Peter Barrett, Ph.D. (6)</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337,739</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Frank Thomas (7)</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40,511</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Jonathan Leff (8)</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Thomas E. Hamilton (9)</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642,590</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5"/>
              </w:rPr>
              <w:t>1.5%</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28"/>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Joseph Truitt (10)</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32,277</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50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191"/>
        </w:trPr>
        <w:tc>
          <w:tcPr>
            <w:tcW w:w="50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352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4"/>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 persons) (11)</w:t>
            </w:r>
          </w:p>
        </w:tc>
        <w:tc>
          <w:tcPr>
            <w:tcW w:w="35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1,896,609</w:t>
            </w:r>
          </w:p>
        </w:tc>
        <w:tc>
          <w:tcPr>
            <w:tcW w:w="23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5"/>
              </w:rPr>
              <w:t>4.3%</w:t>
            </w:r>
          </w:p>
        </w:tc>
      </w:tr>
    </w:tbl>
    <w:p>
      <w:pPr>
        <w:spacing w:after="0" w:line="49" w:lineRule="exact"/>
        <w:rPr>
          <w:sz w:val="20"/>
          <w:szCs w:val="20"/>
          <w:color w:val="auto"/>
        </w:rPr>
      </w:pPr>
    </w:p>
    <w:p>
      <w:pPr>
        <w:ind w:left="660" w:hanging="54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jc w:val="both"/>
        <w:ind w:left="880" w:right="20" w:hanging="548"/>
        <w:spacing w:after="0" w:line="250"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jointly filed with the SEC on September 16, 2022 by Deerfield Private Design Fund III, L.P., Deerfield Healthcare Innovations Fund, L.P., Deerfield Private Design Fund IV, L.P., Deerfield Mgmt III, L.P., Deerfield Mgmt HIF, L.P., Deerfield Mgmt IV, L.P., Deerfield Management Company, L.P. and James E. Flynn reflecting information as of September 16, 2022, consists of (a) 4,721,183 shares held by Deerfield Private Design Fund III, L.P., (b) 4,721,197 shares held by Deerfield Healthcare Innovations Fund, L.P.,</w:t>
      </w:r>
    </w:p>
    <w:p>
      <w:pPr>
        <w:spacing w:after="0" w:line="1" w:lineRule="exact"/>
        <w:rPr>
          <w:rFonts w:ascii="Times New Roman" w:cs="Times New Roman" w:eastAsia="Times New Roman" w:hAnsi="Times New Roman"/>
          <w:sz w:val="18"/>
          <w:szCs w:val="18"/>
          <w:color w:val="auto"/>
        </w:rPr>
      </w:pPr>
    </w:p>
    <w:p>
      <w:pPr>
        <w:jc w:val="both"/>
        <w:ind w:left="880" w:right="20" w:hanging="8"/>
        <w:spacing w:after="0" w:line="251" w:lineRule="auto"/>
        <w:tabs>
          <w:tab w:leader="none" w:pos="114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4,721,200 shares held by Deerfield Private Design Fund IV, L.P., (d) 2,777,777 shares held by Deerfield Partners, L.P. and (e) 32,277 shares of common stock issuable upon the exercise of an equal number of options that are currently exercisable or will be exercisable within 60 days of March 30, 2023 held by Jonathan Leff for the benefit, and the direction, of Deerfield Management Company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31</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right="24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SECURITY OWNERSHIP OF CERTAIN BENEFICIAL OWNERS AND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-330200</wp:posOffset>
            </wp:positionV>
            <wp:extent cx="6995160" cy="316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89" w:lineRule="exact"/>
        <w:rPr>
          <w:sz w:val="20"/>
          <w:szCs w:val="20"/>
          <w:color w:val="auto"/>
        </w:rPr>
      </w:pPr>
    </w:p>
    <w:p>
      <w:pPr>
        <w:jc w:val="both"/>
        <w:ind w:left="880" w:right="20"/>
        <w:spacing w:after="0" w:line="255" w:lineRule="auto"/>
        <w:rPr>
          <w:sz w:val="20"/>
          <w:szCs w:val="20"/>
          <w:color w:val="auto"/>
        </w:rPr>
      </w:pPr>
      <w:r>
        <w:rPr>
          <w:rFonts w:ascii="Times New Roman" w:cs="Times New Roman" w:eastAsia="Times New Roman" w:hAnsi="Times New Roman"/>
          <w:sz w:val="18"/>
          <w:szCs w:val="18"/>
          <w:color w:val="auto"/>
        </w:rPr>
        <w:t>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3" w:lineRule="exact"/>
        <w:rPr>
          <w:sz w:val="20"/>
          <w:szCs w:val="20"/>
          <w:color w:val="auto"/>
        </w:rPr>
      </w:pPr>
    </w:p>
    <w:p>
      <w:pPr>
        <w:jc w:val="both"/>
        <w:ind w:left="880" w:hanging="548"/>
        <w:spacing w:after="0" w:line="239"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13, 2023 by CHI Advisors LLC reflecting information as of December 31, 2022, consists of 3,473,366 shares held by CHI Advisors LLC. Beneficial ownership reported does not include an aggregate of 628,403 shares of common stock that Cowen Healthcare Investments II LP, Cowen Healthcare Investments III, L.P., CHI EF II LP and CHI EF III LP (each, a “Warrant Holder”) have the right to acquire through Pre-Funded Warrants that were issued in the Private Placement, subject to the Ownership Cap (as defined below). Under the terms of the Pre-Funded Warrants, each Warrant Holder is prohibited from exercising such warrant if exercise would cause the number of shares then owned by the Warrant Holders and their affiliates to exceed 9.99% of the total number of shares of the Company’s common stock then outstanding (the “Ownership Cap”). Accordingly, the Warrant Holders and CHI Advisors LLC disclaim beneficial ownership of the shares of common stock issuable upon exercise of the Pre-Funded Warrant to the extent that upon such exercise the number of shares beneficially owned by the Warrant Holders and their affiliates, in the aggregate, would exceed the Ownership Cap. The business address for CHI Advisors LLC is 599 Lexington Avenue,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8" w:lineRule="exact"/>
        <w:rPr>
          <w:rFonts w:ascii="Times New Roman" w:cs="Times New Roman" w:eastAsia="Times New Roman" w:hAnsi="Times New Roman"/>
          <w:sz w:val="18"/>
          <w:szCs w:val="18"/>
          <w:color w:val="auto"/>
        </w:rPr>
      </w:pPr>
    </w:p>
    <w:p>
      <w:pPr>
        <w:jc w:val="both"/>
        <w:ind w:left="880" w:hanging="548"/>
        <w:spacing w:after="0" w:line="23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14, 2023 by Perceptive Advisors LLC, Joseph Edelman and Perceptive Life Sciences Master Fund, Ltd. (the “Master Fund”) reflecting information as of September 16, 2022, consists of 2,860,000 shares of common stock. Perceptive Advisors LLC, which serves as the investment manager to the Master Fund, and Mr. Edelman, the managing member of Perceptive Advisors LLC, may each be deemed to beneficially own the securities directly held by the Master Fund. The business address for each of Perceptive Advisors LLC, Joseph Edelman and Perceptive Life Sciences Master Fund, Ltd. Is 51 Astor Place,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10003.</w:t>
      </w:r>
    </w:p>
    <w:p>
      <w:pPr>
        <w:spacing w:after="0" w:line="4" w:lineRule="exact"/>
        <w:rPr>
          <w:rFonts w:ascii="Times New Roman" w:cs="Times New Roman" w:eastAsia="Times New Roman" w:hAnsi="Times New Roman"/>
          <w:sz w:val="18"/>
          <w:szCs w:val="18"/>
          <w:color w:val="auto"/>
        </w:rPr>
      </w:pPr>
    </w:p>
    <w:p>
      <w:pPr>
        <w:ind w:left="880" w:right="2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56,829 shares directly beneficially owned by Dr. Ben-Maimon and (ii) 618,874 shares of common stock issuable upon the exercise of an equal number of options that are currently exercisable or will be exercisable within 60 days of March 30, 2023.</w:t>
      </w:r>
    </w:p>
    <w:p>
      <w:pPr>
        <w:ind w:left="88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31,746 shares directly beneficially owned by Mr. Celano and (ii) 161,095 shares of common stock issuable upon the exercise of an equal number of options that are currently exercisable or will be exercisable within 60 days of March 30, 2023.</w:t>
      </w:r>
    </w:p>
    <w:p>
      <w:pPr>
        <w:jc w:val="both"/>
        <w:ind w:left="880" w:right="2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833 shares directly beneficially owned by Dr. Barrett, (ii) 44,724 shares of common stock issuable upon the exercise of an equal number of options that are currently exercisable or will be exercisable within 60 days of March 30, 2023 and (iii) 292,182 shares of common stock directly held by Atlas Venture Fund VII, L.P.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2" w:lineRule="exact"/>
        <w:rPr>
          <w:rFonts w:ascii="Times New Roman" w:cs="Times New Roman" w:eastAsia="Times New Roman" w:hAnsi="Times New Roman"/>
          <w:sz w:val="18"/>
          <w:szCs w:val="18"/>
          <w:color w:val="auto"/>
        </w:rPr>
      </w:pPr>
    </w:p>
    <w:p>
      <w:pPr>
        <w:ind w:left="880" w:right="2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40,511 shares of common stock issuable upon the exercise of an equal number of options that are currently exercisable or will be exercisable within 60 days of March 30, 2023.</w:t>
      </w:r>
    </w:p>
    <w:p>
      <w:pPr>
        <w:jc w:val="both"/>
        <w:ind w:left="88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Leff disclaims beneficial ownership of the shares referred to in footnote 1 above, including 32,277 shares of common stock issuable upon the exercise of an equal number of options that are currently exercisable or will be exercisable within 60 days of March 30, 2023 that Mr. Leff, our director, holds for the benefit, and the direction, of Deerfield Management Company.</w:t>
      </w:r>
    </w:p>
    <w:p>
      <w:pPr>
        <w:spacing w:after="0" w:line="1" w:lineRule="exact"/>
        <w:rPr>
          <w:rFonts w:ascii="Times New Roman" w:cs="Times New Roman" w:eastAsia="Times New Roman" w:hAnsi="Times New Roman"/>
          <w:sz w:val="18"/>
          <w:szCs w:val="18"/>
          <w:color w:val="auto"/>
        </w:rPr>
      </w:pPr>
    </w:p>
    <w:p>
      <w:pPr>
        <w:jc w:val="both"/>
        <w:ind w:left="880" w:right="2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450,880 shares directly beneficially owned by Thomas E. Hamilton, (ii) 32,277 shares of common stock issuable upon the exercise of an equal number of options that are currently exercisable or will be exercisable within 60 days of March 30, 2023 and (iii) 159,433 shares directly held by FA Life Sciences, Inc. Thomas E. Hamilton disclaims beneficial ownership of the shares held by FA Life Sciences, Inc.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880" w:right="20" w:hanging="548"/>
        <w:spacing w:after="0" w:line="25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32,277 shares of common stock issuable upon the exercise of an equal number of options that are currently exercisable or will be exercisable within 60 days of March 30, 2023.</w:t>
      </w:r>
    </w:p>
    <w:p>
      <w:pPr>
        <w:ind w:left="880" w:hanging="548"/>
        <w:spacing w:after="0" w:line="260"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966,851 shares of common stock and (ii) 929,758 shares of common stock issuable upon the exercise of an equal number of options that are currently exercisable or will be exercisable within 60 days of March 30, 2023.</w:t>
      </w:r>
    </w:p>
    <w:p>
      <w:pPr>
        <w:spacing w:after="0" w:line="1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32</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ELECTION OF CLASS III DIRECTORS FOR A THREE-YEAR TERM EXPIRING IN 2026</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three Class III director nominees named in this Proxy Statement as a director, each to serve until our 2026 Annual Meeting of Stockholders and until their respective successors are elected and qualified. Our Board has unanimously nominated Frank Thomas, Carole S. Ben-Maimon, M.D. and Joseph Truitt for election to our Board at the Annual Meeting.</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140335</wp:posOffset>
            </wp:positionV>
            <wp:extent cx="7012305" cy="608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608330"/>
                    </a:xfrm>
                    <a:prstGeom prst="rect">
                      <a:avLst/>
                    </a:prstGeom>
                    <a:noFill/>
                  </pic:spPr>
                </pic:pic>
              </a:graphicData>
            </a:graphic>
          </wp:anchor>
        </w:drawing>
      </w:r>
    </w:p>
    <w:p>
      <w:pPr>
        <w:spacing w:after="0" w:line="327" w:lineRule="exact"/>
        <w:rPr>
          <w:sz w:val="20"/>
          <w:szCs w:val="20"/>
          <w:color w:val="auto"/>
        </w:rPr>
      </w:pPr>
    </w:p>
    <w:p>
      <w:pPr>
        <w:jc w:val="center"/>
        <w:ind w:right="156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ELECTION OF FRANK THOMAS, CAROLE S. BEN-MAIMON, M.D. AND JOSEPH TRUITT.</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33</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OUR NAMED EXECUTIVE OFFICERS IN 2022</w:t>
      </w:r>
    </w:p>
    <w:p>
      <w:pPr>
        <w:spacing w:after="0" w:line="22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We are offering our stockholders an opportunity to cast an advisory vote to approve the compensation of our named executive officers,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named executive officers’ compensation. The vote is advisory, and, therefore, it is not binding on the Board, the Compensation Committee, or the Company. Nevertheless, the Compensation Committee will consider the outcome of the vote when considering future executive compensation decisions. We currently intend to conduct this advisory vote annually.</w:t>
      </w:r>
    </w:p>
    <w:p>
      <w:pPr>
        <w:spacing w:after="0" w:line="18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named executive officers to ensure they achieve the desired goals of aligning our executive compensation structure with our stockholders’ interests and current market practices.</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read the “2022 Summary Compensation Table” and other related compensation tables and narrative disclosures, which describe the 2022 compensation of our named executive officers.</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140335</wp:posOffset>
            </wp:positionV>
            <wp:extent cx="7012305" cy="6083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2305" cy="608330"/>
                    </a:xfrm>
                    <a:prstGeom prst="rect">
                      <a:avLst/>
                    </a:prstGeom>
                    <a:noFill/>
                  </pic:spPr>
                </pic:pic>
              </a:graphicData>
            </a:graphic>
          </wp:anchor>
        </w:drawing>
      </w:r>
    </w:p>
    <w:p>
      <w:pPr>
        <w:spacing w:after="0" w:line="327" w:lineRule="exact"/>
        <w:rPr>
          <w:sz w:val="20"/>
          <w:szCs w:val="20"/>
          <w:color w:val="auto"/>
        </w:rPr>
      </w:pPr>
    </w:p>
    <w:p>
      <w:pPr>
        <w:jc w:val="center"/>
        <w:ind w:right="150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ON AN ADVISORY BASIS, THE COMPENSATION OF OUR NAMED EXECUTIVE OFFICERS IN 2022 AT THE ANNUAL MEETING.</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34</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APPOINTMENT OF PRICEWATERHOUSECOOPERS LLP AS OUR INDEPENDENT REGISTERED PUBLIC ACCOUNTING FIRM FOR THE 2023 FISCAL YEAR</w:t>
      </w:r>
    </w:p>
    <w:p>
      <w:pPr>
        <w:spacing w:after="0" w:line="15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PwC to serve as our independent registered public accounting firm to audit the consolidated financial statements of the Company and our subsidiary for the 2023 fiscal year, and to perform audit-related services. PwC has served as our independent registered public accounting firm since 2020.</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PwC as our independent registered public accounting firm for the 2023 fiscal year.</w:t>
      </w:r>
    </w:p>
    <w:p>
      <w:pPr>
        <w:spacing w:after="0" w:line="16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131445</wp:posOffset>
            </wp:positionV>
            <wp:extent cx="7012305" cy="7454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2305" cy="745490"/>
                    </a:xfrm>
                    <a:prstGeom prst="rect">
                      <a:avLst/>
                    </a:prstGeom>
                    <a:noFill/>
                  </pic:spPr>
                </pic:pic>
              </a:graphicData>
            </a:graphic>
          </wp:anchor>
        </w:drawing>
      </w:r>
    </w:p>
    <w:p>
      <w:pPr>
        <w:spacing w:after="0" w:line="313" w:lineRule="exact"/>
        <w:rPr>
          <w:sz w:val="20"/>
          <w:szCs w:val="20"/>
          <w:color w:val="auto"/>
        </w:rPr>
      </w:pPr>
    </w:p>
    <w:p>
      <w:pPr>
        <w:jc w:val="center"/>
        <w:ind w:right="1600"/>
        <w:spacing w:after="0" w:line="262"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RATIFICATION OF PRICEWATERHOUSECOOPERS LLP AS INDEPENDENT REGISTERED PUBLIC ACCOUNTING FIRM FOR THE COMPANY FOR THE FISCAL YEAR ENDING DECEMBER 31, 2023.</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35</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229"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2024 Annual Meeting of Stockholders must submit a proposal that is received at our principal executive offices no later than December 13, 2023, which is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we released this Proxy Statement to our stockholders for the 2023 Annual Meeting of Stockholders. If we change the date of the 2024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w:t>
      </w:r>
    </w:p>
    <w:p>
      <w:pPr>
        <w:spacing w:after="0" w:line="197"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17"/>
          <w:szCs w:val="17"/>
          <w:color w:val="auto"/>
        </w:rPr>
        <w:t>Stockholders intending to present a proposal or nominate a director for election at our 2024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and no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Accordingly, for our 2024 Annual Meeting of Stockholders, our Secretary must receive the proposal or nomination no earlier than January 10, 2024 and no later than the close of business on February 9, 2024. However, if we change the date of the 2024 Annual Meeting of Stockholders by more than 30 days before or 60 days after the anniversary of this year’s Annual Meeting, stockholder proposals must be received no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9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36</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OTHER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solicitations for periodical or other subscriptions, and other similar communications generally will not be forwarded to the directors.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Stockholders who share a single address may receive only one copy of this Proxy Statement and the 2022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Our 2022 Annual Report, including the consolidated financial statements, has been filed with the SEC and provides additional information about us, which is incorporated by reference herein. It is available on the Internet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cs="Times New Roman" w:eastAsia="Times New Roman" w:hAnsi="Times New Roman"/>
          <w:sz w:val="18"/>
          <w:szCs w:val="18"/>
          <w:u w:val="single" w:color="auto"/>
          <w:color w:val="2B7CF4"/>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B7CF4"/>
        </w:rPr>
        <w:t>http://www.envisionreports.com/LRMR</w:t>
      </w:r>
      <w:r>
        <w:rPr>
          <w:rFonts w:ascii="Times New Roman" w:cs="Times New Roman" w:eastAsia="Times New Roman" w:hAnsi="Times New Roman"/>
          <w:sz w:val="18"/>
          <w:szCs w:val="18"/>
          <w:color w:val="000000"/>
        </w:rPr>
        <w: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2023 Proxy Statement | 37</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2023-04-11T15:14:03Z</dcterms:created>
  <dcterms:modified xsi:type="dcterms:W3CDTF">2023-04-11T15:14:03Z</dcterms:modified>
</cp:coreProperties>
</file>