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tbl>
      <w:tblPr>
        <w:tblLayout w:type="fixed"/>
        <w:tblInd w:w="120" w:type="dxa"/>
        <w:tblCellMar>
          <w:top w:w="0" w:type="dxa"/>
          <w:left w:w="0" w:type="dxa"/>
          <w:bottom w:w="0" w:type="dxa"/>
          <w:right w:w="0" w:type="dxa"/>
        </w:tblCellMar>
      </w:tblPr>
      <w:tr>
        <w:trPr>
          <w:trHeight w:val="368"/>
        </w:trPr>
        <w:tc>
          <w:tcPr>
            <w:tcW w:w="1880" w:type="dxa"/>
            <w:vAlign w:val="bottom"/>
          </w:tcPr>
          <w:p>
            <w:pPr>
              <w:spacing w:after="0"/>
              <w:rPr>
                <w:sz w:val="24"/>
                <w:szCs w:val="24"/>
                <w:color w:val="auto"/>
              </w:rPr>
            </w:pPr>
          </w:p>
        </w:tc>
        <w:tc>
          <w:tcPr>
            <w:tcW w:w="7120" w:type="dxa"/>
            <w:vAlign w:val="bottom"/>
            <w:gridSpan w:val="3"/>
          </w:tcPr>
          <w:p>
            <w:pPr>
              <w:jc w:val="center"/>
              <w:ind w:left="10"/>
              <w:spacing w:after="0"/>
              <w:rPr>
                <w:sz w:val="20"/>
                <w:szCs w:val="20"/>
                <w:color w:val="auto"/>
              </w:rPr>
            </w:pPr>
            <w:r>
              <w:rPr>
                <w:rFonts w:ascii="Times New Roman" w:cs="Times New Roman" w:eastAsia="Times New Roman" w:hAnsi="Times New Roman"/>
                <w:sz w:val="32"/>
                <w:szCs w:val="32"/>
                <w:b w:val="1"/>
                <w:bCs w:val="1"/>
                <w:color w:val="auto"/>
                <w:w w:val="99"/>
              </w:rPr>
              <w:t>UNITED STATES</w:t>
            </w:r>
          </w:p>
        </w:tc>
        <w:tc>
          <w:tcPr>
            <w:tcW w:w="0" w:type="dxa"/>
            <w:vAlign w:val="bottom"/>
          </w:tcPr>
          <w:p>
            <w:pPr>
              <w:spacing w:after="0"/>
              <w:rPr>
                <w:sz w:val="1"/>
                <w:szCs w:val="1"/>
                <w:color w:val="auto"/>
              </w:rPr>
            </w:pPr>
          </w:p>
        </w:tc>
      </w:tr>
      <w:tr>
        <w:trPr>
          <w:trHeight w:val="380"/>
        </w:trPr>
        <w:tc>
          <w:tcPr>
            <w:tcW w:w="1880" w:type="dxa"/>
            <w:vAlign w:val="bottom"/>
          </w:tcPr>
          <w:p>
            <w:pPr>
              <w:spacing w:after="0"/>
              <w:rPr>
                <w:sz w:val="24"/>
                <w:szCs w:val="24"/>
                <w:color w:val="auto"/>
              </w:rPr>
            </w:pPr>
          </w:p>
        </w:tc>
        <w:tc>
          <w:tcPr>
            <w:tcW w:w="7120" w:type="dxa"/>
            <w:vAlign w:val="bottom"/>
            <w:gridSpan w:val="3"/>
          </w:tcPr>
          <w:p>
            <w:pPr>
              <w:jc w:val="center"/>
              <w:ind w:left="1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tc>
        <w:tc>
          <w:tcPr>
            <w:tcW w:w="0" w:type="dxa"/>
            <w:vAlign w:val="bottom"/>
          </w:tcPr>
          <w:p>
            <w:pPr>
              <w:spacing w:after="0"/>
              <w:rPr>
                <w:sz w:val="1"/>
                <w:szCs w:val="1"/>
                <w:color w:val="auto"/>
              </w:rPr>
            </w:pPr>
          </w:p>
        </w:tc>
      </w:tr>
      <w:tr>
        <w:trPr>
          <w:trHeight w:val="281"/>
        </w:trPr>
        <w:tc>
          <w:tcPr>
            <w:tcW w:w="1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80" w:type="dxa"/>
            <w:vAlign w:val="bottom"/>
            <w:gridSpan w:val="2"/>
          </w:tcPr>
          <w:p>
            <w:pPr>
              <w:jc w:val="center"/>
              <w:ind w:right="2300"/>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c>
          <w:tcPr>
            <w:tcW w:w="0" w:type="dxa"/>
            <w:vAlign w:val="bottom"/>
          </w:tcPr>
          <w:p>
            <w:pPr>
              <w:spacing w:after="0"/>
              <w:rPr>
                <w:sz w:val="1"/>
                <w:szCs w:val="1"/>
                <w:color w:val="auto"/>
              </w:rPr>
            </w:pPr>
          </w:p>
        </w:tc>
      </w:tr>
      <w:tr>
        <w:trPr>
          <w:trHeight w:val="429"/>
        </w:trPr>
        <w:tc>
          <w:tcPr>
            <w:tcW w:w="1880" w:type="dxa"/>
            <w:vAlign w:val="bottom"/>
          </w:tcPr>
          <w:p>
            <w:pPr>
              <w:spacing w:after="0"/>
              <w:rPr>
                <w:sz w:val="24"/>
                <w:szCs w:val="24"/>
                <w:color w:val="auto"/>
              </w:rPr>
            </w:pPr>
          </w:p>
        </w:tc>
        <w:tc>
          <w:tcPr>
            <w:tcW w:w="7120" w:type="dxa"/>
            <w:vAlign w:val="bottom"/>
            <w:gridSpan w:val="3"/>
          </w:tcPr>
          <w:p>
            <w:pPr>
              <w:jc w:val="center"/>
              <w:ind w:left="10"/>
              <w:spacing w:after="0"/>
              <w:rPr>
                <w:sz w:val="20"/>
                <w:szCs w:val="20"/>
                <w:color w:val="auto"/>
              </w:rPr>
            </w:pPr>
            <w:r>
              <w:rPr>
                <w:rFonts w:ascii="Times New Roman" w:cs="Times New Roman" w:eastAsia="Times New Roman" w:hAnsi="Times New Roman"/>
                <w:sz w:val="32"/>
                <w:szCs w:val="32"/>
                <w:b w:val="1"/>
                <w:bCs w:val="1"/>
                <w:color w:val="auto"/>
              </w:rPr>
              <w:t>SCHEDULE 14A</w:t>
            </w:r>
          </w:p>
        </w:tc>
        <w:tc>
          <w:tcPr>
            <w:tcW w:w="0" w:type="dxa"/>
            <w:vAlign w:val="bottom"/>
          </w:tcPr>
          <w:p>
            <w:pPr>
              <w:spacing w:after="0"/>
              <w:rPr>
                <w:sz w:val="1"/>
                <w:szCs w:val="1"/>
                <w:color w:val="auto"/>
              </w:rPr>
            </w:pPr>
          </w:p>
        </w:tc>
      </w:tr>
      <w:tr>
        <w:trPr>
          <w:trHeight w:val="249"/>
        </w:trPr>
        <w:tc>
          <w:tcPr>
            <w:tcW w:w="1880" w:type="dxa"/>
            <w:vAlign w:val="bottom"/>
          </w:tcPr>
          <w:p>
            <w:pPr>
              <w:spacing w:after="0"/>
              <w:rPr>
                <w:sz w:val="21"/>
                <w:szCs w:val="21"/>
                <w:color w:val="auto"/>
              </w:rPr>
            </w:pPr>
          </w:p>
        </w:tc>
        <w:tc>
          <w:tcPr>
            <w:tcW w:w="7120" w:type="dxa"/>
            <w:vAlign w:val="bottom"/>
            <w:gridSpan w:val="3"/>
          </w:tcPr>
          <w:p>
            <w:pPr>
              <w:jc w:val="center"/>
              <w:ind w:left="10"/>
              <w:spacing w:after="0" w:line="248" w:lineRule="exact"/>
              <w:rPr>
                <w:sz w:val="20"/>
                <w:szCs w:val="20"/>
                <w:color w:val="auto"/>
              </w:rPr>
            </w:pPr>
            <w:r>
              <w:rPr>
                <w:rFonts w:ascii="Times New Roman" w:cs="Times New Roman" w:eastAsia="Times New Roman" w:hAnsi="Times New Roman"/>
                <w:sz w:val="22"/>
                <w:szCs w:val="22"/>
                <w:b w:val="1"/>
                <w:bCs w:val="1"/>
                <w:color w:val="auto"/>
                <w:w w:val="98"/>
              </w:rPr>
              <w:t>Proxy Statement Pursuant to Section 14(a) of the</w:t>
            </w:r>
          </w:p>
        </w:tc>
        <w:tc>
          <w:tcPr>
            <w:tcW w:w="0" w:type="dxa"/>
            <w:vAlign w:val="bottom"/>
          </w:tcPr>
          <w:p>
            <w:pPr>
              <w:spacing w:after="0"/>
              <w:rPr>
                <w:sz w:val="1"/>
                <w:szCs w:val="1"/>
                <w:color w:val="auto"/>
              </w:rPr>
            </w:pPr>
          </w:p>
        </w:tc>
      </w:tr>
      <w:tr>
        <w:trPr>
          <w:trHeight w:val="286"/>
        </w:trPr>
        <w:tc>
          <w:tcPr>
            <w:tcW w:w="1880" w:type="dxa"/>
            <w:vAlign w:val="bottom"/>
          </w:tcPr>
          <w:p>
            <w:pPr>
              <w:spacing w:after="0"/>
              <w:rPr>
                <w:sz w:val="24"/>
                <w:szCs w:val="24"/>
                <w:color w:val="auto"/>
              </w:rPr>
            </w:pPr>
          </w:p>
        </w:tc>
        <w:tc>
          <w:tcPr>
            <w:tcW w:w="712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 Exchange Act of 1934</w:t>
            </w:r>
          </w:p>
        </w:tc>
        <w:tc>
          <w:tcPr>
            <w:tcW w:w="0" w:type="dxa"/>
            <w:vAlign w:val="bottom"/>
          </w:tcPr>
          <w:p>
            <w:pPr>
              <w:spacing w:after="0"/>
              <w:rPr>
                <w:sz w:val="1"/>
                <w:szCs w:val="1"/>
                <w:color w:val="auto"/>
              </w:rPr>
            </w:pPr>
          </w:p>
        </w:tc>
      </w:tr>
      <w:tr>
        <w:trPr>
          <w:trHeight w:val="150"/>
        </w:trPr>
        <w:tc>
          <w:tcPr>
            <w:tcW w:w="18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tc>
        <w:tc>
          <w:tcPr>
            <w:tcW w:w="2440" w:type="dxa"/>
            <w:vAlign w:val="bottom"/>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1880" w:type="dxa"/>
            <w:vAlign w:val="bottom"/>
            <w:vMerge w:val="continue"/>
          </w:tcPr>
          <w:p>
            <w:pPr>
              <w:spacing w:after="0"/>
              <w:rPr>
                <w:sz w:val="22"/>
                <w:szCs w:val="22"/>
                <w:color w:val="auto"/>
              </w:rPr>
            </w:pPr>
          </w:p>
        </w:tc>
        <w:tc>
          <w:tcPr>
            <w:tcW w:w="7120" w:type="dxa"/>
            <w:vAlign w:val="bottom"/>
            <w:gridSpan w:val="3"/>
          </w:tcPr>
          <w:p>
            <w:pPr>
              <w:ind w:left="1000"/>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Check the appropriate box:</w:t>
            </w:r>
          </w:p>
        </w:tc>
        <w:tc>
          <w:tcPr>
            <w:tcW w:w="2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70"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48" w:lineRule="exact"/>
        <w:rPr>
          <w:rFonts w:ascii="MS PGothic" w:cs="MS PGothic" w:eastAsia="MS PGothic" w:hAnsi="MS PGothic"/>
          <w:sz w:val="16"/>
          <w:szCs w:val="16"/>
          <w:color w:val="auto"/>
        </w:rPr>
      </w:pPr>
    </w:p>
    <w:p>
      <w:pPr>
        <w:ind w:left="12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Definitive Proxy Statement</w:t>
      </w:r>
    </w:p>
    <w:p>
      <w:pPr>
        <w:spacing w:after="0" w:line="98"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72"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174625</wp:posOffset>
            </wp:positionV>
            <wp:extent cx="176593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0"/>
          <w:szCs w:val="40"/>
          <w:b w:val="1"/>
          <w:bCs w:val="1"/>
          <w:color w:val="auto"/>
        </w:rPr>
        <w:t>Larimar Therapeutics, Inc.</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5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40"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86"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208915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208280</wp:posOffset>
            </wp:positionV>
            <wp:extent cx="1765935" cy="659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59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Bala Cynwyd, PA 19004</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2022 ANNUAL MEETING OF STOCKHOLDERS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To be Held on May 10,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12,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are pleased to invite you to attend the 2022 Annual Meeting of Stockholders of Larimar Therapeutics, Inc. (the “Annual Meeting”), which will be held at 9:30 a.m., Eastern Time, on Tuesday, May 10, 2022. The Annual Meeting will be held in a virtual meeting format only. You will not be able to attend the Annual Meeting physically. We believe that the virtual meeting format enables stockholders to attend and participate from any location around the world at no cost, provides for cost savings to Larimar Therapeutics, Inc. (the “Company”) and our stockholders and reduces the environmental impact of our Annual Meeting. The Annual Meeting can be accessed via the Internet at: </w:t>
      </w:r>
      <w:r>
        <w:rPr>
          <w:rFonts w:ascii="Times New Roman" w:cs="Times New Roman" w:eastAsia="Times New Roman" w:hAnsi="Times New Roman"/>
          <w:sz w:val="18"/>
          <w:szCs w:val="18"/>
          <w:u w:val="single" w:color="auto"/>
          <w:color w:val="auto"/>
        </w:rPr>
        <w:t>meetnow.global/MYGPWRJ</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Details regarding the business to be conducted at the Annual Meeting are more fully described in the accompanying Notice of 2022 Annual Meeting of Stockholders (the “Notice”) and 2022 Annual Meeting Proxy Statement (the “Proxy Statement”). Other than the proposals described in the Proxy Statement, the Board of Directors is not aware of any other matters to be presented for a vote at the Annual Meeting.</w:t>
      </w:r>
    </w:p>
    <w:p>
      <w:pPr>
        <w:spacing w:after="0" w:line="172"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plan to virtually attend the Annual Meeting, we encourage you to vote as soon as possible to ensure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your shares are represented. Information about voting methods is set forth in the accompanying Notice and Proxy Statement.</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have any questions with respect to voting, please call our Chief Financial Officer and Secretary, Michael Celano, at 484-414-2715.</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Thank you for your continued confidence in our Company. We look forward to your participation at the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266065</wp:posOffset>
            </wp:positionV>
            <wp:extent cx="968375" cy="282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8375" cy="28257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171450</wp:posOffset>
            </wp:positionV>
            <wp:extent cx="171450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Joseph Truitt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Carole S. Ben-Maimon, M.D.</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Chairperson of the Board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President and Chief Executive Officer</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THIS PROXY STATEMENT AND ENCLOSED PROXY CARD ARE</w:t>
      </w:r>
    </w:p>
    <w:p>
      <w:pPr>
        <w:spacing w:after="0" w:line="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FIRST BEING MAILED ON OR ABOUT APRIL 12, 2022.</w:t>
      </w:r>
    </w:p>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208280</wp:posOffset>
            </wp:positionV>
            <wp:extent cx="1765935" cy="65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59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10, 2022</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3"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2022 Annual Meeting of Stockholders of Larimar Therapeutics, Inc. (the “Annual Meeting”) will be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Tuesday, May 10, 2022, at 9:30 a.m. Eastern Time. The safety of our stockholders is important to us and given the continuing public health concerns regarding the ongoing and evolving COVID-19 pandemic, the Annual Meeting will again be held in a virtual meeting format only. We are holding the meeting for the purpose of considering and acting upon:</w:t>
      </w:r>
    </w:p>
    <w:p>
      <w:pPr>
        <w:spacing w:after="0" w:line="86" w:lineRule="exact"/>
        <w:rPr>
          <w:sz w:val="20"/>
          <w:szCs w:val="20"/>
          <w:color w:val="auto"/>
        </w:rPr>
      </w:pPr>
    </w:p>
    <w:p>
      <w:pPr>
        <w:ind w:left="1080" w:right="16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director nominee set forth in the attached 2022 Annual Meeting Proxy Statement (the “Proxy Statement”) to serve as a Class II director, whose term will expire in 2025;</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compensation of our named executive officers in 2021;</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(“PwC”) as our independent registered public accounting firm for the 2022 fiscal year;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that may properly be brought before the Annual Meeting or any adjournment or postponement thereof.</w:t>
      </w:r>
    </w:p>
    <w:p>
      <w:pPr>
        <w:spacing w:after="0" w:line="225"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2022 Annual Meeting of Stockholders (the “Notice”).</w:t>
      </w:r>
    </w:p>
    <w:p>
      <w:pPr>
        <w:spacing w:after="0" w:line="374" w:lineRule="exact"/>
        <w:rPr>
          <w:sz w:val="20"/>
          <w:szCs w:val="20"/>
          <w:color w:val="auto"/>
        </w:rPr>
      </w:pPr>
    </w:p>
    <w:tbl>
      <w:tblPr>
        <w:tblLayout w:type="fixed"/>
        <w:tblInd w:w="146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672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MEETING INFORMATION</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67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May 10, 2022</w:t>
            </w:r>
          </w:p>
        </w:tc>
      </w:tr>
      <w:tr>
        <w:trPr>
          <w:trHeight w:val="432"/>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67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9:30 a.m.</w:t>
            </w:r>
          </w:p>
        </w:tc>
      </w:tr>
      <w:tr>
        <w:trPr>
          <w:trHeight w:val="391"/>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Website Address:</w:t>
            </w:r>
          </w:p>
        </w:tc>
        <w:tc>
          <w:tcPr>
            <w:tcW w:w="67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The meeting can be accessed by visiting meetnow.global/MYGPWRJ where you</w:t>
            </w:r>
          </w:p>
        </w:tc>
      </w:tr>
      <w:tr>
        <w:trPr>
          <w:trHeight w:val="20"/>
        </w:trPr>
        <w:tc>
          <w:tcPr>
            <w:tcW w:w="2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2180" w:type="dxa"/>
            <w:vAlign w:val="bottom"/>
          </w:tcPr>
          <w:p>
            <w:pPr>
              <w:spacing w:after="0"/>
              <w:rPr>
                <w:sz w:val="18"/>
                <w:szCs w:val="18"/>
                <w:color w:val="auto"/>
              </w:rPr>
            </w:pPr>
          </w:p>
        </w:tc>
        <w:tc>
          <w:tcPr>
            <w:tcW w:w="67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will be able to listen to the meeting live, submit questions and vote online. There</w:t>
            </w:r>
          </w:p>
        </w:tc>
      </w:tr>
      <w:tr>
        <w:trPr>
          <w:trHeight w:val="234"/>
        </w:trPr>
        <w:tc>
          <w:tcPr>
            <w:tcW w:w="2180" w:type="dxa"/>
            <w:vAlign w:val="bottom"/>
          </w:tcPr>
          <w:p>
            <w:pPr>
              <w:spacing w:after="0"/>
              <w:rPr>
                <w:sz w:val="20"/>
                <w:szCs w:val="20"/>
                <w:color w:val="auto"/>
              </w:rPr>
            </w:pPr>
          </w:p>
        </w:tc>
        <w:tc>
          <w:tcPr>
            <w:tcW w:w="67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will be no physical location for stockholders to attend.</w:t>
            </w:r>
          </w:p>
        </w:tc>
      </w:tr>
      <w:tr>
        <w:trPr>
          <w:trHeight w:val="432"/>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67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Monday, April 4, 2022</w:t>
            </w:r>
          </w:p>
        </w:tc>
      </w:tr>
    </w:tbl>
    <w:p>
      <w:pPr>
        <w:spacing w:after="0" w:line="194"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vote matters</w:t>
      </w:r>
      <w:r>
        <w:rPr>
          <w:rFonts w:ascii="Times New Roman" w:cs="Times New Roman" w:eastAsia="Times New Roman" w:hAnsi="Times New Roman"/>
          <w:sz w:val="18"/>
          <w:szCs w:val="18"/>
          <w:i w:val="1"/>
          <w:iCs w:val="1"/>
          <w:color w:val="auto"/>
        </w:rPr>
        <w:t>. Whether or not you plan to virtually attend the Annual Meeting, please ensure that your shares are represented by voting, signing,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dating, and returning your proxy in the enclosed envelope, which requires no postage if mailed in the United States.</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Thank you for your ongoing support of and interest in Larimar Therapeutics, Inc.</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171450</wp:posOffset>
            </wp:positionV>
            <wp:extent cx="171450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Michael Celano</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April 12, 2022</w:t>
      </w:r>
    </w:p>
    <w:p>
      <w:pPr>
        <w:spacing w:after="0" w:line="20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AVAILABILITY OF PROXY MATERIALS. This Proxy Statement and the proxy card are being mailed to our stockholders on or about April 12, 2022. In accordance with the rules of the Securities and Exchange Commission,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Annual Report on Form 10-K for the fiscal year ended December 31, 2021 are available to beneficial holders of our common stock at </w:t>
      </w:r>
      <w:r>
        <w:rPr>
          <w:rFonts w:ascii="Times New Roman" w:cs="Times New Roman" w:eastAsia="Times New Roman" w:hAnsi="Times New Roman"/>
          <w:sz w:val="18"/>
          <w:szCs w:val="18"/>
          <w:b w:val="1"/>
          <w:bCs w:val="1"/>
          <w:u w:val="single" w:color="auto"/>
          <w:color w:val="auto"/>
        </w:rPr>
        <w:t>http://www.edocumentview.com/LRMR</w:t>
      </w:r>
      <w:r>
        <w:rPr>
          <w:rFonts w:ascii="Times New Roman" w:cs="Times New Roman" w:eastAsia="Times New Roman" w:hAnsi="Times New Roman"/>
          <w:sz w:val="18"/>
          <w:szCs w:val="18"/>
          <w:b w:val="1"/>
          <w:bCs w:val="1"/>
          <w:color w:val="auto"/>
        </w:rPr>
        <w:t xml:space="preserve"> and to record holders of our common stock at </w:t>
      </w:r>
      <w:r>
        <w:rPr>
          <w:rFonts w:ascii="Times New Roman" w:cs="Times New Roman" w:eastAsia="Times New Roman" w:hAnsi="Times New Roman"/>
          <w:sz w:val="18"/>
          <w:szCs w:val="18"/>
          <w:b w:val="1"/>
          <w:bCs w:val="1"/>
          <w:u w:val="single" w:color="auto"/>
          <w:color w:val="auto"/>
        </w:rPr>
        <w:t>http://www.envisionreports.com/LRMR</w:t>
      </w:r>
      <w:r>
        <w:rPr>
          <w:rFonts w:ascii="Times New Roman" w:cs="Times New Roman" w:eastAsia="Times New Roman" w:hAnsi="Times New Roman"/>
          <w:sz w:val="18"/>
          <w:szCs w:val="18"/>
          <w:b w:val="1"/>
          <w:bCs w:val="1"/>
          <w:color w:val="auto"/>
        </w:rPr>
        <w:t>.</w:t>
      </w:r>
    </w:p>
    <w:p>
      <w:pPr>
        <w:sectPr>
          <w:pgSz w:w="11900" w:h="16838" w:orient="portrait"/>
          <w:cols w:equalWidth="0" w:num="1">
            <w:col w:w="11020"/>
          </w:cols>
          <w:pgMar w:left="320" w:top="455" w:right="5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SUMMARY INFORMATION</w:t>
      </w:r>
    </w:p>
    <w:p>
      <w:pPr>
        <w:spacing w:after="0" w:line="21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4DC1E4"/>
        </w:rPr>
        <w:t>To assist you in reviewing this year’s proposals, we call your attention to the following proxy summary. This summary highlights information contained elsewhere in this Proxy Statement and our Annual Report on Form 10-K for the fiscal year ended December 31, 2021 (the “2021 Annual Report”). This summary does not contain all of the information you should consider, and we encourage you to read this Proxy Statement and the 2021 Annual Report carefully before voting.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Annual Meeting of Stockholders</w:t>
      </w:r>
    </w:p>
    <w:p>
      <w:pPr>
        <w:spacing w:after="0" w:line="254" w:lineRule="exact"/>
        <w:rPr>
          <w:sz w:val="20"/>
          <w:szCs w:val="20"/>
          <w:color w:val="auto"/>
        </w:rPr>
      </w:pPr>
    </w:p>
    <w:tbl>
      <w:tblPr>
        <w:tblLayout w:type="fixed"/>
        <w:tblInd w:w="130" w:type="dxa"/>
        <w:tblCellMar>
          <w:top w:w="0" w:type="dxa"/>
          <w:left w:w="0" w:type="dxa"/>
          <w:bottom w:w="0" w:type="dxa"/>
          <w:right w:w="0" w:type="dxa"/>
        </w:tblCellMar>
      </w:tblPr>
      <w:tr>
        <w:trPr>
          <w:trHeight w:val="264"/>
        </w:trPr>
        <w:tc>
          <w:tcPr>
            <w:tcW w:w="4700" w:type="dxa"/>
            <w:vAlign w:val="bottom"/>
            <w:tcBorders>
              <w:top w:val="single" w:sz="8" w:color="auto"/>
              <w:left w:val="single" w:sz="8" w:color="auto"/>
              <w:bottom w:val="single" w:sz="8" w:color="auto"/>
              <w:right w:val="single" w:sz="8" w:color="auto"/>
            </w:tcBorders>
            <w:shd w:val="clear" w:color="auto" w:fill="4DC1E4"/>
          </w:tcPr>
          <w:p>
            <w:pPr>
              <w:ind w:left="160"/>
              <w:spacing w:after="0"/>
              <w:rPr>
                <w:sz w:val="20"/>
                <w:szCs w:val="20"/>
                <w:color w:val="auto"/>
              </w:rPr>
            </w:pPr>
            <w:r>
              <w:rPr>
                <w:rFonts w:ascii="Times New Roman" w:cs="Times New Roman" w:eastAsia="Times New Roman" w:hAnsi="Times New Roman"/>
                <w:sz w:val="14"/>
                <w:szCs w:val="14"/>
                <w:b w:val="1"/>
                <w:bCs w:val="1"/>
                <w:color w:val="FFFFFF"/>
              </w:rPr>
              <w:t>T</w:t>
            </w:r>
            <w:r>
              <w:rPr>
                <w:rFonts w:ascii="Times New Roman" w:cs="Times New Roman" w:eastAsia="Times New Roman" w:hAnsi="Times New Roman"/>
                <w:sz w:val="11"/>
                <w:szCs w:val="11"/>
                <w:b w:val="1"/>
                <w:bCs w:val="1"/>
                <w:color w:val="FFFFFF"/>
              </w:rPr>
              <w:t>IME</w:t>
            </w:r>
            <w:r>
              <w:rPr>
                <w:rFonts w:ascii="Times New Roman" w:cs="Times New Roman" w:eastAsia="Times New Roman" w:hAnsi="Times New Roman"/>
                <w:sz w:val="14"/>
                <w:szCs w:val="14"/>
                <w:b w:val="1"/>
                <w:bCs w:val="1"/>
                <w:color w:val="FFFFFF"/>
              </w:rPr>
              <w:t xml:space="preserve"> A</w:t>
            </w:r>
            <w:r>
              <w:rPr>
                <w:rFonts w:ascii="Times New Roman" w:cs="Times New Roman" w:eastAsia="Times New Roman" w:hAnsi="Times New Roman"/>
                <w:sz w:val="11"/>
                <w:szCs w:val="11"/>
                <w:b w:val="1"/>
                <w:bCs w:val="1"/>
                <w:color w:val="FFFFFF"/>
              </w:rPr>
              <w:t>ND</w:t>
            </w:r>
            <w:r>
              <w:rPr>
                <w:rFonts w:ascii="Times New Roman" w:cs="Times New Roman" w:eastAsia="Times New Roman" w:hAnsi="Times New Roman"/>
                <w:sz w:val="14"/>
                <w:szCs w:val="14"/>
                <w:b w:val="1"/>
                <w:bCs w:val="1"/>
                <w:color w:val="FFFFFF"/>
              </w:rPr>
              <w:t xml:space="preserve"> D</w:t>
            </w:r>
            <w:r>
              <w:rPr>
                <w:rFonts w:ascii="Times New Roman" w:cs="Times New Roman" w:eastAsia="Times New Roman" w:hAnsi="Times New Roman"/>
                <w:sz w:val="11"/>
                <w:szCs w:val="11"/>
                <w:b w:val="1"/>
                <w:bCs w:val="1"/>
                <w:color w:val="FFFFFF"/>
              </w:rPr>
              <w:t>ATE</w:t>
            </w:r>
          </w:p>
        </w:tc>
        <w:tc>
          <w:tcPr>
            <w:tcW w:w="1440" w:type="dxa"/>
            <w:vAlign w:val="bottom"/>
            <w:tcBorders>
              <w:top w:val="single" w:sz="8" w:color="auto"/>
              <w:bottom w:val="single" w:sz="8" w:color="auto"/>
              <w:right w:val="single" w:sz="8" w:color="auto"/>
            </w:tcBorders>
            <w:shd w:val="clear" w:color="auto" w:fill="4DC1E4"/>
          </w:tcPr>
          <w:p>
            <w:pPr>
              <w:ind w:left="280"/>
              <w:spacing w:after="0"/>
              <w:rPr>
                <w:sz w:val="20"/>
                <w:szCs w:val="20"/>
                <w:color w:val="auto"/>
              </w:rPr>
            </w:pPr>
            <w:r>
              <w:rPr>
                <w:rFonts w:ascii="Times New Roman" w:cs="Times New Roman" w:eastAsia="Times New Roman" w:hAnsi="Times New Roman"/>
                <w:sz w:val="14"/>
                <w:szCs w:val="14"/>
                <w:b w:val="1"/>
                <w:bCs w:val="1"/>
                <w:color w:val="FFFFFF"/>
              </w:rPr>
              <w:t>R</w:t>
            </w:r>
            <w:r>
              <w:rPr>
                <w:rFonts w:ascii="Times New Roman" w:cs="Times New Roman" w:eastAsia="Times New Roman" w:hAnsi="Times New Roman"/>
                <w:sz w:val="11"/>
                <w:szCs w:val="11"/>
                <w:b w:val="1"/>
                <w:bCs w:val="1"/>
                <w:color w:val="FFFFFF"/>
              </w:rPr>
              <w:t>ECORD</w:t>
            </w:r>
            <w:r>
              <w:rPr>
                <w:rFonts w:ascii="Times New Roman" w:cs="Times New Roman" w:eastAsia="Times New Roman" w:hAnsi="Times New Roman"/>
                <w:sz w:val="14"/>
                <w:szCs w:val="14"/>
                <w:b w:val="1"/>
                <w:bCs w:val="1"/>
                <w:color w:val="FFFFFF"/>
              </w:rPr>
              <w:t xml:space="preserve"> D</w:t>
            </w:r>
            <w:r>
              <w:rPr>
                <w:rFonts w:ascii="Times New Roman" w:cs="Times New Roman" w:eastAsia="Times New Roman" w:hAnsi="Times New Roman"/>
                <w:sz w:val="11"/>
                <w:szCs w:val="11"/>
                <w:b w:val="1"/>
                <w:bCs w:val="1"/>
                <w:color w:val="FFFFFF"/>
              </w:rPr>
              <w:t>ATE</w:t>
            </w:r>
          </w:p>
        </w:tc>
        <w:tc>
          <w:tcPr>
            <w:tcW w:w="180" w:type="dxa"/>
            <w:vAlign w:val="bottom"/>
            <w:tcBorders>
              <w:top w:val="single" w:sz="8" w:color="auto"/>
              <w:bottom w:val="single" w:sz="8" w:color="auto"/>
            </w:tcBorders>
            <w:shd w:val="clear" w:color="auto" w:fill="4DC1E4"/>
          </w:tcPr>
          <w:p>
            <w:pPr>
              <w:spacing w:after="0"/>
              <w:rPr>
                <w:sz w:val="22"/>
                <w:szCs w:val="22"/>
                <w:color w:val="auto"/>
              </w:rPr>
            </w:pPr>
          </w:p>
        </w:tc>
        <w:tc>
          <w:tcPr>
            <w:tcW w:w="880" w:type="dxa"/>
            <w:vAlign w:val="bottom"/>
            <w:tcBorders>
              <w:top w:val="single" w:sz="8" w:color="auto"/>
              <w:bottom w:val="single" w:sz="8" w:color="auto"/>
              <w:right w:val="single" w:sz="8" w:color="4DC1E4"/>
            </w:tcBorders>
            <w:shd w:val="clear" w:color="auto" w:fill="4DC1E4"/>
          </w:tcPr>
          <w:p>
            <w:pPr>
              <w:spacing w:after="0"/>
              <w:rPr>
                <w:sz w:val="22"/>
                <w:szCs w:val="22"/>
                <w:color w:val="auto"/>
              </w:rPr>
            </w:pPr>
          </w:p>
        </w:tc>
        <w:tc>
          <w:tcPr>
            <w:tcW w:w="3720" w:type="dxa"/>
            <w:vAlign w:val="bottom"/>
            <w:tcBorders>
              <w:top w:val="single" w:sz="8" w:color="auto"/>
              <w:bottom w:val="single" w:sz="8" w:color="auto"/>
              <w:right w:val="single" w:sz="8" w:color="auto"/>
            </w:tcBorders>
            <w:gridSpan w:val="3"/>
            <w:shd w:val="clear" w:color="auto" w:fill="4DC1E4"/>
          </w:tcPr>
          <w:p>
            <w:pPr>
              <w:ind w:left="800"/>
              <w:spacing w:after="0"/>
              <w:rPr>
                <w:sz w:val="20"/>
                <w:szCs w:val="20"/>
                <w:color w:val="auto"/>
              </w:rPr>
            </w:pPr>
            <w:r>
              <w:rPr>
                <w:rFonts w:ascii="Times New Roman" w:cs="Times New Roman" w:eastAsia="Times New Roman" w:hAnsi="Times New Roman"/>
                <w:sz w:val="14"/>
                <w:szCs w:val="14"/>
                <w:b w:val="1"/>
                <w:bCs w:val="1"/>
                <w:color w:val="FFFFFF"/>
              </w:rPr>
              <w:t>W</w:t>
            </w:r>
            <w:r>
              <w:rPr>
                <w:rFonts w:ascii="Times New Roman" w:cs="Times New Roman" w:eastAsia="Times New Roman" w:hAnsi="Times New Roman"/>
                <w:sz w:val="11"/>
                <w:szCs w:val="11"/>
                <w:b w:val="1"/>
                <w:bCs w:val="1"/>
                <w:color w:val="FFFFFF"/>
              </w:rPr>
              <w:t>EBSITE</w:t>
            </w:r>
            <w:r>
              <w:rPr>
                <w:rFonts w:ascii="Times New Roman" w:cs="Times New Roman" w:eastAsia="Times New Roman" w:hAnsi="Times New Roman"/>
                <w:sz w:val="14"/>
                <w:szCs w:val="14"/>
                <w:b w:val="1"/>
                <w:bCs w:val="1"/>
                <w:color w:val="FFFFFF"/>
              </w:rPr>
              <w:t xml:space="preserve"> A</w:t>
            </w:r>
            <w:r>
              <w:rPr>
                <w:rFonts w:ascii="Times New Roman" w:cs="Times New Roman" w:eastAsia="Times New Roman" w:hAnsi="Times New Roman"/>
                <w:sz w:val="11"/>
                <w:szCs w:val="11"/>
                <w:b w:val="1"/>
                <w:bCs w:val="1"/>
                <w:color w:val="FFFFFF"/>
              </w:rPr>
              <w:t>DDRESS</w:t>
            </w:r>
          </w:p>
        </w:tc>
        <w:tc>
          <w:tcPr>
            <w:tcW w:w="0" w:type="dxa"/>
            <w:vAlign w:val="bottom"/>
          </w:tcPr>
          <w:p>
            <w:pPr>
              <w:spacing w:after="0"/>
              <w:rPr>
                <w:sz w:val="1"/>
                <w:szCs w:val="1"/>
                <w:color w:val="auto"/>
              </w:rPr>
            </w:pPr>
          </w:p>
        </w:tc>
      </w:tr>
      <w:tr>
        <w:trPr>
          <w:trHeight w:val="198"/>
        </w:trPr>
        <w:tc>
          <w:tcPr>
            <w:tcW w:w="470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9:30 a.m., Eastern Time, on Tuesday,</w:t>
            </w:r>
          </w:p>
        </w:tc>
        <w:tc>
          <w:tcPr>
            <w:tcW w:w="144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April 4, 2022</w:t>
            </w:r>
          </w:p>
        </w:tc>
        <w:tc>
          <w:tcPr>
            <w:tcW w:w="180" w:type="dxa"/>
            <w:vAlign w:val="bottom"/>
          </w:tcPr>
          <w:p>
            <w:pPr>
              <w:spacing w:after="0"/>
              <w:rPr>
                <w:sz w:val="17"/>
                <w:szCs w:val="17"/>
                <w:color w:val="auto"/>
              </w:rPr>
            </w:pPr>
          </w:p>
        </w:tc>
        <w:tc>
          <w:tcPr>
            <w:tcW w:w="4600" w:type="dxa"/>
            <w:vAlign w:val="bottom"/>
            <w:tcBorders>
              <w:right w:val="single" w:sz="8" w:color="auto"/>
            </w:tcBorders>
            <w:gridSpan w:val="4"/>
          </w:tcPr>
          <w:p>
            <w:pPr>
              <w:spacing w:after="0" w:line="198" w:lineRule="exact"/>
              <w:rPr>
                <w:sz w:val="20"/>
                <w:szCs w:val="20"/>
                <w:color w:val="auto"/>
              </w:rPr>
            </w:pPr>
            <w:r>
              <w:rPr>
                <w:rFonts w:ascii="Times New Roman" w:cs="Times New Roman" w:eastAsia="Times New Roman" w:hAnsi="Times New Roman"/>
                <w:sz w:val="18"/>
                <w:szCs w:val="18"/>
                <w:color w:val="auto"/>
              </w:rPr>
              <w:t>The meeting can be accessed by visiting</w:t>
            </w:r>
          </w:p>
        </w:tc>
        <w:tc>
          <w:tcPr>
            <w:tcW w:w="0" w:type="dxa"/>
            <w:vAlign w:val="bottom"/>
          </w:tcPr>
          <w:p>
            <w:pPr>
              <w:spacing w:after="0"/>
              <w:rPr>
                <w:sz w:val="1"/>
                <w:szCs w:val="1"/>
                <w:color w:val="auto"/>
              </w:rPr>
            </w:pPr>
          </w:p>
        </w:tc>
      </w:tr>
      <w:tr>
        <w:trPr>
          <w:trHeight w:val="194"/>
        </w:trPr>
        <w:tc>
          <w:tcPr>
            <w:tcW w:w="4700" w:type="dxa"/>
            <w:vAlign w:val="bottom"/>
            <w:tcBorders>
              <w:left w:val="single" w:sz="8" w:color="auto"/>
              <w:right w:val="single" w:sz="8" w:color="auto"/>
            </w:tcBorders>
          </w:tcPr>
          <w:p>
            <w:pPr>
              <w:ind w:left="160"/>
              <w:spacing w:after="0" w:line="194" w:lineRule="exact"/>
              <w:rPr>
                <w:sz w:val="20"/>
                <w:szCs w:val="20"/>
                <w:color w:val="auto"/>
              </w:rPr>
            </w:pPr>
            <w:r>
              <w:rPr>
                <w:rFonts w:ascii="Times New Roman" w:cs="Times New Roman" w:eastAsia="Times New Roman" w:hAnsi="Times New Roman"/>
                <w:sz w:val="18"/>
                <w:szCs w:val="18"/>
                <w:color w:val="auto"/>
              </w:rPr>
              <w:t>May 10, 2022</w:t>
            </w:r>
          </w:p>
        </w:tc>
        <w:tc>
          <w:tcPr>
            <w:tcW w:w="14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600" w:type="dxa"/>
            <w:vAlign w:val="bottom"/>
            <w:tcBorders>
              <w:right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meetnow.global/MYGPWRJ, where you will be able to listen</w:t>
            </w:r>
          </w:p>
        </w:tc>
        <w:tc>
          <w:tcPr>
            <w:tcW w:w="0" w:type="dxa"/>
            <w:vAlign w:val="bottom"/>
          </w:tcPr>
          <w:p>
            <w:pPr>
              <w:spacing w:after="0"/>
              <w:rPr>
                <w:sz w:val="1"/>
                <w:szCs w:val="1"/>
                <w:color w:val="auto"/>
              </w:rPr>
            </w:pPr>
          </w:p>
        </w:tc>
      </w:tr>
      <w:tr>
        <w:trPr>
          <w:trHeight w:val="20"/>
        </w:trPr>
        <w:tc>
          <w:tcPr>
            <w:tcW w:w="4700" w:type="dxa"/>
            <w:vAlign w:val="bottom"/>
            <w:tcBorders>
              <w:left w:val="single" w:sz="8" w:color="auto"/>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25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to the meeting live, submit questions and vote online. There</w:t>
            </w:r>
          </w:p>
        </w:tc>
        <w:tc>
          <w:tcPr>
            <w:tcW w:w="0" w:type="dxa"/>
            <w:vAlign w:val="bottom"/>
          </w:tcPr>
          <w:p>
            <w:pPr>
              <w:spacing w:after="0"/>
              <w:rPr>
                <w:sz w:val="1"/>
                <w:szCs w:val="1"/>
                <w:color w:val="auto"/>
              </w:rPr>
            </w:pPr>
          </w:p>
        </w:tc>
      </w:tr>
      <w:tr>
        <w:trPr>
          <w:trHeight w:val="234"/>
        </w:trPr>
        <w:tc>
          <w:tcPr>
            <w:tcW w:w="4700" w:type="dxa"/>
            <w:vAlign w:val="bottom"/>
            <w:tcBorders>
              <w:left w:val="single" w:sz="8" w:color="auto"/>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will be no physical location for stockholders to attend.</w:t>
            </w:r>
          </w:p>
        </w:tc>
        <w:tc>
          <w:tcPr>
            <w:tcW w:w="0" w:type="dxa"/>
            <w:vAlign w:val="bottom"/>
          </w:tcPr>
          <w:p>
            <w:pPr>
              <w:spacing w:after="0"/>
              <w:rPr>
                <w:sz w:val="1"/>
                <w:szCs w:val="1"/>
                <w:color w:val="auto"/>
              </w:rPr>
            </w:pPr>
          </w:p>
        </w:tc>
      </w:tr>
      <w:tr>
        <w:trPr>
          <w:trHeight w:val="94"/>
        </w:trPr>
        <w:tc>
          <w:tcPr>
            <w:tcW w:w="4700" w:type="dxa"/>
            <w:vAlign w:val="bottom"/>
            <w:tcBorders>
              <w:left w:val="single" w:sz="8" w:color="auto"/>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4"/>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Stockholder Voting Matters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4700" w:type="dxa"/>
            <w:vAlign w:val="bottom"/>
            <w:tcBorders>
              <w:left w:val="single" w:sz="8" w:color="auto"/>
              <w:right w:val="single" w:sz="8" w:color="4DC1E4"/>
            </w:tcBorders>
            <w:shd w:val="clear" w:color="auto" w:fill="4DC1E4"/>
          </w:tcPr>
          <w:p>
            <w:pPr>
              <w:spacing w:after="0"/>
              <w:rPr>
                <w:sz w:val="12"/>
                <w:szCs w:val="12"/>
                <w:color w:val="auto"/>
              </w:rPr>
            </w:pPr>
          </w:p>
        </w:tc>
        <w:tc>
          <w:tcPr>
            <w:tcW w:w="1440" w:type="dxa"/>
            <w:vAlign w:val="bottom"/>
            <w:tcBorders>
              <w:right w:val="single" w:sz="8" w:color="4DC1E4"/>
            </w:tcBorders>
            <w:shd w:val="clear" w:color="auto" w:fill="4DC1E4"/>
          </w:tcPr>
          <w:p>
            <w:pPr>
              <w:spacing w:after="0"/>
              <w:rPr>
                <w:sz w:val="12"/>
                <w:szCs w:val="12"/>
                <w:color w:val="auto"/>
              </w:rPr>
            </w:pPr>
          </w:p>
        </w:tc>
        <w:tc>
          <w:tcPr>
            <w:tcW w:w="180" w:type="dxa"/>
            <w:vAlign w:val="bottom"/>
            <w:shd w:val="clear" w:color="auto" w:fill="4DC1E4"/>
          </w:tcPr>
          <w:p>
            <w:pPr>
              <w:spacing w:after="0"/>
              <w:rPr>
                <w:sz w:val="12"/>
                <w:szCs w:val="12"/>
                <w:color w:val="auto"/>
              </w:rPr>
            </w:pPr>
          </w:p>
        </w:tc>
        <w:tc>
          <w:tcPr>
            <w:tcW w:w="880" w:type="dxa"/>
            <w:vAlign w:val="bottom"/>
            <w:tcBorders>
              <w:right w:val="single" w:sz="8" w:color="auto"/>
            </w:tcBorders>
            <w:shd w:val="clear" w:color="auto" w:fill="4DC1E4"/>
          </w:tcPr>
          <w:p>
            <w:pPr>
              <w:spacing w:after="0"/>
              <w:rPr>
                <w:sz w:val="12"/>
                <w:szCs w:val="12"/>
                <w:color w:val="auto"/>
              </w:rPr>
            </w:pPr>
          </w:p>
        </w:tc>
        <w:tc>
          <w:tcPr>
            <w:tcW w:w="1500" w:type="dxa"/>
            <w:vAlign w:val="bottom"/>
            <w:tcBorders>
              <w:right w:val="single" w:sz="8" w:color="auto"/>
            </w:tcBorders>
            <w:gridSpan w:val="2"/>
            <w:vMerge w:val="restart"/>
            <w:shd w:val="clear" w:color="auto" w:fill="4DC1E4"/>
          </w:tcPr>
          <w:p>
            <w:pPr>
              <w:jc w:val="center"/>
              <w:ind w:right="40"/>
              <w:spacing w:after="0"/>
              <w:rPr>
                <w:sz w:val="20"/>
                <w:szCs w:val="20"/>
                <w:color w:val="auto"/>
              </w:rPr>
            </w:pPr>
            <w:r>
              <w:rPr>
                <w:rFonts w:ascii="Times New Roman" w:cs="Times New Roman" w:eastAsia="Times New Roman" w:hAnsi="Times New Roman"/>
                <w:sz w:val="14"/>
                <w:szCs w:val="14"/>
                <w:b w:val="1"/>
                <w:bCs w:val="1"/>
                <w:color w:val="FFFFFF"/>
              </w:rPr>
              <w:t>F</w:t>
            </w:r>
            <w:r>
              <w:rPr>
                <w:rFonts w:ascii="Times New Roman" w:cs="Times New Roman" w:eastAsia="Times New Roman" w:hAnsi="Times New Roman"/>
                <w:sz w:val="11"/>
                <w:szCs w:val="11"/>
                <w:b w:val="1"/>
                <w:bCs w:val="1"/>
                <w:color w:val="FFFFFF"/>
              </w:rPr>
              <w:t>OR</w:t>
            </w:r>
            <w:r>
              <w:rPr>
                <w:rFonts w:ascii="Times New Roman" w:cs="Times New Roman" w:eastAsia="Times New Roman" w:hAnsi="Times New Roman"/>
                <w:sz w:val="14"/>
                <w:szCs w:val="14"/>
                <w:b w:val="1"/>
                <w:bCs w:val="1"/>
                <w:color w:val="FFFFFF"/>
              </w:rPr>
              <w:t xml:space="preserve"> M</w:t>
            </w:r>
            <w:r>
              <w:rPr>
                <w:rFonts w:ascii="Times New Roman" w:cs="Times New Roman" w:eastAsia="Times New Roman" w:hAnsi="Times New Roman"/>
                <w:sz w:val="11"/>
                <w:szCs w:val="11"/>
                <w:b w:val="1"/>
                <w:bCs w:val="1"/>
                <w:color w:val="FFFFFF"/>
              </w:rPr>
              <w:t>ORE</w:t>
            </w:r>
          </w:p>
        </w:tc>
        <w:tc>
          <w:tcPr>
            <w:tcW w:w="2220" w:type="dxa"/>
            <w:vAlign w:val="bottom"/>
            <w:tcBorders>
              <w:right w:val="single" w:sz="8" w:color="auto"/>
            </w:tcBorders>
            <w:shd w:val="clear" w:color="auto" w:fill="4DC1E4"/>
          </w:tcPr>
          <w:p>
            <w:pPr>
              <w:jc w:val="center"/>
              <w:ind w:left="39"/>
              <w:spacing w:after="0" w:line="145" w:lineRule="exact"/>
              <w:rPr>
                <w:sz w:val="20"/>
                <w:szCs w:val="20"/>
                <w:color w:val="auto"/>
              </w:rPr>
            </w:pPr>
            <w:r>
              <w:rPr>
                <w:rFonts w:ascii="Times New Roman" w:cs="Times New Roman" w:eastAsia="Times New Roman" w:hAnsi="Times New Roman"/>
                <w:sz w:val="14"/>
                <w:szCs w:val="14"/>
                <w:b w:val="1"/>
                <w:bCs w:val="1"/>
                <w:color w:val="FFFFFF"/>
              </w:rPr>
              <w:t>B</w:t>
            </w:r>
            <w:r>
              <w:rPr>
                <w:rFonts w:ascii="Times New Roman" w:cs="Times New Roman" w:eastAsia="Times New Roman" w:hAnsi="Times New Roman"/>
                <w:sz w:val="11"/>
                <w:szCs w:val="11"/>
                <w:b w:val="1"/>
                <w:bCs w:val="1"/>
                <w:color w:val="FFFFFF"/>
              </w:rPr>
              <w:t>OARD OF</w:t>
            </w:r>
          </w:p>
        </w:tc>
        <w:tc>
          <w:tcPr>
            <w:tcW w:w="0" w:type="dxa"/>
            <w:vAlign w:val="bottom"/>
          </w:tcPr>
          <w:p>
            <w:pPr>
              <w:spacing w:after="0"/>
              <w:rPr>
                <w:sz w:val="1"/>
                <w:szCs w:val="1"/>
                <w:color w:val="auto"/>
              </w:rPr>
            </w:pPr>
          </w:p>
        </w:tc>
      </w:tr>
      <w:tr>
        <w:trPr>
          <w:trHeight w:val="148"/>
        </w:trPr>
        <w:tc>
          <w:tcPr>
            <w:tcW w:w="4700" w:type="dxa"/>
            <w:vAlign w:val="bottom"/>
            <w:tcBorders>
              <w:left w:val="single" w:sz="8" w:color="auto"/>
              <w:right w:val="single" w:sz="8" w:color="4DC1E4"/>
            </w:tcBorders>
            <w:vMerge w:val="restart"/>
            <w:shd w:val="clear" w:color="auto" w:fill="4DC1E4"/>
          </w:tcPr>
          <w:p>
            <w:pPr>
              <w:ind w:left="160"/>
              <w:spacing w:after="0"/>
              <w:rPr>
                <w:sz w:val="20"/>
                <w:szCs w:val="20"/>
                <w:color w:val="auto"/>
              </w:rPr>
            </w:pP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OTING</w:t>
            </w:r>
            <w:r>
              <w:rPr>
                <w:rFonts w:ascii="Times New Roman" w:cs="Times New Roman" w:eastAsia="Times New Roman" w:hAnsi="Times New Roman"/>
                <w:sz w:val="14"/>
                <w:szCs w:val="14"/>
                <w:b w:val="1"/>
                <w:bCs w:val="1"/>
                <w:color w:val="FFFFFF"/>
              </w:rPr>
              <w:t xml:space="preserve"> M</w:t>
            </w:r>
            <w:r>
              <w:rPr>
                <w:rFonts w:ascii="Times New Roman" w:cs="Times New Roman" w:eastAsia="Times New Roman" w:hAnsi="Times New Roman"/>
                <w:sz w:val="11"/>
                <w:szCs w:val="11"/>
                <w:b w:val="1"/>
                <w:bCs w:val="1"/>
                <w:color w:val="FFFFFF"/>
              </w:rPr>
              <w:t>ATTERS</w:t>
            </w:r>
          </w:p>
        </w:tc>
        <w:tc>
          <w:tcPr>
            <w:tcW w:w="1440" w:type="dxa"/>
            <w:vAlign w:val="bottom"/>
            <w:tcBorders>
              <w:right w:val="single" w:sz="8" w:color="4DC1E4"/>
            </w:tcBorders>
            <w:shd w:val="clear" w:color="auto" w:fill="4DC1E4"/>
          </w:tcPr>
          <w:p>
            <w:pPr>
              <w:spacing w:after="0"/>
              <w:rPr>
                <w:sz w:val="12"/>
                <w:szCs w:val="12"/>
                <w:color w:val="auto"/>
              </w:rPr>
            </w:pPr>
          </w:p>
        </w:tc>
        <w:tc>
          <w:tcPr>
            <w:tcW w:w="180" w:type="dxa"/>
            <w:vAlign w:val="bottom"/>
            <w:shd w:val="clear" w:color="auto" w:fill="4DC1E4"/>
          </w:tcPr>
          <w:p>
            <w:pPr>
              <w:spacing w:after="0"/>
              <w:rPr>
                <w:sz w:val="12"/>
                <w:szCs w:val="12"/>
                <w:color w:val="auto"/>
              </w:rPr>
            </w:pPr>
          </w:p>
        </w:tc>
        <w:tc>
          <w:tcPr>
            <w:tcW w:w="880" w:type="dxa"/>
            <w:vAlign w:val="bottom"/>
            <w:tcBorders>
              <w:right w:val="single" w:sz="8" w:color="auto"/>
            </w:tcBorders>
            <w:shd w:val="clear" w:color="auto" w:fill="4DC1E4"/>
          </w:tcPr>
          <w:p>
            <w:pPr>
              <w:spacing w:after="0"/>
              <w:rPr>
                <w:sz w:val="12"/>
                <w:szCs w:val="12"/>
                <w:color w:val="auto"/>
              </w:rPr>
            </w:pPr>
          </w:p>
        </w:tc>
        <w:tc>
          <w:tcPr>
            <w:tcW w:w="1500" w:type="dxa"/>
            <w:vAlign w:val="bottom"/>
            <w:tcBorders>
              <w:right w:val="single" w:sz="8" w:color="auto"/>
            </w:tcBorders>
            <w:gridSpan w:val="2"/>
            <w:vMerge w:val="continue"/>
            <w:shd w:val="clear" w:color="auto" w:fill="4DC1E4"/>
          </w:tcPr>
          <w:p>
            <w:pPr>
              <w:spacing w:after="0"/>
              <w:rPr>
                <w:sz w:val="12"/>
                <w:szCs w:val="12"/>
                <w:color w:val="auto"/>
              </w:rPr>
            </w:pPr>
          </w:p>
        </w:tc>
        <w:tc>
          <w:tcPr>
            <w:tcW w:w="2220" w:type="dxa"/>
            <w:vAlign w:val="bottom"/>
            <w:tcBorders>
              <w:right w:val="single" w:sz="8" w:color="auto"/>
            </w:tcBorders>
            <w:shd w:val="clear" w:color="auto" w:fill="4DC1E4"/>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FFFFFF"/>
              </w:rPr>
              <w:t>D</w:t>
            </w:r>
            <w:r>
              <w:rPr>
                <w:rFonts w:ascii="Times New Roman" w:cs="Times New Roman" w:eastAsia="Times New Roman" w:hAnsi="Times New Roman"/>
                <w:sz w:val="11"/>
                <w:szCs w:val="11"/>
                <w:b w:val="1"/>
                <w:bCs w:val="1"/>
                <w:color w:val="FFFFFF"/>
              </w:rPr>
              <w:t>IRECTORS</w:t>
            </w:r>
          </w:p>
        </w:tc>
        <w:tc>
          <w:tcPr>
            <w:tcW w:w="0" w:type="dxa"/>
            <w:vAlign w:val="bottom"/>
          </w:tcPr>
          <w:p>
            <w:pPr>
              <w:spacing w:after="0"/>
              <w:rPr>
                <w:sz w:val="1"/>
                <w:szCs w:val="1"/>
                <w:color w:val="auto"/>
              </w:rPr>
            </w:pPr>
          </w:p>
        </w:tc>
      </w:tr>
      <w:tr>
        <w:trPr>
          <w:trHeight w:val="207"/>
        </w:trPr>
        <w:tc>
          <w:tcPr>
            <w:tcW w:w="4700" w:type="dxa"/>
            <w:vAlign w:val="bottom"/>
            <w:tcBorders>
              <w:left w:val="single" w:sz="8" w:color="auto"/>
              <w:bottom w:val="single" w:sz="8" w:color="auto"/>
              <w:right w:val="single" w:sz="8" w:color="4DC1E4"/>
            </w:tcBorders>
            <w:vMerge w:val="continue"/>
            <w:shd w:val="clear" w:color="auto" w:fill="4DC1E4"/>
          </w:tcPr>
          <w:p>
            <w:pPr>
              <w:spacing w:after="0"/>
              <w:rPr>
                <w:sz w:val="18"/>
                <w:szCs w:val="18"/>
                <w:color w:val="auto"/>
              </w:rPr>
            </w:pPr>
          </w:p>
        </w:tc>
        <w:tc>
          <w:tcPr>
            <w:tcW w:w="1440" w:type="dxa"/>
            <w:vAlign w:val="bottom"/>
            <w:tcBorders>
              <w:bottom w:val="single" w:sz="8" w:color="auto"/>
              <w:right w:val="single" w:sz="8" w:color="4DC1E4"/>
            </w:tcBorders>
            <w:shd w:val="clear" w:color="auto" w:fill="4DC1E4"/>
          </w:tcPr>
          <w:p>
            <w:pPr>
              <w:spacing w:after="0"/>
              <w:rPr>
                <w:sz w:val="18"/>
                <w:szCs w:val="18"/>
                <w:color w:val="auto"/>
              </w:rPr>
            </w:pPr>
          </w:p>
        </w:tc>
        <w:tc>
          <w:tcPr>
            <w:tcW w:w="180" w:type="dxa"/>
            <w:vAlign w:val="bottom"/>
            <w:tcBorders>
              <w:bottom w:val="single" w:sz="8" w:color="auto"/>
            </w:tcBorders>
            <w:shd w:val="clear" w:color="auto" w:fill="4DC1E4"/>
          </w:tcPr>
          <w:p>
            <w:pPr>
              <w:spacing w:after="0"/>
              <w:rPr>
                <w:sz w:val="18"/>
                <w:szCs w:val="18"/>
                <w:color w:val="auto"/>
              </w:rPr>
            </w:pPr>
          </w:p>
        </w:tc>
        <w:tc>
          <w:tcPr>
            <w:tcW w:w="880" w:type="dxa"/>
            <w:vAlign w:val="bottom"/>
            <w:tcBorders>
              <w:bottom w:val="single" w:sz="8" w:color="auto"/>
              <w:right w:val="single" w:sz="8" w:color="auto"/>
            </w:tcBorders>
            <w:shd w:val="clear" w:color="auto" w:fill="4DC1E4"/>
          </w:tcPr>
          <w:p>
            <w:pPr>
              <w:spacing w:after="0"/>
              <w:rPr>
                <w:sz w:val="18"/>
                <w:szCs w:val="18"/>
                <w:color w:val="auto"/>
              </w:rPr>
            </w:pPr>
          </w:p>
        </w:tc>
        <w:tc>
          <w:tcPr>
            <w:tcW w:w="1500" w:type="dxa"/>
            <w:vAlign w:val="bottom"/>
            <w:tcBorders>
              <w:bottom w:val="single" w:sz="8" w:color="auto"/>
              <w:right w:val="single" w:sz="8" w:color="auto"/>
            </w:tcBorders>
            <w:gridSpan w:val="2"/>
            <w:shd w:val="clear" w:color="auto" w:fill="4DC1E4"/>
          </w:tcPr>
          <w:p>
            <w:pPr>
              <w:jc w:val="center"/>
              <w:ind w:right="40"/>
              <w:spacing w:after="0"/>
              <w:rPr>
                <w:sz w:val="20"/>
                <w:szCs w:val="20"/>
                <w:color w:val="auto"/>
              </w:rPr>
            </w:pPr>
            <w:r>
              <w:rPr>
                <w:rFonts w:ascii="Times New Roman" w:cs="Times New Roman" w:eastAsia="Times New Roman" w:hAnsi="Times New Roman"/>
                <w:sz w:val="14"/>
                <w:szCs w:val="14"/>
                <w:b w:val="1"/>
                <w:bCs w:val="1"/>
                <w:color w:val="FFFFFF"/>
              </w:rPr>
              <w:t>I</w:t>
            </w:r>
            <w:r>
              <w:rPr>
                <w:rFonts w:ascii="Times New Roman" w:cs="Times New Roman" w:eastAsia="Times New Roman" w:hAnsi="Times New Roman"/>
                <w:sz w:val="11"/>
                <w:szCs w:val="11"/>
                <w:b w:val="1"/>
                <w:bCs w:val="1"/>
                <w:color w:val="FFFFFF"/>
              </w:rPr>
              <w:t>NFORMATION</w:t>
            </w:r>
          </w:p>
        </w:tc>
        <w:tc>
          <w:tcPr>
            <w:tcW w:w="2220" w:type="dxa"/>
            <w:vAlign w:val="bottom"/>
            <w:tcBorders>
              <w:bottom w:val="single" w:sz="8" w:color="auto"/>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4"/>
                <w:szCs w:val="14"/>
                <w:b w:val="1"/>
                <w:bCs w:val="1"/>
                <w:color w:val="FFFFFF"/>
              </w:rPr>
              <w:t>R</w:t>
            </w:r>
            <w:r>
              <w:rPr>
                <w:rFonts w:ascii="Times New Roman" w:cs="Times New Roman" w:eastAsia="Times New Roman" w:hAnsi="Times New Roman"/>
                <w:sz w:val="11"/>
                <w:szCs w:val="11"/>
                <w:b w:val="1"/>
                <w:bCs w:val="1"/>
                <w:color w:val="FFFFFF"/>
              </w:rPr>
              <w:t>ECOMMENDATION</w:t>
            </w:r>
          </w:p>
        </w:tc>
        <w:tc>
          <w:tcPr>
            <w:tcW w:w="0" w:type="dxa"/>
            <w:vAlign w:val="bottom"/>
          </w:tcPr>
          <w:p>
            <w:pPr>
              <w:spacing w:after="0"/>
              <w:rPr>
                <w:sz w:val="1"/>
                <w:szCs w:val="1"/>
                <w:color w:val="auto"/>
              </w:rPr>
            </w:pPr>
          </w:p>
        </w:tc>
      </w:tr>
      <w:tr>
        <w:trPr>
          <w:trHeight w:val="265"/>
        </w:trPr>
        <w:tc>
          <w:tcPr>
            <w:tcW w:w="6320" w:type="dxa"/>
            <w:vAlign w:val="bottom"/>
            <w:tcBorders>
              <w:lef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1</w:t>
            </w:r>
            <w:r>
              <w:rPr>
                <w:rFonts w:ascii="Times New Roman" w:cs="Times New Roman" w:eastAsia="Times New Roman" w:hAnsi="Times New Roman"/>
                <w:sz w:val="18"/>
                <w:szCs w:val="18"/>
                <w:color w:val="4DC1E4"/>
              </w:rPr>
              <w:t>: Election of Class II Director for a Three-Year Term</w:t>
            </w:r>
          </w:p>
        </w:tc>
        <w:tc>
          <w:tcPr>
            <w:tcW w:w="88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Page 32</w:t>
            </w:r>
          </w:p>
        </w:tc>
        <w:tc>
          <w:tcPr>
            <w:tcW w:w="2220" w:type="dxa"/>
            <w:vAlign w:val="bottom"/>
            <w:tcBorders>
              <w:right w:val="single" w:sz="8" w:color="auto"/>
            </w:tcBorders>
          </w:tcPr>
          <w:p>
            <w:pPr>
              <w:ind w:left="200"/>
              <w:spacing w:after="0" w:line="207"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 Our Nominee</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Expiring in 2025</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Borders>
              <w:left w:val="single" w:sz="8" w:color="auto"/>
            </w:tcBorders>
          </w:tcPr>
          <w:p>
            <w:pPr>
              <w:ind w:left="2920"/>
              <w:spacing w:after="0"/>
              <w:rPr>
                <w:sz w:val="20"/>
                <w:szCs w:val="20"/>
                <w:color w:val="auto"/>
              </w:rPr>
            </w:pPr>
            <w:r>
              <w:rPr>
                <w:rFonts w:ascii="Times New Roman" w:cs="Times New Roman" w:eastAsia="Times New Roman" w:hAnsi="Times New Roman"/>
                <w:sz w:val="18"/>
                <w:szCs w:val="18"/>
                <w:color w:val="auto"/>
              </w:rPr>
              <w:t>Thomas E. Hamilton</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7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2</w:t>
            </w:r>
            <w:r>
              <w:rPr>
                <w:rFonts w:ascii="Times New Roman" w:cs="Times New Roman" w:eastAsia="Times New Roman" w:hAnsi="Times New Roman"/>
                <w:sz w:val="18"/>
                <w:szCs w:val="18"/>
                <w:color w:val="4DC1E4"/>
              </w:rPr>
              <w:t>: Approval, on an Advisory Basis, of the</w:t>
            </w:r>
          </w:p>
        </w:tc>
        <w:tc>
          <w:tcPr>
            <w:tcW w:w="1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Page 33</w:t>
            </w:r>
          </w:p>
        </w:tc>
        <w:tc>
          <w:tcPr>
            <w:tcW w:w="2220" w:type="dxa"/>
            <w:vAlign w:val="bottom"/>
            <w:tcBorders>
              <w:right w:val="single" w:sz="8" w:color="auto"/>
            </w:tcBorders>
          </w:tcPr>
          <w:p>
            <w:pPr>
              <w:ind w:left="200"/>
              <w:spacing w:after="0" w:line="207"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c>
          <w:tcPr>
            <w:tcW w:w="0" w:type="dxa"/>
            <w:vAlign w:val="bottom"/>
          </w:tcPr>
          <w:p>
            <w:pPr>
              <w:spacing w:after="0"/>
              <w:rPr>
                <w:sz w:val="1"/>
                <w:szCs w:val="1"/>
                <w:color w:val="auto"/>
              </w:rPr>
            </w:pPr>
          </w:p>
        </w:tc>
      </w:tr>
      <w:tr>
        <w:trPr>
          <w:trHeight w:val="234"/>
        </w:trPr>
        <w:tc>
          <w:tcPr>
            <w:tcW w:w="47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Compensation of our Named Executive Officers in 2021</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20" w:type="dxa"/>
            <w:vAlign w:val="bottom"/>
            <w:tcBorders>
              <w:left w:val="single" w:sz="8" w:color="auto"/>
              <w:bottom w:val="single" w:sz="8" w:color="auto"/>
            </w:tcBorders>
            <w:gridSpan w:val="3"/>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320" w:type="dxa"/>
            <w:vAlign w:val="bottom"/>
            <w:tcBorders>
              <w:lef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3</w:t>
            </w:r>
            <w:r>
              <w:rPr>
                <w:rFonts w:ascii="Times New Roman" w:cs="Times New Roman" w:eastAsia="Times New Roman" w:hAnsi="Times New Roman"/>
                <w:sz w:val="18"/>
                <w:szCs w:val="18"/>
                <w:color w:val="4DC1E4"/>
              </w:rPr>
              <w:t>: Ratification of Appointment of PricewaterhouseCoopers LLP as our</w:t>
            </w:r>
          </w:p>
        </w:tc>
        <w:tc>
          <w:tcPr>
            <w:tcW w:w="88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Page 34</w:t>
            </w:r>
          </w:p>
        </w:tc>
        <w:tc>
          <w:tcPr>
            <w:tcW w:w="2220" w:type="dxa"/>
            <w:vAlign w:val="bottom"/>
            <w:tcBorders>
              <w:right w:val="single" w:sz="8" w:color="auto"/>
            </w:tcBorders>
          </w:tcPr>
          <w:p>
            <w:pPr>
              <w:ind w:left="200"/>
              <w:spacing w:after="0" w:line="207"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c>
          <w:tcPr>
            <w:tcW w:w="0" w:type="dxa"/>
            <w:vAlign w:val="bottom"/>
          </w:tcPr>
          <w:p>
            <w:pPr>
              <w:spacing w:after="0"/>
              <w:rPr>
                <w:sz w:val="1"/>
                <w:szCs w:val="1"/>
                <w:color w:val="auto"/>
              </w:rPr>
            </w:pPr>
          </w:p>
        </w:tc>
      </w:tr>
      <w:tr>
        <w:trPr>
          <w:trHeight w:val="234"/>
        </w:trPr>
        <w:tc>
          <w:tcPr>
            <w:tcW w:w="6320" w:type="dxa"/>
            <w:vAlign w:val="bottom"/>
            <w:tcBorders>
              <w:lef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4DC1E4"/>
              </w:rPr>
              <w:t>Independent Registered Public Accounting Firm for the 2022 Fiscal Year</w:t>
            </w:r>
          </w:p>
        </w:tc>
        <w:tc>
          <w:tcPr>
            <w:tcW w:w="880" w:type="dxa"/>
            <w:vAlign w:val="bottom"/>
            <w:tcBorders>
              <w:righ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Director Nominees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You are being asked to vote on the election of Thomas E. Hamilton as a Class II director, to serve for a three-year term expiring at our 2025 Annual Meeting of Stockholders. Thomas O. Daniel, M.D. currently serves as a Class II director of our Board of Directors (the “Board”) with a term expiring at the Annual Meeting. Dr. Daniel’s service as a member of our Board will end effective as of the date of the Annual Meeting and he is not standing for re-election. After careful consideration, we have elected to reduce the size of our Board from seven to six directors, effective as of the date of the Annual Meeting. Our Board is divided into three classes, each of which has a three-year term. Classes I and II each consist of two directors, with Class II being reduced to one director following the Annual Meeting, and Class III consists of three directors.</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term of office of our Class II directors expires at the Annual Meeting. We are nominating Thomas E. Hamilton for re-election at the Annual Meeting to serve until the 2025 Annual Meeting of Stockholders and until his successor, if any, is duly elected and qualified or appointed, or until his earlier death, resignation or removal. Directors are elected by a plurality of the votes cast by our stockholders at the Annual Meeting. The nominee receiving the most FOR votes (among votes properly cast online during the Annual Meeting or by proxy) will be elected. If no contrary indication is made, shares represented by executed proxies will be voted FOR the election of Mr. Hamilton. The nominee has agreed to serve as a director if elected, and we have no reason to believe that he will be unable to serve.</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i</w:t>
      </w:r>
    </w:p>
    <w:p>
      <w:pPr>
        <w:sectPr>
          <w:pgSz w:w="11900" w:h="16838" w:orient="portrait"/>
          <w:cols w:equalWidth="0" w:num="1">
            <w:col w:w="11140"/>
          </w:cols>
          <w:pgMar w:left="320" w:top="455"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SUMMARY INFORMATION </w:t>
      </w:r>
      <w:r>
        <w:rPr>
          <w:rFonts w:ascii="Times New Roman" w:cs="Times New Roman" w:eastAsia="Times New Roman" w:hAnsi="Times New Roman"/>
          <w:sz w:val="18"/>
          <w:szCs w:val="18"/>
          <w:b w:val="1"/>
          <w:bCs w:val="1"/>
          <w:i w:val="1"/>
          <w:iCs w:val="1"/>
          <w:color w:val="auto"/>
        </w:rPr>
        <w:t>(continued)</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060" w:type="dxa"/>
            <w:vAlign w:val="bottom"/>
            <w:tcBorders>
              <w:bottom w:val="single" w:sz="8" w:color="4DC1E4"/>
            </w:tcBorders>
            <w:shd w:val="clear" w:color="auto" w:fill="4DC1E4"/>
          </w:tcPr>
          <w:p>
            <w:pPr>
              <w:spacing w:after="0"/>
              <w:rPr>
                <w:sz w:val="16"/>
                <w:szCs w:val="16"/>
                <w:color w:val="auto"/>
              </w:rPr>
            </w:pPr>
          </w:p>
        </w:tc>
        <w:tc>
          <w:tcPr>
            <w:tcW w:w="1300" w:type="dxa"/>
            <w:vAlign w:val="bottom"/>
            <w:tcBorders>
              <w:bottom w:val="single" w:sz="8" w:color="4DC1E4"/>
            </w:tcBorders>
            <w:shd w:val="clear" w:color="auto" w:fill="4DC1E4"/>
          </w:tcPr>
          <w:p>
            <w:pPr>
              <w:spacing w:after="0"/>
              <w:rPr>
                <w:sz w:val="16"/>
                <w:szCs w:val="16"/>
                <w:color w:val="auto"/>
              </w:rPr>
            </w:pPr>
          </w:p>
        </w:tc>
        <w:tc>
          <w:tcPr>
            <w:tcW w:w="240" w:type="dxa"/>
            <w:vAlign w:val="bottom"/>
            <w:tcBorders>
              <w:bottom w:val="single" w:sz="8" w:color="4DC1E4"/>
            </w:tcBorders>
            <w:shd w:val="clear" w:color="auto" w:fill="4DC1E4"/>
          </w:tcPr>
          <w:p>
            <w:pPr>
              <w:spacing w:after="0"/>
              <w:rPr>
                <w:sz w:val="16"/>
                <w:szCs w:val="16"/>
                <w:color w:val="auto"/>
              </w:rPr>
            </w:pPr>
          </w:p>
        </w:tc>
        <w:tc>
          <w:tcPr>
            <w:tcW w:w="220" w:type="dxa"/>
            <w:vAlign w:val="bottom"/>
            <w:tcBorders>
              <w:bottom w:val="single" w:sz="8" w:color="4DC1E4"/>
            </w:tcBorders>
            <w:shd w:val="clear" w:color="auto" w:fill="4DC1E4"/>
          </w:tcPr>
          <w:p>
            <w:pPr>
              <w:spacing w:after="0"/>
              <w:rPr>
                <w:sz w:val="16"/>
                <w:szCs w:val="16"/>
                <w:color w:val="auto"/>
              </w:rPr>
            </w:pPr>
          </w:p>
        </w:tc>
        <w:tc>
          <w:tcPr>
            <w:tcW w:w="140" w:type="dxa"/>
            <w:vAlign w:val="bottom"/>
            <w:tcBorders>
              <w:bottom w:val="single" w:sz="8" w:color="4DC1E4"/>
            </w:tcBorders>
            <w:shd w:val="clear" w:color="auto" w:fill="4DC1E4"/>
          </w:tcPr>
          <w:p>
            <w:pPr>
              <w:spacing w:after="0"/>
              <w:rPr>
                <w:sz w:val="16"/>
                <w:szCs w:val="16"/>
                <w:color w:val="auto"/>
              </w:rPr>
            </w:pPr>
          </w:p>
        </w:tc>
        <w:tc>
          <w:tcPr>
            <w:tcW w:w="860" w:type="dxa"/>
            <w:vAlign w:val="bottom"/>
            <w:tcBorders>
              <w:bottom w:val="single" w:sz="8" w:color="4DC1E4"/>
            </w:tcBorders>
            <w:gridSpan w:val="2"/>
            <w:vMerge w:val="restart"/>
            <w:shd w:val="clear" w:color="auto" w:fill="4DC1E4"/>
          </w:tcPr>
          <w:p>
            <w:pPr>
              <w:jc w:val="right"/>
              <w:ind w:right="340"/>
              <w:spacing w:after="0"/>
              <w:rPr>
                <w:sz w:val="20"/>
                <w:szCs w:val="20"/>
                <w:color w:val="auto"/>
              </w:rPr>
            </w:pPr>
            <w:r>
              <w:rPr>
                <w:rFonts w:ascii="Times New Roman" w:cs="Times New Roman" w:eastAsia="Times New Roman" w:hAnsi="Times New Roman"/>
                <w:sz w:val="14"/>
                <w:szCs w:val="14"/>
                <w:b w:val="1"/>
                <w:bCs w:val="1"/>
                <w:color w:val="FFFFFF"/>
                <w:w w:val="98"/>
              </w:rPr>
              <w:t>Director</w:t>
            </w:r>
          </w:p>
        </w:tc>
        <w:tc>
          <w:tcPr>
            <w:tcW w:w="1920" w:type="dxa"/>
            <w:vAlign w:val="bottom"/>
            <w:tcBorders>
              <w:bottom w:val="single" w:sz="8" w:color="4DC1E4"/>
            </w:tcBorders>
            <w:shd w:val="clear" w:color="auto" w:fill="4DC1E4"/>
          </w:tcPr>
          <w:p>
            <w:pPr>
              <w:spacing w:after="0"/>
              <w:rPr>
                <w:sz w:val="16"/>
                <w:szCs w:val="16"/>
                <w:color w:val="auto"/>
              </w:rPr>
            </w:pPr>
          </w:p>
        </w:tc>
        <w:tc>
          <w:tcPr>
            <w:tcW w:w="280" w:type="dxa"/>
            <w:vAlign w:val="bottom"/>
            <w:tcBorders>
              <w:bottom w:val="single" w:sz="8" w:color="4DC1E4"/>
            </w:tcBorders>
            <w:shd w:val="clear" w:color="auto" w:fill="4DC1E4"/>
          </w:tcPr>
          <w:p>
            <w:pPr>
              <w:spacing w:after="0"/>
              <w:rPr>
                <w:sz w:val="16"/>
                <w:szCs w:val="16"/>
                <w:color w:val="auto"/>
              </w:rPr>
            </w:pPr>
          </w:p>
        </w:tc>
        <w:tc>
          <w:tcPr>
            <w:tcW w:w="800" w:type="dxa"/>
            <w:vAlign w:val="bottom"/>
            <w:tcBorders>
              <w:bottom w:val="single" w:sz="8" w:color="4DC1E4"/>
            </w:tcBorders>
            <w:shd w:val="clear" w:color="auto" w:fill="4DC1E4"/>
          </w:tcPr>
          <w:p>
            <w:pPr>
              <w:spacing w:after="0"/>
              <w:rPr>
                <w:sz w:val="16"/>
                <w:szCs w:val="16"/>
                <w:color w:val="auto"/>
              </w:rPr>
            </w:pPr>
          </w:p>
        </w:tc>
        <w:tc>
          <w:tcPr>
            <w:tcW w:w="340" w:type="dxa"/>
            <w:vAlign w:val="bottom"/>
            <w:tcBorders>
              <w:bottom w:val="single" w:sz="8" w:color="4DC1E4"/>
            </w:tcBorders>
            <w:shd w:val="clear" w:color="auto" w:fill="4DC1E4"/>
          </w:tcPr>
          <w:p>
            <w:pPr>
              <w:spacing w:after="0"/>
              <w:rPr>
                <w:sz w:val="16"/>
                <w:szCs w:val="16"/>
                <w:color w:val="auto"/>
              </w:rPr>
            </w:pPr>
          </w:p>
        </w:tc>
        <w:tc>
          <w:tcPr>
            <w:tcW w:w="1860" w:type="dxa"/>
            <w:vAlign w:val="bottom"/>
            <w:tcBorders>
              <w:bottom w:val="single" w:sz="8" w:color="auto"/>
            </w:tcBorders>
            <w:gridSpan w:val="7"/>
            <w:shd w:val="clear" w:color="auto" w:fill="4DC1E4"/>
          </w:tcPr>
          <w:p>
            <w:pPr>
              <w:ind w:left="180"/>
              <w:spacing w:after="0"/>
              <w:rPr>
                <w:sz w:val="20"/>
                <w:szCs w:val="20"/>
                <w:color w:val="auto"/>
              </w:rPr>
            </w:pPr>
            <w:r>
              <w:rPr>
                <w:rFonts w:ascii="Times New Roman" w:cs="Times New Roman" w:eastAsia="Times New Roman" w:hAnsi="Times New Roman"/>
                <w:sz w:val="14"/>
                <w:szCs w:val="14"/>
                <w:b w:val="1"/>
                <w:bCs w:val="1"/>
                <w:color w:val="FFFFFF"/>
              </w:rPr>
              <w:t>Committee Membership</w:t>
            </w:r>
          </w:p>
        </w:tc>
        <w:tc>
          <w:tcPr>
            <w:tcW w:w="0" w:type="dxa"/>
            <w:vAlign w:val="bottom"/>
          </w:tcPr>
          <w:p>
            <w:pPr>
              <w:spacing w:after="0"/>
              <w:rPr>
                <w:sz w:val="1"/>
                <w:szCs w:val="1"/>
                <w:color w:val="auto"/>
              </w:rPr>
            </w:pPr>
          </w:p>
        </w:tc>
      </w:tr>
      <w:tr>
        <w:trPr>
          <w:trHeight w:val="117"/>
        </w:trPr>
        <w:tc>
          <w:tcPr>
            <w:tcW w:w="3060" w:type="dxa"/>
            <w:vAlign w:val="bottom"/>
            <w:vMerge w:val="restart"/>
            <w:shd w:val="clear" w:color="auto" w:fill="4DC1E4"/>
          </w:tcPr>
          <w:p>
            <w:pPr>
              <w:ind w:left="4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300" w:type="dxa"/>
            <w:vAlign w:val="bottom"/>
            <w:shd w:val="clear" w:color="auto" w:fill="4DC1E4"/>
          </w:tcPr>
          <w:p>
            <w:pPr>
              <w:spacing w:after="0"/>
              <w:rPr>
                <w:sz w:val="10"/>
                <w:szCs w:val="10"/>
                <w:color w:val="auto"/>
              </w:rPr>
            </w:pPr>
          </w:p>
        </w:tc>
        <w:tc>
          <w:tcPr>
            <w:tcW w:w="460" w:type="dxa"/>
            <w:vAlign w:val="bottom"/>
            <w:gridSpan w:val="2"/>
            <w:vMerge w:val="restart"/>
            <w:shd w:val="clear" w:color="auto" w:fill="4DC1E4"/>
          </w:tcPr>
          <w:p>
            <w:pPr>
              <w:spacing w:after="0"/>
              <w:rPr>
                <w:sz w:val="20"/>
                <w:szCs w:val="20"/>
                <w:color w:val="auto"/>
              </w:rPr>
            </w:pPr>
            <w:r>
              <w:rPr>
                <w:rFonts w:ascii="Times New Roman" w:cs="Times New Roman" w:eastAsia="Times New Roman" w:hAnsi="Times New Roman"/>
                <w:sz w:val="14"/>
                <w:szCs w:val="14"/>
                <w:b w:val="1"/>
                <w:bCs w:val="1"/>
                <w:color w:val="FFFFFF"/>
              </w:rPr>
              <w:t>Age</w:t>
            </w:r>
          </w:p>
        </w:tc>
        <w:tc>
          <w:tcPr>
            <w:tcW w:w="140" w:type="dxa"/>
            <w:vAlign w:val="bottom"/>
            <w:shd w:val="clear" w:color="auto" w:fill="4DC1E4"/>
          </w:tcPr>
          <w:p>
            <w:pPr>
              <w:spacing w:after="0"/>
              <w:rPr>
                <w:sz w:val="10"/>
                <w:szCs w:val="10"/>
                <w:color w:val="auto"/>
              </w:rPr>
            </w:pPr>
          </w:p>
        </w:tc>
        <w:tc>
          <w:tcPr>
            <w:tcW w:w="860" w:type="dxa"/>
            <w:vAlign w:val="bottom"/>
            <w:gridSpan w:val="2"/>
            <w:vMerge w:val="continue"/>
            <w:shd w:val="clear" w:color="auto" w:fill="4DC1E4"/>
          </w:tcPr>
          <w:p>
            <w:pPr>
              <w:spacing w:after="0"/>
              <w:rPr>
                <w:sz w:val="10"/>
                <w:szCs w:val="10"/>
                <w:color w:val="auto"/>
              </w:rPr>
            </w:pPr>
          </w:p>
        </w:tc>
        <w:tc>
          <w:tcPr>
            <w:tcW w:w="2200" w:type="dxa"/>
            <w:vAlign w:val="bottom"/>
            <w:gridSpan w:val="2"/>
            <w:vMerge w:val="restart"/>
            <w:shd w:val="clear" w:color="auto" w:fill="4DC1E4"/>
          </w:tcPr>
          <w:p>
            <w:pPr>
              <w:ind w:left="600"/>
              <w:spacing w:after="0"/>
              <w:rPr>
                <w:sz w:val="20"/>
                <w:szCs w:val="20"/>
                <w:color w:val="auto"/>
              </w:rPr>
            </w:pPr>
            <w:r>
              <w:rPr>
                <w:rFonts w:ascii="Times New Roman" w:cs="Times New Roman" w:eastAsia="Times New Roman" w:hAnsi="Times New Roman"/>
                <w:sz w:val="14"/>
                <w:szCs w:val="14"/>
                <w:b w:val="1"/>
                <w:bCs w:val="1"/>
                <w:color w:val="FFFFFF"/>
              </w:rPr>
              <w:t>Occupation</w:t>
            </w:r>
          </w:p>
        </w:tc>
        <w:tc>
          <w:tcPr>
            <w:tcW w:w="1140" w:type="dxa"/>
            <w:vAlign w:val="bottom"/>
            <w:gridSpan w:val="2"/>
            <w:vMerge w:val="restart"/>
            <w:shd w:val="clear" w:color="auto" w:fill="4DC1E4"/>
          </w:tcPr>
          <w:p>
            <w:pPr>
              <w:jc w:val="right"/>
              <w:ind w:right="360"/>
              <w:spacing w:after="0"/>
              <w:rPr>
                <w:sz w:val="20"/>
                <w:szCs w:val="20"/>
                <w:color w:val="auto"/>
              </w:rPr>
            </w:pPr>
            <w:r>
              <w:rPr>
                <w:rFonts w:ascii="Times New Roman" w:cs="Times New Roman" w:eastAsia="Times New Roman" w:hAnsi="Times New Roman"/>
                <w:sz w:val="14"/>
                <w:szCs w:val="14"/>
                <w:b w:val="1"/>
                <w:bCs w:val="1"/>
                <w:color w:val="FFFFFF"/>
              </w:rPr>
              <w:t>Independent</w:t>
            </w:r>
          </w:p>
        </w:tc>
        <w:tc>
          <w:tcPr>
            <w:tcW w:w="400" w:type="dxa"/>
            <w:vAlign w:val="bottom"/>
            <w:gridSpan w:val="2"/>
            <w:vMerge w:val="restart"/>
            <w:shd w:val="clear" w:color="auto" w:fill="4DC1E4"/>
          </w:tcPr>
          <w:p>
            <w:pPr>
              <w:ind w:left="40"/>
              <w:spacing w:after="0"/>
              <w:rPr>
                <w:sz w:val="20"/>
                <w:szCs w:val="20"/>
                <w:color w:val="auto"/>
              </w:rPr>
            </w:pPr>
            <w:r>
              <w:rPr>
                <w:rFonts w:ascii="Times New Roman" w:cs="Times New Roman" w:eastAsia="Times New Roman" w:hAnsi="Times New Roman"/>
                <w:sz w:val="14"/>
                <w:szCs w:val="14"/>
                <w:b w:val="1"/>
                <w:bCs w:val="1"/>
                <w:color w:val="FFFFFF"/>
              </w:rPr>
              <w:t>AC</w:t>
            </w:r>
          </w:p>
        </w:tc>
        <w:tc>
          <w:tcPr>
            <w:tcW w:w="260" w:type="dxa"/>
            <w:vAlign w:val="bottom"/>
            <w:shd w:val="clear" w:color="auto" w:fill="4DC1E4"/>
          </w:tcPr>
          <w:p>
            <w:pPr>
              <w:spacing w:after="0"/>
              <w:rPr>
                <w:sz w:val="10"/>
                <w:szCs w:val="10"/>
                <w:color w:val="auto"/>
              </w:rPr>
            </w:pPr>
          </w:p>
        </w:tc>
        <w:tc>
          <w:tcPr>
            <w:tcW w:w="680" w:type="dxa"/>
            <w:vAlign w:val="bottom"/>
            <w:gridSpan w:val="3"/>
            <w:vMerge w:val="restart"/>
            <w:shd w:val="clear" w:color="auto" w:fill="4DC1E4"/>
          </w:tcPr>
          <w:p>
            <w:pPr>
              <w:ind w:left="40"/>
              <w:spacing w:after="0"/>
              <w:rPr>
                <w:sz w:val="20"/>
                <w:szCs w:val="20"/>
                <w:color w:val="auto"/>
              </w:rPr>
            </w:pPr>
            <w:r>
              <w:rPr>
                <w:rFonts w:ascii="Times New Roman" w:cs="Times New Roman" w:eastAsia="Times New Roman" w:hAnsi="Times New Roman"/>
                <w:sz w:val="14"/>
                <w:szCs w:val="14"/>
                <w:b w:val="1"/>
                <w:bCs w:val="1"/>
                <w:color w:val="FFFFFF"/>
              </w:rPr>
              <w:t>CC</w:t>
            </w:r>
          </w:p>
        </w:tc>
        <w:tc>
          <w:tcPr>
            <w:tcW w:w="520" w:type="dxa"/>
            <w:vAlign w:val="bottom"/>
            <w:vMerge w:val="restart"/>
            <w:shd w:val="clear" w:color="auto" w:fill="4DC1E4"/>
          </w:tcPr>
          <w:p>
            <w:pPr>
              <w:spacing w:after="0"/>
              <w:rPr>
                <w:sz w:val="20"/>
                <w:szCs w:val="20"/>
                <w:color w:val="auto"/>
              </w:rPr>
            </w:pPr>
            <w:r>
              <w:rPr>
                <w:rFonts w:ascii="Times New Roman" w:cs="Times New Roman" w:eastAsia="Times New Roman" w:hAnsi="Times New Roman"/>
                <w:sz w:val="14"/>
                <w:szCs w:val="14"/>
                <w:b w:val="1"/>
                <w:bCs w:val="1"/>
                <w:color w:val="FFFFFF"/>
              </w:rPr>
              <w:t>NCGC</w:t>
            </w:r>
          </w:p>
        </w:tc>
        <w:tc>
          <w:tcPr>
            <w:tcW w:w="0" w:type="dxa"/>
            <w:vAlign w:val="bottom"/>
          </w:tcPr>
          <w:p>
            <w:pPr>
              <w:spacing w:after="0"/>
              <w:rPr>
                <w:sz w:val="1"/>
                <w:szCs w:val="1"/>
                <w:color w:val="auto"/>
              </w:rPr>
            </w:pPr>
          </w:p>
        </w:tc>
      </w:tr>
      <w:tr>
        <w:trPr>
          <w:trHeight w:val="200"/>
        </w:trPr>
        <w:tc>
          <w:tcPr>
            <w:tcW w:w="3060" w:type="dxa"/>
            <w:vAlign w:val="bottom"/>
            <w:vMerge w:val="continue"/>
            <w:shd w:val="clear" w:color="auto" w:fill="4DC1E4"/>
          </w:tcPr>
          <w:p>
            <w:pPr>
              <w:spacing w:after="0"/>
              <w:rPr>
                <w:sz w:val="17"/>
                <w:szCs w:val="17"/>
                <w:color w:val="auto"/>
              </w:rPr>
            </w:pPr>
          </w:p>
        </w:tc>
        <w:tc>
          <w:tcPr>
            <w:tcW w:w="1300" w:type="dxa"/>
            <w:vAlign w:val="bottom"/>
            <w:shd w:val="clear" w:color="auto" w:fill="4DC1E4"/>
          </w:tcPr>
          <w:p>
            <w:pPr>
              <w:spacing w:after="0"/>
              <w:rPr>
                <w:sz w:val="17"/>
                <w:szCs w:val="17"/>
                <w:color w:val="auto"/>
              </w:rPr>
            </w:pPr>
          </w:p>
        </w:tc>
        <w:tc>
          <w:tcPr>
            <w:tcW w:w="460" w:type="dxa"/>
            <w:vAlign w:val="bottom"/>
            <w:gridSpan w:val="2"/>
            <w:vMerge w:val="continue"/>
            <w:shd w:val="clear" w:color="auto" w:fill="4DC1E4"/>
          </w:tcPr>
          <w:p>
            <w:pPr>
              <w:spacing w:after="0"/>
              <w:rPr>
                <w:sz w:val="17"/>
                <w:szCs w:val="17"/>
                <w:color w:val="auto"/>
              </w:rPr>
            </w:pPr>
          </w:p>
        </w:tc>
        <w:tc>
          <w:tcPr>
            <w:tcW w:w="140" w:type="dxa"/>
            <w:vAlign w:val="bottom"/>
            <w:shd w:val="clear" w:color="auto" w:fill="4DC1E4"/>
          </w:tcPr>
          <w:p>
            <w:pPr>
              <w:spacing w:after="0"/>
              <w:rPr>
                <w:sz w:val="17"/>
                <w:szCs w:val="17"/>
                <w:color w:val="auto"/>
              </w:rPr>
            </w:pPr>
          </w:p>
        </w:tc>
        <w:tc>
          <w:tcPr>
            <w:tcW w:w="860" w:type="dxa"/>
            <w:vAlign w:val="bottom"/>
            <w:gridSpan w:val="2"/>
            <w:shd w:val="clear" w:color="auto" w:fill="4DC1E4"/>
          </w:tcPr>
          <w:p>
            <w:pPr>
              <w:ind w:left="80"/>
              <w:spacing w:after="0"/>
              <w:rPr>
                <w:sz w:val="20"/>
                <w:szCs w:val="20"/>
                <w:color w:val="auto"/>
              </w:rPr>
            </w:pPr>
            <w:r>
              <w:rPr>
                <w:rFonts w:ascii="Times New Roman" w:cs="Times New Roman" w:eastAsia="Times New Roman" w:hAnsi="Times New Roman"/>
                <w:sz w:val="14"/>
                <w:szCs w:val="14"/>
                <w:b w:val="1"/>
                <w:bCs w:val="1"/>
                <w:color w:val="FFFFFF"/>
              </w:rPr>
              <w:t>Since</w:t>
            </w:r>
          </w:p>
        </w:tc>
        <w:tc>
          <w:tcPr>
            <w:tcW w:w="2200" w:type="dxa"/>
            <w:vAlign w:val="bottom"/>
            <w:gridSpan w:val="2"/>
            <w:vMerge w:val="continue"/>
            <w:shd w:val="clear" w:color="auto" w:fill="4DC1E4"/>
          </w:tcPr>
          <w:p>
            <w:pPr>
              <w:spacing w:after="0"/>
              <w:rPr>
                <w:sz w:val="17"/>
                <w:szCs w:val="17"/>
                <w:color w:val="auto"/>
              </w:rPr>
            </w:pPr>
          </w:p>
        </w:tc>
        <w:tc>
          <w:tcPr>
            <w:tcW w:w="1140" w:type="dxa"/>
            <w:vAlign w:val="bottom"/>
            <w:gridSpan w:val="2"/>
            <w:vMerge w:val="continue"/>
            <w:shd w:val="clear" w:color="auto" w:fill="4DC1E4"/>
          </w:tcPr>
          <w:p>
            <w:pPr>
              <w:spacing w:after="0"/>
              <w:rPr>
                <w:sz w:val="17"/>
                <w:szCs w:val="17"/>
                <w:color w:val="auto"/>
              </w:rPr>
            </w:pPr>
          </w:p>
        </w:tc>
        <w:tc>
          <w:tcPr>
            <w:tcW w:w="400" w:type="dxa"/>
            <w:vAlign w:val="bottom"/>
            <w:gridSpan w:val="2"/>
            <w:vMerge w:val="continue"/>
            <w:shd w:val="clear" w:color="auto" w:fill="4DC1E4"/>
          </w:tcPr>
          <w:p>
            <w:pPr>
              <w:spacing w:after="0"/>
              <w:rPr>
                <w:sz w:val="17"/>
                <w:szCs w:val="17"/>
                <w:color w:val="auto"/>
              </w:rPr>
            </w:pPr>
          </w:p>
        </w:tc>
        <w:tc>
          <w:tcPr>
            <w:tcW w:w="260" w:type="dxa"/>
            <w:vAlign w:val="bottom"/>
            <w:shd w:val="clear" w:color="auto" w:fill="4DC1E4"/>
          </w:tcPr>
          <w:p>
            <w:pPr>
              <w:spacing w:after="0"/>
              <w:rPr>
                <w:sz w:val="17"/>
                <w:szCs w:val="17"/>
                <w:color w:val="auto"/>
              </w:rPr>
            </w:pPr>
          </w:p>
        </w:tc>
        <w:tc>
          <w:tcPr>
            <w:tcW w:w="680" w:type="dxa"/>
            <w:vAlign w:val="bottom"/>
            <w:gridSpan w:val="3"/>
            <w:vMerge w:val="continue"/>
            <w:shd w:val="clear" w:color="auto" w:fill="4DC1E4"/>
          </w:tcPr>
          <w:p>
            <w:pPr>
              <w:spacing w:after="0"/>
              <w:rPr>
                <w:sz w:val="17"/>
                <w:szCs w:val="17"/>
                <w:color w:val="auto"/>
              </w:rPr>
            </w:pPr>
          </w:p>
        </w:tc>
        <w:tc>
          <w:tcPr>
            <w:tcW w:w="520" w:type="dxa"/>
            <w:vAlign w:val="bottom"/>
            <w:vMerge w:val="continue"/>
            <w:shd w:val="clear" w:color="auto" w:fill="4DC1E4"/>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0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Thomas E. Hamilton</w:t>
            </w:r>
          </w:p>
        </w:tc>
        <w:tc>
          <w:tcPr>
            <w:tcW w:w="1300" w:type="dxa"/>
            <w:vAlign w:val="bottom"/>
          </w:tcPr>
          <w:p>
            <w:pPr>
              <w:spacing w:after="0"/>
              <w:rPr>
                <w:sz w:val="16"/>
                <w:szCs w:val="16"/>
                <w:color w:val="auto"/>
              </w:rPr>
            </w:pPr>
          </w:p>
        </w:tc>
        <w:tc>
          <w:tcPr>
            <w:tcW w:w="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16"/>
                <w:szCs w:val="16"/>
                <w:color w:val="auto"/>
              </w:rPr>
            </w:pPr>
          </w:p>
        </w:tc>
        <w:tc>
          <w:tcPr>
            <w:tcW w:w="1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Managing Member of</w:t>
            </w:r>
          </w:p>
        </w:tc>
        <w:tc>
          <w:tcPr>
            <w:tcW w:w="280" w:type="dxa"/>
            <w:vAlign w:val="bottom"/>
          </w:tcPr>
          <w:p>
            <w:pPr>
              <w:spacing w:after="0"/>
              <w:rPr>
                <w:sz w:val="16"/>
                <w:szCs w:val="16"/>
                <w:color w:val="auto"/>
              </w:rPr>
            </w:pP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Yes</w:t>
            </w:r>
          </w:p>
        </w:tc>
        <w:tc>
          <w:tcPr>
            <w:tcW w:w="340" w:type="dxa"/>
            <w:vAlign w:val="bottom"/>
          </w:tcPr>
          <w:p>
            <w:pPr>
              <w:spacing w:after="0"/>
              <w:rPr>
                <w:sz w:val="16"/>
                <w:szCs w:val="16"/>
                <w:color w:val="auto"/>
              </w:rPr>
            </w:pPr>
          </w:p>
        </w:tc>
        <w:tc>
          <w:tcPr>
            <w:tcW w:w="2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w w:val="87"/>
              </w:rPr>
              <w:t>M</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Friedreich’s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Ataxia Life Sciences</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060" w:type="dxa"/>
            <w:vAlign w:val="bottom"/>
          </w:tcPr>
          <w:p>
            <w:pPr>
              <w:spacing w:after="0"/>
              <w:rPr>
                <w:sz w:val="24"/>
                <w:szCs w:val="24"/>
                <w:color w:val="auto"/>
              </w:rPr>
            </w:pPr>
          </w:p>
        </w:tc>
        <w:tc>
          <w:tcPr>
            <w:tcW w:w="276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color w:val="auto"/>
                <w:w w:val="98"/>
              </w:rPr>
              <w:t>AC = Audit Committee</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center"/>
              <w:ind w:right="228"/>
              <w:spacing w:after="0"/>
              <w:rPr>
                <w:sz w:val="20"/>
                <w:szCs w:val="20"/>
                <w:color w:val="auto"/>
              </w:rPr>
            </w:pPr>
            <w:r>
              <w:rPr>
                <w:rFonts w:ascii="Times New Roman" w:cs="Times New Roman" w:eastAsia="Times New Roman" w:hAnsi="Times New Roman"/>
                <w:sz w:val="18"/>
                <w:szCs w:val="18"/>
                <w:color w:val="auto"/>
                <w:w w:val="99"/>
              </w:rPr>
              <w:t>M = Member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76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color w:val="auto"/>
              </w:rPr>
              <w:t>CC = Compensation Committee</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rPr>
              <w:t>C = Chair</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20" w:type="dxa"/>
            <w:vAlign w:val="bottom"/>
            <w:gridSpan w:val="9"/>
          </w:tcPr>
          <w:p>
            <w:pPr>
              <w:jc w:val="center"/>
              <w:ind w:left="912"/>
              <w:spacing w:after="0"/>
              <w:rPr>
                <w:sz w:val="20"/>
                <w:szCs w:val="20"/>
                <w:color w:val="auto"/>
              </w:rPr>
            </w:pPr>
            <w:r>
              <w:rPr>
                <w:rFonts w:ascii="Times New Roman" w:cs="Times New Roman" w:eastAsia="Times New Roman" w:hAnsi="Times New Roman"/>
                <w:sz w:val="18"/>
                <w:szCs w:val="18"/>
                <w:color w:val="auto"/>
                <w:w w:val="99"/>
              </w:rPr>
              <w:t>NCGC = Nominating and Corporate Governance Committee</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060" w:type="dxa"/>
            <w:vAlign w:val="bottom"/>
          </w:tcPr>
          <w:p>
            <w:pPr>
              <w:spacing w:after="0"/>
              <w:rPr>
                <w:sz w:val="24"/>
                <w:szCs w:val="24"/>
                <w:color w:val="auto"/>
              </w:rPr>
            </w:pPr>
          </w:p>
        </w:tc>
        <w:tc>
          <w:tcPr>
            <w:tcW w:w="496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CORPORATE GOVERNANCE HIGHLIGHTS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summarizes our current Board structure and key elements of our corporate governance framework:</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4DC1E4"/>
          </w:tcPr>
          <w:p>
            <w:pPr>
              <w:spacing w:after="0"/>
              <w:rPr>
                <w:sz w:val="19"/>
                <w:szCs w:val="19"/>
                <w:color w:val="auto"/>
              </w:rPr>
            </w:pPr>
          </w:p>
        </w:tc>
        <w:tc>
          <w:tcPr>
            <w:tcW w:w="1300" w:type="dxa"/>
            <w:vAlign w:val="bottom"/>
            <w:shd w:val="clear" w:color="auto" w:fill="4DC1E4"/>
          </w:tcPr>
          <w:p>
            <w:pPr>
              <w:spacing w:after="0"/>
              <w:rPr>
                <w:sz w:val="19"/>
                <w:szCs w:val="19"/>
                <w:color w:val="auto"/>
              </w:rPr>
            </w:pPr>
          </w:p>
        </w:tc>
        <w:tc>
          <w:tcPr>
            <w:tcW w:w="240" w:type="dxa"/>
            <w:vAlign w:val="bottom"/>
            <w:shd w:val="clear" w:color="auto" w:fill="4DC1E4"/>
          </w:tcPr>
          <w:p>
            <w:pPr>
              <w:spacing w:after="0"/>
              <w:rPr>
                <w:sz w:val="19"/>
                <w:szCs w:val="19"/>
                <w:color w:val="auto"/>
              </w:rPr>
            </w:pPr>
          </w:p>
        </w:tc>
        <w:tc>
          <w:tcPr>
            <w:tcW w:w="220" w:type="dxa"/>
            <w:vAlign w:val="bottom"/>
            <w:shd w:val="clear" w:color="auto" w:fill="4DC1E4"/>
          </w:tcPr>
          <w:p>
            <w:pPr>
              <w:spacing w:after="0"/>
              <w:rPr>
                <w:sz w:val="19"/>
                <w:szCs w:val="19"/>
                <w:color w:val="auto"/>
              </w:rPr>
            </w:pPr>
          </w:p>
        </w:tc>
        <w:tc>
          <w:tcPr>
            <w:tcW w:w="3200" w:type="dxa"/>
            <w:vAlign w:val="bottom"/>
            <w:gridSpan w:val="5"/>
            <w:shd w:val="clear" w:color="auto" w:fill="4DC1E4"/>
          </w:tcPr>
          <w:p>
            <w:pPr>
              <w:jc w:val="center"/>
              <w:ind w:right="1840"/>
              <w:spacing w:after="0"/>
              <w:rPr>
                <w:sz w:val="20"/>
                <w:szCs w:val="20"/>
                <w:color w:val="auto"/>
              </w:rPr>
            </w:pPr>
            <w:r>
              <w:rPr>
                <w:rFonts w:ascii="Times New Roman" w:cs="Times New Roman" w:eastAsia="Times New Roman" w:hAnsi="Times New Roman"/>
                <w:sz w:val="14"/>
                <w:szCs w:val="14"/>
                <w:b w:val="1"/>
                <w:bCs w:val="1"/>
                <w:color w:val="FFFFFF"/>
              </w:rPr>
              <w:t>G</w:t>
            </w:r>
            <w:r>
              <w:rPr>
                <w:rFonts w:ascii="Times New Roman" w:cs="Times New Roman" w:eastAsia="Times New Roman" w:hAnsi="Times New Roman"/>
                <w:sz w:val="11"/>
                <w:szCs w:val="11"/>
                <w:b w:val="1"/>
                <w:bCs w:val="1"/>
                <w:color w:val="FFFFFF"/>
              </w:rPr>
              <w:t>OVERNANCE</w:t>
            </w:r>
            <w:r>
              <w:rPr>
                <w:rFonts w:ascii="Times New Roman" w:cs="Times New Roman" w:eastAsia="Times New Roman" w:hAnsi="Times New Roman"/>
                <w:sz w:val="14"/>
                <w:szCs w:val="14"/>
                <w:b w:val="1"/>
                <w:bCs w:val="1"/>
                <w:color w:val="FFFFFF"/>
              </w:rPr>
              <w:t xml:space="preserve"> I</w:t>
            </w:r>
            <w:r>
              <w:rPr>
                <w:rFonts w:ascii="Times New Roman" w:cs="Times New Roman" w:eastAsia="Times New Roman" w:hAnsi="Times New Roman"/>
                <w:sz w:val="11"/>
                <w:szCs w:val="11"/>
                <w:b w:val="1"/>
                <w:bCs w:val="1"/>
                <w:color w:val="FFFFFF"/>
              </w:rPr>
              <w:t>TEMS</w:t>
            </w:r>
          </w:p>
        </w:tc>
        <w:tc>
          <w:tcPr>
            <w:tcW w:w="800" w:type="dxa"/>
            <w:vAlign w:val="bottom"/>
            <w:shd w:val="clear" w:color="auto" w:fill="4DC1E4"/>
          </w:tcPr>
          <w:p>
            <w:pPr>
              <w:spacing w:after="0"/>
              <w:rPr>
                <w:sz w:val="19"/>
                <w:szCs w:val="19"/>
                <w:color w:val="auto"/>
              </w:rPr>
            </w:pPr>
          </w:p>
        </w:tc>
        <w:tc>
          <w:tcPr>
            <w:tcW w:w="340" w:type="dxa"/>
            <w:vAlign w:val="bottom"/>
            <w:shd w:val="clear" w:color="auto" w:fill="4DC1E4"/>
          </w:tcPr>
          <w:p>
            <w:pPr>
              <w:spacing w:after="0"/>
              <w:rPr>
                <w:sz w:val="19"/>
                <w:szCs w:val="19"/>
                <w:color w:val="auto"/>
              </w:rPr>
            </w:pPr>
          </w:p>
        </w:tc>
        <w:tc>
          <w:tcPr>
            <w:tcW w:w="280" w:type="dxa"/>
            <w:vAlign w:val="bottom"/>
            <w:shd w:val="clear" w:color="auto" w:fill="4DC1E4"/>
          </w:tcPr>
          <w:p>
            <w:pPr>
              <w:spacing w:after="0"/>
              <w:rPr>
                <w:sz w:val="19"/>
                <w:szCs w:val="19"/>
                <w:color w:val="auto"/>
              </w:rPr>
            </w:pPr>
          </w:p>
        </w:tc>
        <w:tc>
          <w:tcPr>
            <w:tcW w:w="120" w:type="dxa"/>
            <w:vAlign w:val="bottom"/>
            <w:shd w:val="clear" w:color="auto" w:fill="4DC1E4"/>
          </w:tcPr>
          <w:p>
            <w:pPr>
              <w:spacing w:after="0"/>
              <w:rPr>
                <w:sz w:val="19"/>
                <w:szCs w:val="19"/>
                <w:color w:val="auto"/>
              </w:rPr>
            </w:pPr>
          </w:p>
        </w:tc>
        <w:tc>
          <w:tcPr>
            <w:tcW w:w="260" w:type="dxa"/>
            <w:vAlign w:val="bottom"/>
            <w:shd w:val="clear" w:color="auto" w:fill="4DC1E4"/>
          </w:tcPr>
          <w:p>
            <w:pPr>
              <w:spacing w:after="0"/>
              <w:rPr>
                <w:sz w:val="19"/>
                <w:szCs w:val="19"/>
                <w:color w:val="auto"/>
              </w:rPr>
            </w:pPr>
          </w:p>
        </w:tc>
        <w:tc>
          <w:tcPr>
            <w:tcW w:w="280" w:type="dxa"/>
            <w:vAlign w:val="bottom"/>
            <w:shd w:val="clear" w:color="auto" w:fill="4DC1E4"/>
          </w:tcPr>
          <w:p>
            <w:pPr>
              <w:spacing w:after="0"/>
              <w:rPr>
                <w:sz w:val="19"/>
                <w:szCs w:val="19"/>
                <w:color w:val="auto"/>
              </w:rPr>
            </w:pPr>
          </w:p>
        </w:tc>
        <w:tc>
          <w:tcPr>
            <w:tcW w:w="300" w:type="dxa"/>
            <w:vAlign w:val="bottom"/>
            <w:shd w:val="clear" w:color="auto" w:fill="4DC1E4"/>
          </w:tcPr>
          <w:p>
            <w:pPr>
              <w:spacing w:after="0"/>
              <w:rPr>
                <w:sz w:val="19"/>
                <w:szCs w:val="19"/>
                <w:color w:val="auto"/>
              </w:rPr>
            </w:pPr>
          </w:p>
        </w:tc>
        <w:tc>
          <w:tcPr>
            <w:tcW w:w="100" w:type="dxa"/>
            <w:vAlign w:val="bottom"/>
            <w:shd w:val="clear" w:color="auto" w:fill="4DC1E4"/>
          </w:tcPr>
          <w:p>
            <w:pPr>
              <w:spacing w:after="0"/>
              <w:rPr>
                <w:sz w:val="19"/>
                <w:szCs w:val="19"/>
                <w:color w:val="auto"/>
              </w:rPr>
            </w:pPr>
          </w:p>
        </w:tc>
        <w:tc>
          <w:tcPr>
            <w:tcW w:w="520" w:type="dxa"/>
            <w:vAlign w:val="bottom"/>
            <w:shd w:val="clear" w:color="auto" w:fill="4DC1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Size of Board (set by the Board)</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7 (6 after Annual Meeting)</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Number of Independent Directors</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6 (5 after Annual Meeting)</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Chairperson of the Board</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Board Self-Evaluation</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Annual</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Review of Independence of Board</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Annual</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Independent Directors Meet Without Management Present</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Voting Standard for Election of Directors in Uncontested Elections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Plurality</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Diversity of Board background, experience and skills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-3025140</wp:posOffset>
            </wp:positionV>
            <wp:extent cx="8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135"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we reported positive topline data from our Phase 1 Friedreich’s ataxia (“FA”) program.</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the U.S. Food and Drug Administration (“FDA”) placed a clinical hold on our clinical development of CTI-1601 following our notification to the FDA of mortalities which occurred at the highest dose levels in a 26-week non-human primate (NHP) toxicology study that was designed to support extended dosing of patients with CTI-1601. At the time the clinical hold was placed, we had no interventional clinical trials with patients enrolled or enrolling.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we received a European Medicines Agency (EMA) Priority Medicines (PRIME) designation for CTI-1601 in FA.</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received feedback from the FDA regarding the May 2021 clinical hold placed on the CTI-1601 program. In the feedback provided in February 2022, the FDA stated it was maintaining the clinical hold and that additional data are needed to resolve the clinical hold. We are evaluating how to best provide these data to the FDA, and are reassessing the timing of the planned open label extension and the pediatric multiple ascending dose studies.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ii</w:t>
      </w:r>
    </w:p>
    <w:p>
      <w:pPr>
        <w:sectPr>
          <w:pgSz w:w="11900" w:h="16838" w:orient="portrait"/>
          <w:cols w:equalWidth="0" w:num="1">
            <w:col w:w="11140"/>
          </w:cols>
          <w:pgMar w:left="32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260" w:type="dxa"/>
            <w:vAlign w:val="bottom"/>
            <w:gridSpan w:val="3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SUMMARY INFORMATION</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360" w:type="dxa"/>
            <w:vAlign w:val="bottom"/>
            <w:tcBorders>
              <w:top w:val="single" w:sz="8" w:color="0000EE"/>
            </w:tcBorders>
          </w:tcPr>
          <w:p>
            <w:pPr>
              <w:spacing w:after="0"/>
              <w:rPr>
                <w:sz w:val="17"/>
                <w:szCs w:val="17"/>
                <w:color w:val="auto"/>
              </w:rPr>
            </w:pPr>
          </w:p>
        </w:tc>
        <w:tc>
          <w:tcPr>
            <w:tcW w:w="17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PROXY STATEMENT</w:t>
              </w:r>
            </w:hyperlink>
          </w:p>
        </w:tc>
        <w:tc>
          <w:tcPr>
            <w:tcW w:w="140" w:type="dxa"/>
            <w:vAlign w:val="bottom"/>
            <w:tcBorders>
              <w:top w:val="single" w:sz="8" w:color="0000EE"/>
            </w:tcBorders>
            <w:gridSpan w:val="4"/>
          </w:tcPr>
          <w:p>
            <w:pPr>
              <w:spacing w:after="0"/>
              <w:rPr>
                <w:sz w:val="17"/>
                <w:szCs w:val="17"/>
                <w:color w:val="auto"/>
              </w:rPr>
            </w:pPr>
          </w:p>
        </w:tc>
        <w:tc>
          <w:tcPr>
            <w:tcW w:w="8060" w:type="dxa"/>
            <w:vAlign w:val="bottom"/>
            <w:gridSpan w:val="3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196"/>
        </w:trPr>
        <w:tc>
          <w:tcPr>
            <w:tcW w:w="360" w:type="dxa"/>
            <w:vAlign w:val="bottom"/>
          </w:tcPr>
          <w:p>
            <w:pPr>
              <w:spacing w:after="0"/>
              <w:rPr>
                <w:sz w:val="17"/>
                <w:szCs w:val="17"/>
                <w:color w:val="auto"/>
              </w:rPr>
            </w:pPr>
          </w:p>
        </w:tc>
        <w:tc>
          <w:tcPr>
            <w:tcW w:w="18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EXPLANATORY NOTE</w:t>
              </w:r>
            </w:hyperlink>
          </w:p>
        </w:tc>
        <w:tc>
          <w:tcPr>
            <w:tcW w:w="8080" w:type="dxa"/>
            <w:vAlign w:val="bottom"/>
            <w:gridSpan w:val="3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vi</w:t>
            </w:r>
          </w:p>
        </w:tc>
      </w:tr>
      <w:tr>
        <w:trPr>
          <w:trHeight w:val="304"/>
        </w:trPr>
        <w:tc>
          <w:tcPr>
            <w:tcW w:w="40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GENERAL INFORMATION ABOUT THE MEETING</w:t>
              </w:r>
            </w:hyperlink>
          </w:p>
        </w:tc>
        <w:tc>
          <w:tcPr>
            <w:tcW w:w="622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260" w:type="dxa"/>
            <w:vAlign w:val="bottom"/>
            <w:gridSpan w:val="39"/>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BOARD OF DIRECTORS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6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BOARD STRUCTURE AND COMPOSITION</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6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CRITERIA FOR BOARD MEMBERSHIP</w:t>
              </w:r>
            </w:hyperlink>
          </w:p>
        </w:tc>
        <w:tc>
          <w:tcPr>
            <w:tcW w:w="300" w:type="dxa"/>
            <w:vAlign w:val="bottom"/>
            <w:tcBorders>
              <w:top w:val="single" w:sz="8" w:color="0000EE"/>
            </w:tcBorders>
            <w:gridSpan w:val="2"/>
          </w:tcPr>
          <w:p>
            <w:pPr>
              <w:spacing w:after="0"/>
              <w:rPr>
                <w:sz w:val="17"/>
                <w:szCs w:val="17"/>
                <w:color w:val="auto"/>
              </w:rPr>
            </w:pPr>
          </w:p>
        </w:tc>
        <w:tc>
          <w:tcPr>
            <w:tcW w:w="648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BOARD DIVERSITY</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36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BOARD OVERSIGHT OF COMPANY CULTURE AND ENVIRONMENTAL, SOCIAL AND GOVERNANCE HIGHLIGHTS</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DIRECTOR NOMINEE</w:t>
              </w:r>
            </w:hyperlink>
          </w:p>
        </w:tc>
        <w:tc>
          <w:tcPr>
            <w:tcW w:w="7580" w:type="dxa"/>
            <w:vAlign w:val="bottom"/>
            <w:tcBorders>
              <w:top w:val="single" w:sz="8" w:color="0000EE"/>
            </w:tcBorders>
            <w:gridSpan w:val="32"/>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CONTINUING DIRECTORS</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0260" w:type="dxa"/>
            <w:vAlign w:val="bottom"/>
            <w:gridSpan w:val="3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CORPORATE GOVERNANCE AND RISK MANAGEMENT</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96"/>
        </w:trPr>
        <w:tc>
          <w:tcPr>
            <w:tcW w:w="36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BOARD INDEPENDENCE</w:t>
              </w:r>
            </w:hyperlink>
          </w:p>
        </w:tc>
        <w:tc>
          <w:tcPr>
            <w:tcW w:w="2140" w:type="dxa"/>
            <w:vAlign w:val="bottom"/>
            <w:tcBorders>
              <w:top w:val="single" w:sz="8" w:color="0000EE"/>
            </w:tcBorders>
            <w:gridSpan w:val="16"/>
          </w:tcPr>
          <w:p>
            <w:pPr>
              <w:spacing w:after="0"/>
              <w:rPr>
                <w:sz w:val="17"/>
                <w:szCs w:val="17"/>
                <w:color w:val="auto"/>
              </w:rPr>
            </w:pPr>
          </w:p>
        </w:tc>
        <w:tc>
          <w:tcPr>
            <w:tcW w:w="570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BOARD LEADERSHIP STRUCTURE</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60" w:type="dxa"/>
            <w:vAlign w:val="bottom"/>
          </w:tcPr>
          <w:p>
            <w:pPr>
              <w:spacing w:after="0"/>
              <w:rPr>
                <w:sz w:val="17"/>
                <w:szCs w:val="17"/>
                <w:color w:val="auto"/>
              </w:rPr>
            </w:pPr>
          </w:p>
        </w:tc>
        <w:tc>
          <w:tcPr>
            <w:tcW w:w="28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BOARD COMMITTEES</w:t>
              </w:r>
            </w:hyperlink>
          </w:p>
        </w:tc>
        <w:tc>
          <w:tcPr>
            <w:tcW w:w="7040" w:type="dxa"/>
            <w:vAlign w:val="bottom"/>
            <w:gridSpan w:val="2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RISK MANAGEMENT</w:t>
              </w:r>
            </w:hyperlink>
          </w:p>
        </w:tc>
        <w:tc>
          <w:tcPr>
            <w:tcW w:w="80" w:type="dxa"/>
            <w:vAlign w:val="bottom"/>
            <w:tcBorders>
              <w:top w:val="single" w:sz="8" w:color="0000EE"/>
            </w:tcBorders>
            <w:gridSpan w:val="3"/>
          </w:tcPr>
          <w:p>
            <w:pPr>
              <w:spacing w:after="0"/>
              <w:rPr>
                <w:sz w:val="17"/>
                <w:szCs w:val="17"/>
                <w:color w:val="auto"/>
              </w:rPr>
            </w:pPr>
          </w:p>
        </w:tc>
        <w:tc>
          <w:tcPr>
            <w:tcW w:w="8060" w:type="dxa"/>
            <w:vAlign w:val="bottom"/>
            <w:gridSpan w:val="3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60" w:type="dxa"/>
            <w:vAlign w:val="bottom"/>
          </w:tcPr>
          <w:p>
            <w:pPr>
              <w:spacing w:after="0"/>
              <w:rPr>
                <w:sz w:val="17"/>
                <w:szCs w:val="17"/>
                <w:color w:val="auto"/>
              </w:rPr>
            </w:pPr>
          </w:p>
        </w:tc>
        <w:tc>
          <w:tcPr>
            <w:tcW w:w="32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EVALUATING BOARD EFFECTIVENESS</w:t>
              </w:r>
            </w:hyperlink>
          </w:p>
        </w:tc>
        <w:tc>
          <w:tcPr>
            <w:tcW w:w="6660" w:type="dxa"/>
            <w:vAlign w:val="bottom"/>
            <w:gridSpan w:val="1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6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CODE OF CONDUCT</w:t>
              </w:r>
            </w:hyperlink>
          </w:p>
        </w:tc>
        <w:tc>
          <w:tcPr>
            <w:tcW w:w="8220" w:type="dxa"/>
            <w:vAlign w:val="bottom"/>
            <w:gridSpan w:val="3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DIRECTOR ORIENTATION AND CONTINUING EDUCATION</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60" w:type="dxa"/>
            <w:vAlign w:val="bottom"/>
          </w:tcPr>
          <w:p>
            <w:pPr>
              <w:spacing w:after="0"/>
              <w:rPr>
                <w:sz w:val="17"/>
                <w:szCs w:val="17"/>
                <w:color w:val="auto"/>
              </w:rPr>
            </w:pPr>
          </w:p>
        </w:tc>
        <w:tc>
          <w:tcPr>
            <w:tcW w:w="480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CORPORATE GOVERNANCE GUIDELINES</w:t>
              </w:r>
            </w:hyperlink>
          </w:p>
        </w:tc>
        <w:tc>
          <w:tcPr>
            <w:tcW w:w="510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74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BOARD ATTENDANCE, COMMITTEE MEETINGS AND COMMITTEE MEMBERSHIP</w:t>
              </w:r>
            </w:hyperlink>
          </w:p>
        </w:tc>
        <w:tc>
          <w:tcPr>
            <w:tcW w:w="316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FAMILY RELATIONSHIPS</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36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0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COMPENSATION COMMITTEE INTERLOCKS AND INSIDER PARTICIPATION</w:t>
              </w:r>
            </w:hyperlink>
          </w:p>
        </w:tc>
        <w:tc>
          <w:tcPr>
            <w:tcW w:w="370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STOCKHOLDER ENGAGEMENT</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36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0260" w:type="dxa"/>
            <w:vAlign w:val="bottom"/>
            <w:gridSpan w:val="3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DIRECTOR COMPENSATION</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36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4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NON-EMPLOYEE DIRECTOR COMPENSATION POLICY</w:t>
              </w:r>
            </w:hyperlink>
          </w:p>
        </w:tc>
        <w:tc>
          <w:tcPr>
            <w:tcW w:w="542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360" w:type="dxa"/>
            <w:vAlign w:val="bottom"/>
          </w:tcPr>
          <w:p>
            <w:pPr>
              <w:spacing w:after="0"/>
              <w:rPr>
                <w:sz w:val="17"/>
                <w:szCs w:val="17"/>
                <w:color w:val="auto"/>
              </w:rPr>
            </w:pPr>
          </w:p>
        </w:tc>
        <w:tc>
          <w:tcPr>
            <w:tcW w:w="2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DIRECTOR COMPENSATION TABLE</w:t>
              </w:r>
            </w:hyperlink>
          </w:p>
        </w:tc>
        <w:tc>
          <w:tcPr>
            <w:tcW w:w="6960" w:type="dxa"/>
            <w:vAlign w:val="bottom"/>
            <w:gridSpan w:val="2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304"/>
        </w:trPr>
        <w:tc>
          <w:tcPr>
            <w:tcW w:w="48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INDEPENDENT REGISTERED PUBLIC ACCOUNTING FIRM</w:t>
              </w:r>
            </w:hyperlink>
          </w:p>
        </w:tc>
        <w:tc>
          <w:tcPr>
            <w:tcW w:w="5460" w:type="dxa"/>
            <w:vAlign w:val="bottom"/>
            <w:gridSpan w:val="11"/>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96"/>
        </w:trPr>
        <w:tc>
          <w:tcPr>
            <w:tcW w:w="360" w:type="dxa"/>
            <w:vAlign w:val="bottom"/>
          </w:tcPr>
          <w:p>
            <w:pPr>
              <w:spacing w:after="0"/>
              <w:rPr>
                <w:sz w:val="17"/>
                <w:szCs w:val="17"/>
                <w:color w:val="auto"/>
              </w:rPr>
            </w:pPr>
          </w:p>
        </w:tc>
        <w:tc>
          <w:tcPr>
            <w:tcW w:w="52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INDEPENDENT REGISTERED PUBLIC ACCOUNTING FIRM FEES</w:t>
              </w:r>
            </w:hyperlink>
          </w:p>
        </w:tc>
        <w:tc>
          <w:tcPr>
            <w:tcW w:w="464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360" w:type="dxa"/>
            <w:vAlign w:val="bottom"/>
          </w:tcPr>
          <w:p>
            <w:pPr>
              <w:spacing w:after="0"/>
              <w:rPr>
                <w:sz w:val="17"/>
                <w:szCs w:val="17"/>
                <w:color w:val="auto"/>
              </w:rPr>
            </w:pPr>
          </w:p>
        </w:tc>
        <w:tc>
          <w:tcPr>
            <w:tcW w:w="5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AUDIT COMMITTEE PRE-APPROVAL POLICIES AND PROCEDURES</w:t>
              </w:r>
            </w:hyperlink>
          </w:p>
        </w:tc>
        <w:tc>
          <w:tcPr>
            <w:tcW w:w="438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304"/>
        </w:trPr>
        <w:tc>
          <w:tcPr>
            <w:tcW w:w="24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AUDIT COMMITTEE REPORT</w:t>
              </w:r>
            </w:hyperlink>
          </w:p>
        </w:tc>
        <w:tc>
          <w:tcPr>
            <w:tcW w:w="7840" w:type="dxa"/>
            <w:vAlign w:val="bottom"/>
            <w:gridSpan w:val="28"/>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19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EXECUTIVE OFFICERS</w:t>
              </w:r>
            </w:hyperlink>
          </w:p>
        </w:tc>
        <w:tc>
          <w:tcPr>
            <w:tcW w:w="8320" w:type="dxa"/>
            <w:vAlign w:val="bottom"/>
            <w:gridSpan w:val="37"/>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2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EXECUTIVE COMPENSATION</w:t>
              </w:r>
            </w:hyperlink>
          </w:p>
        </w:tc>
        <w:tc>
          <w:tcPr>
            <w:tcW w:w="7820" w:type="dxa"/>
            <w:vAlign w:val="bottom"/>
            <w:gridSpan w:val="27"/>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SUMMARY COMPENSATION TABLE</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PLEDGING AND HEDGING POLICIES</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OUTSTANDING EQUITY AWARDS AT FISCAL YEAR-END</w:t>
              </w:r>
            </w:hyperlink>
          </w:p>
        </w:tc>
        <w:tc>
          <w:tcPr>
            <w:tcW w:w="5220" w:type="dxa"/>
            <w:vAlign w:val="bottom"/>
            <w:gridSpan w:val="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36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EMPLOYMENT AGREEMENTS</w:t>
              </w:r>
            </w:hyperlink>
          </w:p>
        </w:tc>
        <w:tc>
          <w:tcPr>
            <w:tcW w:w="7400" w:type="dxa"/>
            <w:vAlign w:val="bottom"/>
            <w:gridSpan w:val="2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304"/>
        </w:trPr>
        <w:tc>
          <w:tcPr>
            <w:tcW w:w="10260" w:type="dxa"/>
            <w:vAlign w:val="bottom"/>
            <w:gridSpan w:val="39"/>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CERTAIN RELATIONSHIPS AND RELATED PARTY TRANSACTIONS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96"/>
        </w:trPr>
        <w:tc>
          <w:tcPr>
            <w:tcW w:w="360" w:type="dxa"/>
            <w:vAlign w:val="bottom"/>
            <w:tcBorders>
              <w:top w:val="single" w:sz="8" w:color="0000EE"/>
            </w:tcBorders>
          </w:tcPr>
          <w:p>
            <w:pPr>
              <w:spacing w:after="0"/>
              <w:rPr>
                <w:sz w:val="17"/>
                <w:szCs w:val="17"/>
                <w:color w:val="auto"/>
              </w:rPr>
            </w:pPr>
          </w:p>
        </w:tc>
        <w:tc>
          <w:tcPr>
            <w:tcW w:w="510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INDEMNIFICATION AGREEMENTS</w:t>
              </w:r>
            </w:hyperlink>
          </w:p>
        </w:tc>
        <w:tc>
          <w:tcPr>
            <w:tcW w:w="480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OTHER TRANSACTIONS</w:t>
              </w:r>
            </w:hyperlink>
          </w:p>
        </w:tc>
        <w:tc>
          <w:tcPr>
            <w:tcW w:w="820" w:type="dxa"/>
            <w:vAlign w:val="bottom"/>
            <w:tcBorders>
              <w:top w:val="single" w:sz="8" w:color="0000EE"/>
            </w:tcBorders>
            <w:gridSpan w:val="6"/>
          </w:tcPr>
          <w:p>
            <w:pPr>
              <w:spacing w:after="0"/>
              <w:rPr>
                <w:sz w:val="17"/>
                <w:szCs w:val="17"/>
                <w:color w:val="auto"/>
              </w:rPr>
            </w:pPr>
          </w:p>
        </w:tc>
        <w:tc>
          <w:tcPr>
            <w:tcW w:w="7060" w:type="dxa"/>
            <w:vAlign w:val="bottom"/>
            <w:gridSpan w:val="2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6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POLICIES AND PROCEDURES FOR RELATED PERSON TRANSACTIONS</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3540" w:type="dxa"/>
            <w:vAlign w:val="bottom"/>
            <w:gridSpan w:val="24"/>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39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EQUITY COMPENSATION PLAN INFORMATION</w:t>
              </w:r>
            </w:hyperlink>
          </w:p>
        </w:tc>
        <w:tc>
          <w:tcPr>
            <w:tcW w:w="6360" w:type="dxa"/>
            <w:vAlign w:val="bottom"/>
            <w:gridSpan w:val="14"/>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iii</w:t>
      </w:r>
    </w:p>
    <w:p>
      <w:pPr>
        <w:sectPr>
          <w:pgSz w:w="11900" w:h="16838" w:orient="portrait"/>
          <w:cols w:equalWidth="0" w:num="1">
            <w:col w:w="11140"/>
          </w:cols>
          <w:pgMar w:left="32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TABLE OF CONTENTS </w:t>
      </w:r>
      <w:r>
        <w:rPr>
          <w:rFonts w:ascii="Times New Roman" w:cs="Times New Roman" w:eastAsia="Times New Roman" w:hAnsi="Times New Roman"/>
          <w:sz w:val="18"/>
          <w:szCs w:val="18"/>
          <w:b w:val="1"/>
          <w:bCs w:val="1"/>
          <w:i w:val="1"/>
          <w:iCs w:val="1"/>
          <w:color w:val="auto"/>
        </w:rPr>
        <w:t>(continued)</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560" w:type="dxa"/>
            <w:vAlign w:val="bottom"/>
            <w:gridSpan w:val="16"/>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SECURITY OWNERSHIP OF CERTAIN BENEFICIAL OWNERS AND MANAGEMENT</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96"/>
        </w:trPr>
        <w:tc>
          <w:tcPr>
            <w:tcW w:w="380" w:type="dxa"/>
            <w:vAlign w:val="bottom"/>
            <w:tcBorders>
              <w:top w:val="single" w:sz="8" w:color="0000EE"/>
            </w:tcBorders>
          </w:tcPr>
          <w:p>
            <w:pPr>
              <w:spacing w:after="0"/>
              <w:rPr>
                <w:sz w:val="17"/>
                <w:szCs w:val="17"/>
                <w:color w:val="auto"/>
              </w:rPr>
            </w:pPr>
          </w:p>
        </w:tc>
        <w:tc>
          <w:tcPr>
            <w:tcW w:w="63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DELINQUENT SECTION 16(A) REPORTS</w:t>
              </w:r>
            </w:hyperlink>
          </w:p>
        </w:tc>
        <w:tc>
          <w:tcPr>
            <w:tcW w:w="38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20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ITEMS TO BE VOTED ON</w:t>
              </w:r>
            </w:hyperlink>
          </w:p>
        </w:tc>
        <w:tc>
          <w:tcPr>
            <w:tcW w:w="850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96"/>
        </w:trPr>
        <w:tc>
          <w:tcPr>
            <w:tcW w:w="380" w:type="dxa"/>
            <w:vAlign w:val="bottom"/>
          </w:tcPr>
          <w:p>
            <w:pPr>
              <w:spacing w:after="0"/>
              <w:rPr>
                <w:sz w:val="17"/>
                <w:szCs w:val="17"/>
                <w:color w:val="auto"/>
              </w:rPr>
            </w:pPr>
          </w:p>
        </w:tc>
        <w:tc>
          <w:tcPr>
            <w:tcW w:w="10180" w:type="dxa"/>
            <w:vAlign w:val="bottom"/>
            <w:gridSpan w:val="15"/>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PROPOSAL 1: ELECTION OF CLASS II DIRECTOR FOR A THREE-YEAR TERM EXPIRING IN 2025</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80" w:type="dxa"/>
            <w:vAlign w:val="bottom"/>
            <w:gridSpan w:val="15"/>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PROPOSAL 2: APPROVAL, ON AN ADVISORY BASIS, OF THE COMPENSATION OF OUR NAMED EXECUTIVE OFFICERS IN</w:t>
              </w:r>
            </w:hyperlink>
          </w:p>
        </w:tc>
        <w:tc>
          <w:tcPr>
            <w:tcW w:w="40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20" w:type="dxa"/>
            <w:vAlign w:val="bottom"/>
            <w:tcBorders>
              <w:top w:val="single" w:sz="8" w:color="0000EE"/>
            </w:tcBorders>
            <w:gridSpan w:val="2"/>
          </w:tcPr>
          <w:p>
            <w:pPr>
              <w:ind w:left="160"/>
              <w:spacing w:after="0" w:line="196" w:lineRule="exact"/>
              <w:rPr>
                <w:rFonts w:ascii="Times New Roman" w:cs="Times New Roman" w:eastAsia="Times New Roman" w:hAnsi="Times New Roman"/>
                <w:sz w:val="18"/>
                <w:szCs w:val="18"/>
                <w:color w:val="0000EE"/>
                <w:w w:val="94"/>
              </w:rPr>
            </w:pPr>
            <w:hyperlink w:anchor="page43">
              <w:r>
                <w:rPr>
                  <w:rFonts w:ascii="Times New Roman" w:cs="Times New Roman" w:eastAsia="Times New Roman" w:hAnsi="Times New Roman"/>
                  <w:sz w:val="18"/>
                  <w:szCs w:val="18"/>
                  <w:color w:val="0000EE"/>
                  <w:w w:val="94"/>
                </w:rPr>
                <w:t>2021</w:t>
              </w:r>
            </w:hyperlink>
          </w:p>
        </w:tc>
        <w:tc>
          <w:tcPr>
            <w:tcW w:w="9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80" w:type="dxa"/>
            <w:vAlign w:val="bottom"/>
            <w:gridSpan w:val="15"/>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PROPOSAL 3: RATIFICATION OF APPOINTMENT OF PRICEWATERHOUSECOOPERS LLP AS OUR INDEPENDENT</w:t>
              </w:r>
            </w:hyperlink>
          </w:p>
        </w:tc>
        <w:tc>
          <w:tcPr>
            <w:tcW w:w="40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9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REGISTERED PUBLIC ACCOUNTING FIRM FOR THE 2022 FISCAL YEAR</w:t>
              </w:r>
            </w:hyperlink>
          </w:p>
        </w:tc>
        <w:tc>
          <w:tcPr>
            <w:tcW w:w="3080" w:type="dxa"/>
            <w:vAlign w:val="bottom"/>
            <w:tcBorders>
              <w:top w:val="single" w:sz="8" w:color="0000EE"/>
            </w:tcBorders>
            <w:gridSpan w:val="4"/>
          </w:tcPr>
          <w:p>
            <w:pPr>
              <w:spacing w:after="0"/>
              <w:rPr>
                <w:sz w:val="17"/>
                <w:szCs w:val="17"/>
                <w:color w:val="auto"/>
              </w:rPr>
            </w:pPr>
          </w:p>
        </w:tc>
        <w:tc>
          <w:tcPr>
            <w:tcW w:w="10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304"/>
        </w:trPr>
        <w:tc>
          <w:tcPr>
            <w:tcW w:w="10560" w:type="dxa"/>
            <w:vAlign w:val="bottom"/>
            <w:gridSpan w:val="16"/>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OTHER INFORMATION</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96"/>
        </w:trPr>
        <w:tc>
          <w:tcPr>
            <w:tcW w:w="3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OTHER MATTERS</w:t>
              </w:r>
            </w:hyperlink>
          </w:p>
        </w:tc>
        <w:tc>
          <w:tcPr>
            <w:tcW w:w="868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REQUIREMENTS FOR SUBMISSION OF STOCKHOLDER PROPOSALS FOR NEXT YEAR’S ANNUAL MEETING</w:t>
              </w:r>
            </w:hyperlink>
          </w:p>
        </w:tc>
        <w:tc>
          <w:tcPr>
            <w:tcW w:w="13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380" w:type="dxa"/>
            <w:vAlign w:val="bottom"/>
          </w:tcPr>
          <w:p>
            <w:pPr>
              <w:spacing w:after="0"/>
              <w:rPr>
                <w:sz w:val="17"/>
                <w:szCs w:val="17"/>
                <w:color w:val="auto"/>
              </w:rPr>
            </w:pPr>
          </w:p>
        </w:tc>
        <w:tc>
          <w:tcPr>
            <w:tcW w:w="4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STOCKHOLDER COMMUNICATIONS TO THE BOARD</w:t>
              </w:r>
            </w:hyperlink>
          </w:p>
        </w:tc>
        <w:tc>
          <w:tcPr>
            <w:tcW w:w="58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38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46">
              <w:r>
                <w:rPr>
                  <w:rFonts w:ascii="Times New Roman" w:cs="Times New Roman" w:eastAsia="Times New Roman" w:hAnsi="Times New Roman"/>
                  <w:sz w:val="18"/>
                  <w:szCs w:val="18"/>
                  <w:color w:val="0000EE"/>
                  <w:w w:val="98"/>
                </w:rPr>
                <w:t>HOUSEHOLDING</w:t>
              </w:r>
            </w:hyperlink>
          </w:p>
        </w:tc>
        <w:tc>
          <w:tcPr>
            <w:tcW w:w="874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38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5"/>
              </w:rPr>
            </w:pPr>
            <w:hyperlink w:anchor="page46">
              <w:r>
                <w:rPr>
                  <w:rFonts w:ascii="Times New Roman" w:cs="Times New Roman" w:eastAsia="Times New Roman" w:hAnsi="Times New Roman"/>
                  <w:sz w:val="18"/>
                  <w:szCs w:val="18"/>
                  <w:color w:val="0000EE"/>
                  <w:w w:val="95"/>
                </w:rPr>
                <w:t>AVAILABILITY OF MATERIALS</w:t>
              </w:r>
            </w:hyperlink>
          </w:p>
        </w:tc>
        <w:tc>
          <w:tcPr>
            <w:tcW w:w="76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bl>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iv</w:t>
      </w:r>
    </w:p>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Proxy Statement, with the enclosed proxy card, is being furnished to stockholders of the Company in connection with the solicitation by our Board of proxies to be voted at our Annual Meeting and at any postponements or adjournments thereof. The Annual Meeting will be held on Tuesday, May 10, 2022, at 9:30 a.m., Eastern Time via the Internet at </w:t>
      </w:r>
      <w:r>
        <w:rPr>
          <w:rFonts w:ascii="Times New Roman" w:cs="Times New Roman" w:eastAsia="Times New Roman" w:hAnsi="Times New Roman"/>
          <w:sz w:val="18"/>
          <w:szCs w:val="18"/>
          <w:u w:val="single" w:color="auto"/>
          <w:color w:val="auto"/>
        </w:rPr>
        <w:t>meetnow.global/MYGPWRJ</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v</w:t>
      </w:r>
    </w:p>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May 28, 2020, Larimar Therapeutics, Inc. (the “Company”), formerly known as Zafgen, Inc., completed a business combination with Chondrial Therapeutics, Inc. (“Chondrial”), in accordance with the terms of the Agreement and Plan of Merger, dated as of December 17, 2019, as amended, by and among the Company, Chondrial, a wholly-owned subsidiary of the Company (“Merger Sub”) and Chondrial Holdings, LLC, the sole stockholder of Chondrial, pursuant to which Merger Sub merged with and into Chondrial, with Chondrial surviving as a wholly-owned subsidiary of the Company (the “Merger”). In connection with the Merger, the board of directors prior to the Merger was replaced by new directors designated by both Chondrial and Zafgen, and members of Chondrial’s management team were installed as our new management team. In connection with, and immediately prior to the completion of the Merger, we effected a reverse stock split of our common stock, at a ratio of 1-for-12.</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Immediately after the completion of the Merger, we changed our name from “Zafgen, Inc.” to “Larimar Therapeutics, Inc.” and the business conducted by us became the business conducted by Chondrial.</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complex rare diseases, and our common stock began trading on Nasdaq Global Market under the ticker symbol “LRMR.” Unless otherwise indicated, all references in this Proxy Statement to “Larimar,” “Company,” “we,” “our,” and “us” refer to Larimar Therapeutics, Inc. as of and following the closing of the Merger, and all references to “Zafgen” refer to Zafgen, Inc. and the business of Zafgen, Inc. prior to the closing of the Merger.</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vi</w:t>
      </w:r>
    </w:p>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 INFORMATION ABOUT THE MEETING</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Annual Meeting will be a completely virtual meeting. There will be no physical meeting location. The meeting will only be conducted via live webcast. We have adopted a virtual format for the Annual Meeting to make participation accessible for stockholders from any geographic location with Internet connectivity. We have worked to offer the same participation opportunities as would be provided at an in-person meeting while further enhancing the online experience available to all stockholders regardless of their location.</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To participate in the virtual meeting, visit </w:t>
      </w:r>
      <w:r>
        <w:rPr>
          <w:rFonts w:ascii="Times New Roman" w:cs="Times New Roman" w:eastAsia="Times New Roman" w:hAnsi="Times New Roman"/>
          <w:sz w:val="18"/>
          <w:szCs w:val="18"/>
          <w:u w:val="single" w:color="auto"/>
          <w:color w:val="auto"/>
        </w:rPr>
        <w:t>meetnow.global/MYGPWRJ</w:t>
      </w:r>
      <w:r>
        <w:rPr>
          <w:rFonts w:ascii="Times New Roman" w:cs="Times New Roman" w:eastAsia="Times New Roman" w:hAnsi="Times New Roman"/>
          <w:sz w:val="18"/>
          <w:szCs w:val="18"/>
          <w:color w:val="auto"/>
        </w:rPr>
        <w:t>. You will need to enter the 16-digit control number included on your Notice or on your proxy card. The meeting will begin promptly at 9:30 a.m., Eastern Time on Tuesday, May 10, 2022. We encourage you to access the meeting prior to the start time leaving ample time for the check in.</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176"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prior to the start of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17"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Board is soliciting your vote on matters that will be presented at the Annual Meeting and at any adjournment or postponement thereof. This Proxy Statement contains information on these matters to assist you in voting your shares.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and the proxy card are first being mailed to our stockholders on or about April 12, 2022. In accordance with the rules of the Securities and Exchange Commission (the “SEC”),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2021 Annual Report are available to beneficial holders of our common stock at </w:t>
      </w:r>
      <w:r>
        <w:rPr>
          <w:rFonts w:ascii="Times New Roman" w:cs="Times New Roman" w:eastAsia="Times New Roman" w:hAnsi="Times New Roman"/>
          <w:sz w:val="18"/>
          <w:szCs w:val="18"/>
          <w:u w:val="single" w:color="auto"/>
          <w:color w:val="auto"/>
        </w:rPr>
        <w:t>http://www.edocumentview.com/LRMR</w:t>
      </w:r>
      <w:r>
        <w:rPr>
          <w:rFonts w:ascii="Times New Roman" w:cs="Times New Roman" w:eastAsia="Times New Roman" w:hAnsi="Times New Roman"/>
          <w:sz w:val="18"/>
          <w:szCs w:val="18"/>
          <w:color w:val="auto"/>
        </w:rPr>
        <w:t xml:space="preserve"> and to record holders of our common stock at </w:t>
      </w:r>
      <w:r>
        <w:rPr>
          <w:rFonts w:ascii="Times New Roman" w:cs="Times New Roman" w:eastAsia="Times New Roman" w:hAnsi="Times New Roman"/>
          <w:sz w:val="18"/>
          <w:szCs w:val="18"/>
          <w:u w:val="single" w:color="auto"/>
          <w:color w:val="auto"/>
        </w:rPr>
        <w:t>http://www.envisionreports.com/LRMR</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ENTITLED TO VOTE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stockholders of record of our common stock at the close of business on April 4, 2022 (the “Record Date”) are entitled to receive the Notice and to vote their shares at the Annual Meeting. As of the Record Date, 17,710,450 shares of our common stock were outstanding. Each share is entitled to one vote on each matter properly brought to the meeting.</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w:t>
      </w:r>
    </w:p>
    <w:p>
      <w:pPr>
        <w:sectPr>
          <w:pgSz w:w="11900" w:h="16838" w:orient="portrait"/>
          <w:cols w:equalWidth="0" w:num="1">
            <w:col w:w="11140"/>
          </w:cols>
          <w:pgMar w:left="32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GENERAL INFORMATION ABOUT THE MEETING </w:t>
      </w:r>
      <w:r>
        <w:rPr>
          <w:rFonts w:ascii="Times New Roman" w:cs="Times New Roman" w:eastAsia="Times New Roman" w:hAnsi="Times New Roman"/>
          <w:sz w:val="18"/>
          <w:szCs w:val="18"/>
          <w:b w:val="1"/>
          <w:bCs w:val="1"/>
          <w:i w:val="1"/>
          <w:iCs w:val="1"/>
          <w:color w:val="auto"/>
        </w:rPr>
        <w:t>(continued)</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METHODS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171450</wp:posOffset>
            </wp:positionV>
            <wp:extent cx="402590" cy="38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2590" cy="38608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188595</wp:posOffset>
            </wp:positionV>
            <wp:extent cx="497205" cy="368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7205" cy="36830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214630</wp:posOffset>
            </wp:positionV>
            <wp:extent cx="403225"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3225" cy="34290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222885</wp:posOffset>
            </wp:positionV>
            <wp:extent cx="514350" cy="33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20" w:type="dxa"/>
        <w:tblCellMar>
          <w:top w:w="0" w:type="dxa"/>
          <w:left w:w="0" w:type="dxa"/>
          <w:bottom w:w="0" w:type="dxa"/>
          <w:right w:w="0" w:type="dxa"/>
        </w:tblCellMar>
      </w:tblPr>
      <w:tr>
        <w:trPr>
          <w:trHeight w:val="318"/>
        </w:trPr>
        <w:tc>
          <w:tcPr>
            <w:tcW w:w="230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auto"/>
              </w:rPr>
              <w:t>MAIL</w:t>
            </w:r>
          </w:p>
        </w:tc>
        <w:tc>
          <w:tcPr>
            <w:tcW w:w="320" w:type="dxa"/>
            <w:vAlign w:val="bottom"/>
          </w:tcPr>
          <w:p>
            <w:pPr>
              <w:spacing w:after="0"/>
              <w:rPr>
                <w:sz w:val="24"/>
                <w:szCs w:val="24"/>
                <w:color w:val="auto"/>
              </w:rPr>
            </w:pPr>
          </w:p>
        </w:tc>
        <w:tc>
          <w:tcPr>
            <w:tcW w:w="380" w:type="dxa"/>
            <w:vAlign w:val="bottom"/>
            <w:tcBorders>
              <w:bottom w:val="single" w:sz="8" w:color="4DC1E4"/>
            </w:tcBorders>
            <w:shd w:val="clear" w:color="auto" w:fill="4DC1E4"/>
          </w:tcPr>
          <w:p>
            <w:pPr>
              <w:spacing w:after="0"/>
              <w:rPr>
                <w:sz w:val="24"/>
                <w:szCs w:val="24"/>
                <w:color w:val="auto"/>
              </w:rPr>
            </w:pPr>
          </w:p>
        </w:tc>
        <w:tc>
          <w:tcPr>
            <w:tcW w:w="2240" w:type="dxa"/>
            <w:vAlign w:val="bottom"/>
            <w:tcBorders>
              <w:bottom w:val="single" w:sz="8" w:color="4DC1E4"/>
            </w:tcBorders>
            <w:gridSpan w:val="2"/>
            <w:shd w:val="clear" w:color="auto" w:fill="4DC1E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INTERNET</w:t>
            </w:r>
          </w:p>
        </w:tc>
        <w:tc>
          <w:tcPr>
            <w:tcW w:w="320" w:type="dxa"/>
            <w:vAlign w:val="bottom"/>
          </w:tcPr>
          <w:p>
            <w:pPr>
              <w:spacing w:after="0"/>
              <w:rPr>
                <w:sz w:val="24"/>
                <w:szCs w:val="24"/>
                <w:color w:val="auto"/>
              </w:rPr>
            </w:pPr>
          </w:p>
        </w:tc>
        <w:tc>
          <w:tcPr>
            <w:tcW w:w="2120" w:type="dxa"/>
            <w:vAlign w:val="bottom"/>
            <w:tcBorders>
              <w:bottom w:val="single" w:sz="8" w:color="4DC1E4"/>
            </w:tcBorders>
            <w:shd w:val="clear" w:color="auto" w:fill="4DC1E4"/>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rPr>
              <w:t>PHONE</w:t>
            </w:r>
          </w:p>
        </w:tc>
        <w:tc>
          <w:tcPr>
            <w:tcW w:w="320" w:type="dxa"/>
            <w:vAlign w:val="bottom"/>
          </w:tcPr>
          <w:p>
            <w:pPr>
              <w:spacing w:after="0"/>
              <w:rPr>
                <w:sz w:val="24"/>
                <w:szCs w:val="24"/>
                <w:color w:val="auto"/>
              </w:rPr>
            </w:pPr>
          </w:p>
        </w:tc>
        <w:tc>
          <w:tcPr>
            <w:tcW w:w="3020" w:type="dxa"/>
            <w:vAlign w:val="bottom"/>
            <w:tcBorders>
              <w:bottom w:val="single" w:sz="8" w:color="4DC1E4"/>
            </w:tcBorders>
            <w:gridSpan w:val="3"/>
            <w:shd w:val="clear" w:color="auto" w:fill="4DC1E4"/>
          </w:tcPr>
          <w:p>
            <w:pPr>
              <w:jc w:val="center"/>
              <w:ind w:left="65"/>
              <w:spacing w:after="0"/>
              <w:rPr>
                <w:sz w:val="20"/>
                <w:szCs w:val="20"/>
                <w:color w:val="auto"/>
              </w:rPr>
            </w:pPr>
            <w:r>
              <w:rPr>
                <w:rFonts w:ascii="Times New Roman" w:cs="Times New Roman" w:eastAsia="Times New Roman" w:hAnsi="Times New Roman"/>
                <w:sz w:val="16"/>
                <w:szCs w:val="16"/>
                <w:b w:val="1"/>
                <w:bCs w:val="1"/>
                <w:color w:val="auto"/>
                <w:w w:val="99"/>
              </w:rPr>
              <w:t>ONLINE AT THE MEETING</w:t>
            </w:r>
          </w:p>
        </w:tc>
      </w:tr>
      <w:tr>
        <w:trPr>
          <w:trHeight w:val="166"/>
        </w:trPr>
        <w:tc>
          <w:tcPr>
            <w:tcW w:w="23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Mailing your signed</w:t>
            </w:r>
          </w:p>
        </w:tc>
        <w:tc>
          <w:tcPr>
            <w:tcW w:w="320" w:type="dxa"/>
            <w:vAlign w:val="bottom"/>
          </w:tcPr>
          <w:p>
            <w:pPr>
              <w:spacing w:after="0"/>
              <w:rPr>
                <w:sz w:val="14"/>
                <w:szCs w:val="14"/>
                <w:color w:val="auto"/>
              </w:rPr>
            </w:pPr>
          </w:p>
        </w:tc>
        <w:tc>
          <w:tcPr>
            <w:tcW w:w="380" w:type="dxa"/>
            <w:vAlign w:val="bottom"/>
            <w:shd w:val="clear" w:color="auto" w:fill="E5E5E5"/>
          </w:tcPr>
          <w:p>
            <w:pPr>
              <w:spacing w:after="0"/>
              <w:rPr>
                <w:sz w:val="14"/>
                <w:szCs w:val="14"/>
                <w:color w:val="auto"/>
              </w:rPr>
            </w:pPr>
          </w:p>
        </w:tc>
        <w:tc>
          <w:tcPr>
            <w:tcW w:w="2240" w:type="dxa"/>
            <w:vAlign w:val="bottom"/>
            <w:gridSpan w:val="2"/>
            <w:shd w:val="clear" w:color="auto" w:fill="E5E5E5"/>
          </w:tcPr>
          <w:p>
            <w:pPr>
              <w:jc w:val="center"/>
              <w:ind w:right="300"/>
              <w:spacing w:after="0"/>
              <w:rPr>
                <w:sz w:val="20"/>
                <w:szCs w:val="20"/>
                <w:color w:val="auto"/>
              </w:rPr>
            </w:pPr>
            <w:r>
              <w:rPr>
                <w:rFonts w:ascii="Times New Roman" w:cs="Times New Roman" w:eastAsia="Times New Roman" w:hAnsi="Times New Roman"/>
                <w:sz w:val="14"/>
                <w:szCs w:val="14"/>
                <w:color w:val="auto"/>
              </w:rPr>
              <w:t>Using the Internet at</w:t>
            </w:r>
          </w:p>
        </w:tc>
        <w:tc>
          <w:tcPr>
            <w:tcW w:w="320" w:type="dxa"/>
            <w:vAlign w:val="bottom"/>
          </w:tcPr>
          <w:p>
            <w:pPr>
              <w:spacing w:after="0"/>
              <w:rPr>
                <w:sz w:val="14"/>
                <w:szCs w:val="14"/>
                <w:color w:val="auto"/>
              </w:rPr>
            </w:pPr>
          </w:p>
        </w:tc>
        <w:tc>
          <w:tcPr>
            <w:tcW w:w="2120" w:type="dxa"/>
            <w:vAlign w:val="bottom"/>
            <w:shd w:val="clear" w:color="auto" w:fill="E5E5E5"/>
          </w:tcPr>
          <w:p>
            <w:pPr>
              <w:jc w:val="center"/>
              <w:ind w:left="67"/>
              <w:spacing w:after="0"/>
              <w:rPr>
                <w:sz w:val="20"/>
                <w:szCs w:val="20"/>
                <w:color w:val="auto"/>
              </w:rPr>
            </w:pPr>
            <w:r>
              <w:rPr>
                <w:rFonts w:ascii="Times New Roman" w:cs="Times New Roman" w:eastAsia="Times New Roman" w:hAnsi="Times New Roman"/>
                <w:sz w:val="14"/>
                <w:szCs w:val="14"/>
                <w:color w:val="auto"/>
              </w:rPr>
              <w:t>Calling toll-free from the</w:t>
            </w:r>
          </w:p>
        </w:tc>
        <w:tc>
          <w:tcPr>
            <w:tcW w:w="320" w:type="dxa"/>
            <w:vAlign w:val="bottom"/>
          </w:tcPr>
          <w:p>
            <w:pPr>
              <w:spacing w:after="0"/>
              <w:rPr>
                <w:sz w:val="14"/>
                <w:szCs w:val="14"/>
                <w:color w:val="auto"/>
              </w:rPr>
            </w:pPr>
          </w:p>
        </w:tc>
        <w:tc>
          <w:tcPr>
            <w:tcW w:w="3020" w:type="dxa"/>
            <w:vAlign w:val="bottom"/>
            <w:gridSpan w:val="3"/>
            <w:shd w:val="clear" w:color="auto" w:fill="E5E5E5"/>
          </w:tcPr>
          <w:p>
            <w:pPr>
              <w:jc w:val="center"/>
              <w:ind w:left="65"/>
              <w:spacing w:after="0"/>
              <w:rPr>
                <w:sz w:val="20"/>
                <w:szCs w:val="20"/>
                <w:color w:val="auto"/>
              </w:rPr>
            </w:pPr>
            <w:r>
              <w:rPr>
                <w:rFonts w:ascii="Times New Roman" w:cs="Times New Roman" w:eastAsia="Times New Roman" w:hAnsi="Times New Roman"/>
                <w:sz w:val="14"/>
                <w:szCs w:val="14"/>
                <w:color w:val="auto"/>
              </w:rPr>
              <w:t>You can vote at the meeting at</w:t>
            </w:r>
          </w:p>
        </w:tc>
      </w:tr>
      <w:tr>
        <w:trPr>
          <w:trHeight w:val="158"/>
        </w:trPr>
        <w:tc>
          <w:tcPr>
            <w:tcW w:w="2300" w:type="dxa"/>
            <w:vAlign w:val="bottom"/>
            <w:shd w:val="clear" w:color="auto" w:fill="E5E5E5"/>
          </w:tcPr>
          <w:p>
            <w:pPr>
              <w:jc w:val="center"/>
              <w:spacing w:after="0" w:line="158" w:lineRule="exact"/>
              <w:rPr>
                <w:sz w:val="20"/>
                <w:szCs w:val="20"/>
                <w:color w:val="auto"/>
              </w:rPr>
            </w:pPr>
            <w:r>
              <w:rPr>
                <w:rFonts w:ascii="Times New Roman" w:cs="Times New Roman" w:eastAsia="Times New Roman" w:hAnsi="Times New Roman"/>
                <w:sz w:val="14"/>
                <w:szCs w:val="14"/>
                <w:color w:val="auto"/>
              </w:rPr>
              <w:t>proxy card or voter</w:t>
            </w:r>
          </w:p>
        </w:tc>
        <w:tc>
          <w:tcPr>
            <w:tcW w:w="320" w:type="dxa"/>
            <w:vAlign w:val="bottom"/>
          </w:tcPr>
          <w:p>
            <w:pPr>
              <w:spacing w:after="0"/>
              <w:rPr>
                <w:sz w:val="13"/>
                <w:szCs w:val="13"/>
                <w:color w:val="auto"/>
              </w:rPr>
            </w:pPr>
          </w:p>
        </w:tc>
        <w:tc>
          <w:tcPr>
            <w:tcW w:w="2620" w:type="dxa"/>
            <w:vAlign w:val="bottom"/>
            <w:gridSpan w:val="3"/>
            <w:shd w:val="clear" w:color="auto" w:fill="E5E5E5"/>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www.envisionreports.com/LRMR</w:t>
            </w:r>
          </w:p>
        </w:tc>
        <w:tc>
          <w:tcPr>
            <w:tcW w:w="320" w:type="dxa"/>
            <w:vAlign w:val="bottom"/>
          </w:tcPr>
          <w:p>
            <w:pPr>
              <w:spacing w:after="0"/>
              <w:rPr>
                <w:sz w:val="13"/>
                <w:szCs w:val="13"/>
                <w:color w:val="auto"/>
              </w:rPr>
            </w:pPr>
          </w:p>
        </w:tc>
        <w:tc>
          <w:tcPr>
            <w:tcW w:w="2120" w:type="dxa"/>
            <w:vAlign w:val="bottom"/>
            <w:shd w:val="clear" w:color="auto" w:fill="E5E5E5"/>
          </w:tcPr>
          <w:p>
            <w:pPr>
              <w:jc w:val="center"/>
              <w:ind w:left="67"/>
              <w:spacing w:after="0" w:line="158" w:lineRule="exact"/>
              <w:rPr>
                <w:sz w:val="20"/>
                <w:szCs w:val="20"/>
                <w:color w:val="auto"/>
              </w:rPr>
            </w:pPr>
            <w:r>
              <w:rPr>
                <w:rFonts w:ascii="Times New Roman" w:cs="Times New Roman" w:eastAsia="Times New Roman" w:hAnsi="Times New Roman"/>
                <w:sz w:val="14"/>
                <w:szCs w:val="14"/>
                <w:color w:val="auto"/>
              </w:rPr>
              <w:t>United States, U.S.</w:t>
            </w:r>
          </w:p>
        </w:tc>
        <w:tc>
          <w:tcPr>
            <w:tcW w:w="320" w:type="dxa"/>
            <w:vAlign w:val="bottom"/>
          </w:tcPr>
          <w:p>
            <w:pPr>
              <w:spacing w:after="0"/>
              <w:rPr>
                <w:sz w:val="13"/>
                <w:szCs w:val="13"/>
                <w:color w:val="auto"/>
              </w:rPr>
            </w:pPr>
          </w:p>
        </w:tc>
        <w:tc>
          <w:tcPr>
            <w:tcW w:w="3020" w:type="dxa"/>
            <w:vAlign w:val="bottom"/>
            <w:gridSpan w:val="3"/>
            <w:shd w:val="clear" w:color="auto" w:fill="E5E5E5"/>
          </w:tcPr>
          <w:p>
            <w:pPr>
              <w:jc w:val="center"/>
              <w:ind w:left="65"/>
              <w:spacing w:after="0" w:line="158" w:lineRule="exact"/>
              <w:rPr>
                <w:sz w:val="20"/>
                <w:szCs w:val="20"/>
                <w:color w:val="auto"/>
              </w:rPr>
            </w:pPr>
            <w:r>
              <w:rPr>
                <w:rFonts w:ascii="Times New Roman" w:cs="Times New Roman" w:eastAsia="Times New Roman" w:hAnsi="Times New Roman"/>
                <w:sz w:val="14"/>
                <w:szCs w:val="14"/>
                <w:color w:val="auto"/>
              </w:rPr>
              <w:t>meetnow.global/MYGPWRJ</w:t>
            </w:r>
          </w:p>
        </w:tc>
      </w:tr>
      <w:tr>
        <w:trPr>
          <w:trHeight w:val="119"/>
        </w:trPr>
        <w:tc>
          <w:tcPr>
            <w:tcW w:w="2300" w:type="dxa"/>
            <w:vAlign w:val="bottom"/>
            <w:tcBorders>
              <w:top w:val="single" w:sz="8" w:color="E5E5E5"/>
            </w:tcBorders>
            <w:shd w:val="clear" w:color="auto" w:fill="E5E5E5"/>
          </w:tcPr>
          <w:p>
            <w:pPr>
              <w:jc w:val="center"/>
              <w:spacing w:after="0" w:line="119" w:lineRule="exact"/>
              <w:rPr>
                <w:sz w:val="20"/>
                <w:szCs w:val="20"/>
                <w:color w:val="auto"/>
              </w:rPr>
            </w:pPr>
            <w:r>
              <w:rPr>
                <w:rFonts w:ascii="Times New Roman" w:cs="Times New Roman" w:eastAsia="Times New Roman" w:hAnsi="Times New Roman"/>
                <w:sz w:val="13"/>
                <w:szCs w:val="13"/>
                <w:color w:val="auto"/>
              </w:rPr>
              <w:t>instruction card.</w:t>
            </w:r>
          </w:p>
        </w:tc>
        <w:tc>
          <w:tcPr>
            <w:tcW w:w="320" w:type="dxa"/>
            <w:vAlign w:val="bottom"/>
          </w:tcPr>
          <w:p>
            <w:pPr>
              <w:spacing w:after="0"/>
              <w:rPr>
                <w:sz w:val="10"/>
                <w:szCs w:val="10"/>
                <w:color w:val="auto"/>
              </w:rPr>
            </w:pPr>
          </w:p>
        </w:tc>
        <w:tc>
          <w:tcPr>
            <w:tcW w:w="380" w:type="dxa"/>
            <w:vAlign w:val="bottom"/>
            <w:tcBorders>
              <w:top w:val="single" w:sz="8" w:color="E5E5E5"/>
            </w:tcBorders>
            <w:shd w:val="clear" w:color="auto" w:fill="E5E5E5"/>
          </w:tcPr>
          <w:p>
            <w:pPr>
              <w:spacing w:after="0"/>
              <w:rPr>
                <w:sz w:val="10"/>
                <w:szCs w:val="10"/>
                <w:color w:val="auto"/>
              </w:rPr>
            </w:pPr>
          </w:p>
        </w:tc>
        <w:tc>
          <w:tcPr>
            <w:tcW w:w="1940" w:type="dxa"/>
            <w:vAlign w:val="bottom"/>
            <w:tcBorders>
              <w:top w:val="single" w:sz="8" w:color="auto"/>
            </w:tcBorders>
            <w:shd w:val="clear" w:color="auto" w:fill="E5E5E5"/>
          </w:tcPr>
          <w:p>
            <w:pPr>
              <w:spacing w:after="0"/>
              <w:rPr>
                <w:sz w:val="10"/>
                <w:szCs w:val="10"/>
                <w:color w:val="auto"/>
              </w:rPr>
            </w:pPr>
          </w:p>
        </w:tc>
        <w:tc>
          <w:tcPr>
            <w:tcW w:w="300" w:type="dxa"/>
            <w:vAlign w:val="bottom"/>
            <w:tcBorders>
              <w:top w:val="single" w:sz="8" w:color="E5E5E5"/>
            </w:tcBorders>
            <w:shd w:val="clear" w:color="auto" w:fill="E5E5E5"/>
          </w:tcPr>
          <w:p>
            <w:pPr>
              <w:spacing w:after="0"/>
              <w:rPr>
                <w:sz w:val="10"/>
                <w:szCs w:val="10"/>
                <w:color w:val="auto"/>
              </w:rPr>
            </w:pPr>
          </w:p>
        </w:tc>
        <w:tc>
          <w:tcPr>
            <w:tcW w:w="320" w:type="dxa"/>
            <w:vAlign w:val="bottom"/>
          </w:tcPr>
          <w:p>
            <w:pPr>
              <w:spacing w:after="0"/>
              <w:rPr>
                <w:sz w:val="10"/>
                <w:szCs w:val="10"/>
                <w:color w:val="auto"/>
              </w:rPr>
            </w:pPr>
          </w:p>
        </w:tc>
        <w:tc>
          <w:tcPr>
            <w:tcW w:w="2120" w:type="dxa"/>
            <w:vAlign w:val="bottom"/>
            <w:tcBorders>
              <w:top w:val="single" w:sz="8" w:color="E5E5E5"/>
            </w:tcBorders>
            <w:shd w:val="clear" w:color="auto" w:fill="E5E5E5"/>
          </w:tcPr>
          <w:p>
            <w:pPr>
              <w:jc w:val="center"/>
              <w:ind w:left="87"/>
              <w:spacing w:after="0" w:line="119" w:lineRule="exact"/>
              <w:rPr>
                <w:sz w:val="20"/>
                <w:szCs w:val="20"/>
                <w:color w:val="auto"/>
              </w:rPr>
            </w:pPr>
            <w:r>
              <w:rPr>
                <w:rFonts w:ascii="Times New Roman" w:cs="Times New Roman" w:eastAsia="Times New Roman" w:hAnsi="Times New Roman"/>
                <w:sz w:val="13"/>
                <w:szCs w:val="13"/>
                <w:color w:val="auto"/>
              </w:rPr>
              <w:t>territories and</w:t>
            </w:r>
          </w:p>
        </w:tc>
        <w:tc>
          <w:tcPr>
            <w:tcW w:w="320" w:type="dxa"/>
            <w:vAlign w:val="bottom"/>
          </w:tcPr>
          <w:p>
            <w:pPr>
              <w:spacing w:after="0"/>
              <w:rPr>
                <w:sz w:val="10"/>
                <w:szCs w:val="10"/>
                <w:color w:val="auto"/>
              </w:rPr>
            </w:pPr>
          </w:p>
        </w:tc>
        <w:tc>
          <w:tcPr>
            <w:tcW w:w="760" w:type="dxa"/>
            <w:vAlign w:val="bottom"/>
            <w:tcBorders>
              <w:top w:val="single" w:sz="8" w:color="E5E5E5"/>
            </w:tcBorders>
            <w:shd w:val="clear" w:color="auto" w:fill="E5E5E5"/>
          </w:tcPr>
          <w:p>
            <w:pPr>
              <w:spacing w:after="0"/>
              <w:rPr>
                <w:sz w:val="10"/>
                <w:szCs w:val="10"/>
                <w:color w:val="auto"/>
              </w:rPr>
            </w:pPr>
          </w:p>
        </w:tc>
        <w:tc>
          <w:tcPr>
            <w:tcW w:w="1640" w:type="dxa"/>
            <w:vAlign w:val="bottom"/>
            <w:tcBorders>
              <w:top w:val="single" w:sz="8" w:color="auto"/>
            </w:tcBorders>
            <w:shd w:val="clear" w:color="auto" w:fill="E5E5E5"/>
          </w:tcPr>
          <w:p>
            <w:pPr>
              <w:spacing w:after="0"/>
              <w:rPr>
                <w:sz w:val="10"/>
                <w:szCs w:val="10"/>
                <w:color w:val="auto"/>
              </w:rPr>
            </w:pPr>
          </w:p>
        </w:tc>
        <w:tc>
          <w:tcPr>
            <w:tcW w:w="620" w:type="dxa"/>
            <w:vAlign w:val="bottom"/>
            <w:tcBorders>
              <w:top w:val="single" w:sz="8" w:color="E5E5E5"/>
            </w:tcBorders>
            <w:shd w:val="clear" w:color="auto" w:fill="E5E5E5"/>
          </w:tcPr>
          <w:p>
            <w:pPr>
              <w:spacing w:after="0"/>
              <w:rPr>
                <w:sz w:val="10"/>
                <w:szCs w:val="10"/>
                <w:color w:val="auto"/>
              </w:rPr>
            </w:pPr>
          </w:p>
        </w:tc>
      </w:tr>
      <w:tr>
        <w:trPr>
          <w:trHeight w:val="148"/>
        </w:trPr>
        <w:tc>
          <w:tcPr>
            <w:tcW w:w="2300" w:type="dxa"/>
            <w:vAlign w:val="bottom"/>
            <w:shd w:val="clear" w:color="auto" w:fill="E5E5E5"/>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194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shd w:val="clear" w:color="auto" w:fill="E5E5E5"/>
          </w:tcPr>
          <w:p>
            <w:pPr>
              <w:jc w:val="center"/>
              <w:ind w:left="67"/>
              <w:spacing w:after="0" w:line="149" w:lineRule="exact"/>
              <w:rPr>
                <w:sz w:val="20"/>
                <w:szCs w:val="20"/>
                <w:color w:val="auto"/>
              </w:rPr>
            </w:pPr>
            <w:r>
              <w:rPr>
                <w:rFonts w:ascii="Times New Roman" w:cs="Times New Roman" w:eastAsia="Times New Roman" w:hAnsi="Times New Roman"/>
                <w:sz w:val="14"/>
                <w:szCs w:val="14"/>
                <w:color w:val="auto"/>
              </w:rPr>
              <w:t>Canada to</w:t>
            </w:r>
          </w:p>
        </w:tc>
        <w:tc>
          <w:tcPr>
            <w:tcW w:w="320" w:type="dxa"/>
            <w:vAlign w:val="bottom"/>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16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r>
      <w:tr>
        <w:trPr>
          <w:trHeight w:val="188"/>
        </w:trPr>
        <w:tc>
          <w:tcPr>
            <w:tcW w:w="2300" w:type="dxa"/>
            <w:vAlign w:val="bottom"/>
            <w:shd w:val="clear" w:color="auto" w:fill="E5E5E5"/>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9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shd w:val="clear" w:color="auto" w:fill="E5E5E5"/>
          </w:tcPr>
          <w:p>
            <w:pPr>
              <w:jc w:val="center"/>
              <w:ind w:left="67"/>
              <w:spacing w:after="0"/>
              <w:rPr>
                <w:sz w:val="20"/>
                <w:szCs w:val="20"/>
                <w:color w:val="auto"/>
              </w:rPr>
            </w:pPr>
            <w:r>
              <w:rPr>
                <w:rFonts w:ascii="Times New Roman" w:cs="Times New Roman" w:eastAsia="Times New Roman" w:hAnsi="Times New Roman"/>
                <w:sz w:val="14"/>
                <w:szCs w:val="14"/>
                <w:color w:val="auto"/>
              </w:rPr>
              <w:t>1-800-652-8683</w:t>
            </w:r>
          </w:p>
        </w:tc>
        <w:tc>
          <w:tcPr>
            <w:tcW w:w="320" w:type="dxa"/>
            <w:vAlign w:val="bottom"/>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r>
      <w:tr>
        <w:trPr>
          <w:trHeight w:val="37"/>
        </w:trPr>
        <w:tc>
          <w:tcPr>
            <w:tcW w:w="2300" w:type="dxa"/>
            <w:vAlign w:val="bottom"/>
            <w:shd w:val="clear" w:color="auto" w:fill="E5E5E5"/>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shd w:val="clear" w:color="auto" w:fill="E5E5E5"/>
          </w:tcPr>
          <w:p>
            <w:pPr>
              <w:spacing w:after="0"/>
              <w:rPr>
                <w:sz w:val="3"/>
                <w:szCs w:val="3"/>
                <w:color w:val="auto"/>
              </w:rPr>
            </w:pPr>
          </w:p>
        </w:tc>
        <w:tc>
          <w:tcPr>
            <w:tcW w:w="1940" w:type="dxa"/>
            <w:vAlign w:val="bottom"/>
            <w:shd w:val="clear" w:color="auto" w:fill="E5E5E5"/>
          </w:tcPr>
          <w:p>
            <w:pPr>
              <w:spacing w:after="0"/>
              <w:rPr>
                <w:sz w:val="3"/>
                <w:szCs w:val="3"/>
                <w:color w:val="auto"/>
              </w:rPr>
            </w:pPr>
          </w:p>
        </w:tc>
        <w:tc>
          <w:tcPr>
            <w:tcW w:w="300" w:type="dxa"/>
            <w:vAlign w:val="bottom"/>
            <w:shd w:val="clear" w:color="auto" w:fill="E5E5E5"/>
          </w:tcPr>
          <w:p>
            <w:pPr>
              <w:spacing w:after="0"/>
              <w:rPr>
                <w:sz w:val="3"/>
                <w:szCs w:val="3"/>
                <w:color w:val="auto"/>
              </w:rPr>
            </w:pPr>
          </w:p>
        </w:tc>
        <w:tc>
          <w:tcPr>
            <w:tcW w:w="320" w:type="dxa"/>
            <w:vAlign w:val="bottom"/>
          </w:tcPr>
          <w:p>
            <w:pPr>
              <w:spacing w:after="0"/>
              <w:rPr>
                <w:sz w:val="3"/>
                <w:szCs w:val="3"/>
                <w:color w:val="auto"/>
              </w:rPr>
            </w:pPr>
          </w:p>
        </w:tc>
        <w:tc>
          <w:tcPr>
            <w:tcW w:w="2120" w:type="dxa"/>
            <w:vAlign w:val="bottom"/>
            <w:shd w:val="clear" w:color="auto" w:fill="E5E5E5"/>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shd w:val="clear" w:color="auto" w:fill="E5E5E5"/>
          </w:tcPr>
          <w:p>
            <w:pPr>
              <w:spacing w:after="0"/>
              <w:rPr>
                <w:sz w:val="3"/>
                <w:szCs w:val="3"/>
                <w:color w:val="auto"/>
              </w:rPr>
            </w:pPr>
          </w:p>
        </w:tc>
        <w:tc>
          <w:tcPr>
            <w:tcW w:w="1640" w:type="dxa"/>
            <w:vAlign w:val="bottom"/>
            <w:shd w:val="clear" w:color="auto" w:fill="E5E5E5"/>
          </w:tcPr>
          <w:p>
            <w:pPr>
              <w:spacing w:after="0"/>
              <w:rPr>
                <w:sz w:val="3"/>
                <w:szCs w:val="3"/>
                <w:color w:val="auto"/>
              </w:rPr>
            </w:pPr>
          </w:p>
        </w:tc>
        <w:tc>
          <w:tcPr>
            <w:tcW w:w="620" w:type="dxa"/>
            <w:vAlign w:val="bottom"/>
            <w:shd w:val="clear" w:color="auto" w:fill="E5E5E5"/>
          </w:tcPr>
          <w:p>
            <w:pPr>
              <w:spacing w:after="0"/>
              <w:rPr>
                <w:sz w:val="3"/>
                <w:szCs w:val="3"/>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YOUR SHARES WILL BE VOTED</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81" w:lineRule="exact"/>
        <w:rPr>
          <w:sz w:val="20"/>
          <w:szCs w:val="20"/>
          <w:color w:val="auto"/>
        </w:rPr>
      </w:pPr>
    </w:p>
    <w:p>
      <w:pPr>
        <w:ind w:left="1080" w:right="2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Internet or by telephone as instructed above. Only your latest Internet or telephone vote is counted. You may not revoke or change your vote over the Internet or by telephone after 11:59 p.m., Eastern Time, on May 9, 2022.</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new proxy card and submit it by mail, which must be received no later than May 9, 2022. Only your latest dated proxy card will be counted.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Secretary written notice before or during the meeting that you want to revoke your proxy.</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Virtually attend the Annual Meeting at </w:t>
      </w:r>
      <w:r>
        <w:rPr>
          <w:rFonts w:ascii="Times New Roman" w:cs="Times New Roman" w:eastAsia="Times New Roman" w:hAnsi="Times New Roman"/>
          <w:sz w:val="18"/>
          <w:szCs w:val="18"/>
          <w:u w:val="single" w:color="auto"/>
          <w:color w:val="auto"/>
        </w:rPr>
        <w:t>meetnow.global/MYGPWRJ</w:t>
      </w:r>
      <w:r>
        <w:rPr>
          <w:rFonts w:ascii="Times New Roman" w:cs="Times New Roman" w:eastAsia="Times New Roman" w:hAnsi="Times New Roman"/>
          <w:sz w:val="18"/>
          <w:szCs w:val="18"/>
          <w:color w:val="auto"/>
        </w:rPr>
        <w:t>. Virtually attending the Annual Meeting will not by itself revoke a previously granted proxy.</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holder of record as a nominee or agent (i.e., the shares are held in “street name”), and you wish to vote at the Annual Meeting, you should follow the instructions provided by your broker, bank or other holder of record in order to obtain a proxy form from the institution that holds your shares.</w:t>
      </w:r>
    </w:p>
    <w:p>
      <w:pPr>
        <w:spacing w:after="0" w:line="174"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Deadline for Voting</w:t>
      </w:r>
      <w:r>
        <w:rPr>
          <w:rFonts w:ascii="Times New Roman" w:cs="Times New Roman" w:eastAsia="Times New Roman" w:hAnsi="Times New Roman"/>
          <w:sz w:val="18"/>
          <w:szCs w:val="18"/>
          <w:color w:val="auto"/>
        </w:rPr>
        <w:t>. The deadline for voting by telephone or Internet, other than by virtually attending the Annual Meeting, is 11:59 p.m. Eastern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on May 9, 2022. If you are a registered stockholder and virtually attend the Annual Meeting, you may deliver your vote online during the Annual Meeting.</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BROKER VOTING AND VOTES REQUIRED FOR EACH PROPOSAL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w:t>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GENERAL INFORMATION ABOUT THE MEETING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w:t>
      </w:r>
    </w:p>
    <w:p>
      <w:pPr>
        <w:spacing w:after="0" w:line="201" w:lineRule="exact"/>
        <w:rPr>
          <w:sz w:val="20"/>
          <w:szCs w:val="20"/>
          <w:color w:val="auto"/>
        </w:rPr>
      </w:pPr>
    </w:p>
    <w:tbl>
      <w:tblPr>
        <w:tblLayout w:type="fixed"/>
        <w:tblInd w:w="130" w:type="dxa"/>
        <w:tblCellMar>
          <w:top w:w="0" w:type="dxa"/>
          <w:left w:w="0" w:type="dxa"/>
          <w:bottom w:w="0" w:type="dxa"/>
          <w:right w:w="0" w:type="dxa"/>
        </w:tblCellMar>
      </w:tblPr>
      <w:tr>
        <w:trPr>
          <w:trHeight w:val="137"/>
        </w:trPr>
        <w:tc>
          <w:tcPr>
            <w:tcW w:w="3680" w:type="dxa"/>
            <w:vAlign w:val="bottom"/>
            <w:tcBorders>
              <w:top w:val="single" w:sz="8" w:color="auto"/>
              <w:left w:val="single" w:sz="8" w:color="auto"/>
            </w:tcBorders>
            <w:shd w:val="clear" w:color="auto" w:fill="4DC1E4"/>
          </w:tcPr>
          <w:p>
            <w:pPr>
              <w:spacing w:after="0"/>
              <w:rPr>
                <w:sz w:val="11"/>
                <w:szCs w:val="11"/>
                <w:color w:val="auto"/>
              </w:rPr>
            </w:pPr>
          </w:p>
        </w:tc>
        <w:tc>
          <w:tcPr>
            <w:tcW w:w="2380" w:type="dxa"/>
            <w:vAlign w:val="bottom"/>
            <w:tcBorders>
              <w:top w:val="single" w:sz="8" w:color="auto"/>
            </w:tcBorders>
            <w:shd w:val="clear" w:color="auto" w:fill="4DC1E4"/>
          </w:tcPr>
          <w:p>
            <w:pPr>
              <w:spacing w:after="0"/>
              <w:rPr>
                <w:sz w:val="11"/>
                <w:szCs w:val="11"/>
                <w:color w:val="auto"/>
              </w:rPr>
            </w:pPr>
          </w:p>
        </w:tc>
        <w:tc>
          <w:tcPr>
            <w:tcW w:w="3540" w:type="dxa"/>
            <w:vAlign w:val="bottom"/>
            <w:tcBorders>
              <w:top w:val="single" w:sz="8" w:color="auto"/>
            </w:tcBorders>
            <w:vMerge w:val="restart"/>
            <w:shd w:val="clear" w:color="auto" w:fill="4DC1E4"/>
          </w:tcPr>
          <w:p>
            <w:pPr>
              <w:ind w:left="300"/>
              <w:spacing w:after="0"/>
              <w:rPr>
                <w:sz w:val="20"/>
                <w:szCs w:val="20"/>
                <w:color w:val="auto"/>
              </w:rPr>
            </w:pPr>
            <w:r>
              <w:rPr>
                <w:rFonts w:ascii="Times New Roman" w:cs="Times New Roman" w:eastAsia="Times New Roman" w:hAnsi="Times New Roman"/>
                <w:sz w:val="14"/>
                <w:szCs w:val="14"/>
                <w:b w:val="1"/>
                <w:bCs w:val="1"/>
                <w:color w:val="FFFFFF"/>
              </w:rPr>
              <w:t>T</w:t>
            </w:r>
            <w:r>
              <w:rPr>
                <w:rFonts w:ascii="Times New Roman" w:cs="Times New Roman" w:eastAsia="Times New Roman" w:hAnsi="Times New Roman"/>
                <w:sz w:val="11"/>
                <w:szCs w:val="11"/>
                <w:b w:val="1"/>
                <w:bCs w:val="1"/>
                <w:color w:val="FFFFFF"/>
              </w:rPr>
              <w:t>REATMENT OF</w:t>
            </w:r>
            <w:r>
              <w:rPr>
                <w:rFonts w:ascii="Times New Roman" w:cs="Times New Roman" w:eastAsia="Times New Roman" w:hAnsi="Times New Roman"/>
                <w:sz w:val="14"/>
                <w:szCs w:val="14"/>
                <w:b w:val="1"/>
                <w:bCs w:val="1"/>
                <w:color w:val="FFFFFF"/>
              </w:rPr>
              <w:t xml:space="preserve"> A</w:t>
            </w:r>
            <w:r>
              <w:rPr>
                <w:rFonts w:ascii="Times New Roman" w:cs="Times New Roman" w:eastAsia="Times New Roman" w:hAnsi="Times New Roman"/>
                <w:sz w:val="11"/>
                <w:szCs w:val="11"/>
                <w:b w:val="1"/>
                <w:bCs w:val="1"/>
                <w:color w:val="FFFFFF"/>
              </w:rPr>
              <w:t>BSTENTIONS AND</w:t>
            </w:r>
          </w:p>
        </w:tc>
        <w:tc>
          <w:tcPr>
            <w:tcW w:w="1320" w:type="dxa"/>
            <w:vAlign w:val="bottom"/>
            <w:tcBorders>
              <w:top w:val="single" w:sz="8" w:color="auto"/>
              <w:right w:val="single" w:sz="8" w:color="auto"/>
            </w:tcBorders>
            <w:shd w:val="clear" w:color="auto" w:fill="4DC1E4"/>
          </w:tcPr>
          <w:p>
            <w:pPr>
              <w:jc w:val="center"/>
              <w:ind w:left="59"/>
              <w:spacing w:after="0" w:line="137" w:lineRule="exact"/>
              <w:rPr>
                <w:sz w:val="20"/>
                <w:szCs w:val="20"/>
                <w:color w:val="auto"/>
              </w:rPr>
            </w:pPr>
            <w:r>
              <w:rPr>
                <w:rFonts w:ascii="Times New Roman" w:cs="Times New Roman" w:eastAsia="Times New Roman" w:hAnsi="Times New Roman"/>
                <w:sz w:val="14"/>
                <w:szCs w:val="14"/>
                <w:b w:val="1"/>
                <w:bCs w:val="1"/>
                <w:color w:val="FFFFFF"/>
              </w:rPr>
              <w:t>B</w:t>
            </w:r>
            <w:r>
              <w:rPr>
                <w:rFonts w:ascii="Times New Roman" w:cs="Times New Roman" w:eastAsia="Times New Roman" w:hAnsi="Times New Roman"/>
                <w:sz w:val="11"/>
                <w:szCs w:val="11"/>
                <w:b w:val="1"/>
                <w:bCs w:val="1"/>
                <w:color w:val="FFFFFF"/>
              </w:rPr>
              <w:t>ROKER</w:t>
            </w:r>
          </w:p>
        </w:tc>
        <w:tc>
          <w:tcPr>
            <w:tcW w:w="0" w:type="dxa"/>
            <w:vAlign w:val="bottom"/>
          </w:tcPr>
          <w:p>
            <w:pPr>
              <w:spacing w:after="0"/>
              <w:rPr>
                <w:sz w:val="1"/>
                <w:szCs w:val="1"/>
                <w:color w:val="auto"/>
              </w:rPr>
            </w:pPr>
          </w:p>
        </w:tc>
      </w:tr>
      <w:tr>
        <w:trPr>
          <w:trHeight w:val="148"/>
        </w:trPr>
        <w:tc>
          <w:tcPr>
            <w:tcW w:w="3680" w:type="dxa"/>
            <w:vAlign w:val="bottom"/>
            <w:tcBorders>
              <w:left w:val="single" w:sz="8" w:color="auto"/>
            </w:tcBorders>
            <w:vMerge w:val="restart"/>
            <w:shd w:val="clear" w:color="auto" w:fill="4DC1E4"/>
          </w:tcPr>
          <w:p>
            <w:pPr>
              <w:ind w:left="160"/>
              <w:spacing w:after="0"/>
              <w:rPr>
                <w:sz w:val="20"/>
                <w:szCs w:val="20"/>
                <w:color w:val="auto"/>
              </w:rPr>
            </w:pP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OTING</w:t>
            </w:r>
            <w:r>
              <w:rPr>
                <w:rFonts w:ascii="Times New Roman" w:cs="Times New Roman" w:eastAsia="Times New Roman" w:hAnsi="Times New Roman"/>
                <w:sz w:val="14"/>
                <w:szCs w:val="14"/>
                <w:b w:val="1"/>
                <w:bCs w:val="1"/>
                <w:color w:val="FFFFFF"/>
              </w:rPr>
              <w:t xml:space="preserve"> M</w:t>
            </w:r>
            <w:r>
              <w:rPr>
                <w:rFonts w:ascii="Times New Roman" w:cs="Times New Roman" w:eastAsia="Times New Roman" w:hAnsi="Times New Roman"/>
                <w:sz w:val="11"/>
                <w:szCs w:val="11"/>
                <w:b w:val="1"/>
                <w:bCs w:val="1"/>
                <w:color w:val="FFFFFF"/>
              </w:rPr>
              <w:t>ATTERS</w:t>
            </w:r>
          </w:p>
        </w:tc>
        <w:tc>
          <w:tcPr>
            <w:tcW w:w="2380" w:type="dxa"/>
            <w:vAlign w:val="bottom"/>
            <w:vMerge w:val="restart"/>
            <w:shd w:val="clear" w:color="auto" w:fill="4DC1E4"/>
          </w:tcPr>
          <w:p>
            <w:pPr>
              <w:ind w:left="260"/>
              <w:spacing w:after="0"/>
              <w:rPr>
                <w:sz w:val="20"/>
                <w:szCs w:val="20"/>
                <w:color w:val="auto"/>
              </w:rPr>
            </w:pP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OTES</w:t>
            </w:r>
            <w:r>
              <w:rPr>
                <w:rFonts w:ascii="Times New Roman" w:cs="Times New Roman" w:eastAsia="Times New Roman" w:hAnsi="Times New Roman"/>
                <w:sz w:val="14"/>
                <w:szCs w:val="14"/>
                <w:b w:val="1"/>
                <w:bCs w:val="1"/>
                <w:color w:val="FFFFFF"/>
              </w:rPr>
              <w:t xml:space="preserve"> R</w:t>
            </w:r>
            <w:r>
              <w:rPr>
                <w:rFonts w:ascii="Times New Roman" w:cs="Times New Roman" w:eastAsia="Times New Roman" w:hAnsi="Times New Roman"/>
                <w:sz w:val="11"/>
                <w:szCs w:val="11"/>
                <w:b w:val="1"/>
                <w:bCs w:val="1"/>
                <w:color w:val="FFFFFF"/>
              </w:rPr>
              <w:t>EQUIRED</w:t>
            </w:r>
          </w:p>
        </w:tc>
        <w:tc>
          <w:tcPr>
            <w:tcW w:w="3540" w:type="dxa"/>
            <w:vAlign w:val="bottom"/>
            <w:vMerge w:val="continue"/>
            <w:shd w:val="clear" w:color="auto" w:fill="4DC1E4"/>
          </w:tcPr>
          <w:p>
            <w:pPr>
              <w:spacing w:after="0"/>
              <w:rPr>
                <w:sz w:val="12"/>
                <w:szCs w:val="12"/>
                <w:color w:val="auto"/>
              </w:rPr>
            </w:pPr>
          </w:p>
        </w:tc>
        <w:tc>
          <w:tcPr>
            <w:tcW w:w="1320" w:type="dxa"/>
            <w:vAlign w:val="bottom"/>
            <w:tcBorders>
              <w:right w:val="single" w:sz="8" w:color="auto"/>
            </w:tcBorders>
            <w:shd w:val="clear" w:color="auto" w:fill="4DC1E4"/>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FFFFFF"/>
              </w:rPr>
              <w:t>D</w:t>
            </w:r>
            <w:r>
              <w:rPr>
                <w:rFonts w:ascii="Times New Roman" w:cs="Times New Roman" w:eastAsia="Times New Roman" w:hAnsi="Times New Roman"/>
                <w:sz w:val="11"/>
                <w:szCs w:val="11"/>
                <w:b w:val="1"/>
                <w:bCs w:val="1"/>
                <w:color w:val="FFFFFF"/>
              </w:rPr>
              <w:t>ISCRETIONARY</w:t>
            </w:r>
          </w:p>
        </w:tc>
        <w:tc>
          <w:tcPr>
            <w:tcW w:w="0" w:type="dxa"/>
            <w:vAlign w:val="bottom"/>
          </w:tcPr>
          <w:p>
            <w:pPr>
              <w:spacing w:after="0"/>
              <w:rPr>
                <w:sz w:val="1"/>
                <w:szCs w:val="1"/>
                <w:color w:val="auto"/>
              </w:rPr>
            </w:pPr>
          </w:p>
        </w:tc>
      </w:tr>
      <w:tr>
        <w:trPr>
          <w:trHeight w:val="207"/>
        </w:trPr>
        <w:tc>
          <w:tcPr>
            <w:tcW w:w="3680" w:type="dxa"/>
            <w:vAlign w:val="bottom"/>
            <w:tcBorders>
              <w:left w:val="single" w:sz="8" w:color="auto"/>
              <w:bottom w:val="single" w:sz="8" w:color="auto"/>
            </w:tcBorders>
            <w:vMerge w:val="continue"/>
            <w:shd w:val="clear" w:color="auto" w:fill="4DC1E4"/>
          </w:tcPr>
          <w:p>
            <w:pPr>
              <w:spacing w:after="0"/>
              <w:rPr>
                <w:sz w:val="18"/>
                <w:szCs w:val="18"/>
                <w:color w:val="auto"/>
              </w:rPr>
            </w:pPr>
          </w:p>
        </w:tc>
        <w:tc>
          <w:tcPr>
            <w:tcW w:w="2380" w:type="dxa"/>
            <w:vAlign w:val="bottom"/>
            <w:tcBorders>
              <w:bottom w:val="single" w:sz="8" w:color="auto"/>
            </w:tcBorders>
            <w:vMerge w:val="continue"/>
            <w:shd w:val="clear" w:color="auto" w:fill="4DC1E4"/>
          </w:tcPr>
          <w:p>
            <w:pPr>
              <w:spacing w:after="0"/>
              <w:rPr>
                <w:sz w:val="18"/>
                <w:szCs w:val="18"/>
                <w:color w:val="auto"/>
              </w:rPr>
            </w:pPr>
          </w:p>
        </w:tc>
        <w:tc>
          <w:tcPr>
            <w:tcW w:w="3540" w:type="dxa"/>
            <w:vAlign w:val="bottom"/>
            <w:tcBorders>
              <w:bottom w:val="single" w:sz="8" w:color="auto"/>
            </w:tcBorders>
            <w:shd w:val="clear" w:color="auto" w:fill="4DC1E4"/>
          </w:tcPr>
          <w:p>
            <w:pPr>
              <w:ind w:left="300"/>
              <w:spacing w:after="0"/>
              <w:rPr>
                <w:sz w:val="20"/>
                <w:szCs w:val="20"/>
                <w:color w:val="auto"/>
              </w:rPr>
            </w:pPr>
            <w:r>
              <w:rPr>
                <w:rFonts w:ascii="Times New Roman" w:cs="Times New Roman" w:eastAsia="Times New Roman" w:hAnsi="Times New Roman"/>
                <w:sz w:val="14"/>
                <w:szCs w:val="14"/>
                <w:b w:val="1"/>
                <w:bCs w:val="1"/>
                <w:color w:val="FFFFFF"/>
              </w:rPr>
              <w:t>B</w:t>
            </w:r>
            <w:r>
              <w:rPr>
                <w:rFonts w:ascii="Times New Roman" w:cs="Times New Roman" w:eastAsia="Times New Roman" w:hAnsi="Times New Roman"/>
                <w:sz w:val="11"/>
                <w:szCs w:val="11"/>
                <w:b w:val="1"/>
                <w:bCs w:val="1"/>
                <w:color w:val="FFFFFF"/>
              </w:rPr>
              <w:t>ROKER</w:t>
            </w:r>
            <w:r>
              <w:rPr>
                <w:rFonts w:ascii="Times New Roman" w:cs="Times New Roman" w:eastAsia="Times New Roman" w:hAnsi="Times New Roman"/>
                <w:sz w:val="14"/>
                <w:szCs w:val="14"/>
                <w:b w:val="1"/>
                <w:bCs w:val="1"/>
                <w:color w:val="FFFFFF"/>
              </w:rPr>
              <w:t xml:space="preserve"> N</w:t>
            </w:r>
            <w:r>
              <w:rPr>
                <w:rFonts w:ascii="Times New Roman" w:cs="Times New Roman" w:eastAsia="Times New Roman" w:hAnsi="Times New Roman"/>
                <w:sz w:val="11"/>
                <w:szCs w:val="11"/>
                <w:b w:val="1"/>
                <w:bCs w:val="1"/>
                <w:color w:val="FFFFFF"/>
              </w:rPr>
              <w:t>ON</w:t>
            </w: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OTES</w:t>
            </w:r>
          </w:p>
        </w:tc>
        <w:tc>
          <w:tcPr>
            <w:tcW w:w="1320" w:type="dxa"/>
            <w:vAlign w:val="bottom"/>
            <w:tcBorders>
              <w:bottom w:val="single" w:sz="8" w:color="auto"/>
              <w:right w:val="single" w:sz="8" w:color="auto"/>
            </w:tcBorders>
            <w:shd w:val="clear" w:color="auto" w:fill="4DC1E4"/>
          </w:tcPr>
          <w:p>
            <w:pPr>
              <w:jc w:val="center"/>
              <w:ind w:left="59"/>
              <w:spacing w:after="0"/>
              <w:rPr>
                <w:sz w:val="20"/>
                <w:szCs w:val="20"/>
                <w:color w:val="auto"/>
              </w:rPr>
            </w:pP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OTING</w:t>
            </w:r>
          </w:p>
        </w:tc>
        <w:tc>
          <w:tcPr>
            <w:tcW w:w="0" w:type="dxa"/>
            <w:vAlign w:val="bottom"/>
          </w:tcPr>
          <w:p>
            <w:pPr>
              <w:spacing w:after="0"/>
              <w:rPr>
                <w:sz w:val="1"/>
                <w:szCs w:val="1"/>
                <w:color w:val="auto"/>
              </w:rPr>
            </w:pPr>
          </w:p>
        </w:tc>
      </w:tr>
      <w:tr>
        <w:trPr>
          <w:trHeight w:val="238"/>
        </w:trPr>
        <w:tc>
          <w:tcPr>
            <w:tcW w:w="36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1</w:t>
            </w:r>
            <w:r>
              <w:rPr>
                <w:rFonts w:ascii="Times New Roman" w:cs="Times New Roman" w:eastAsia="Times New Roman" w:hAnsi="Times New Roman"/>
                <w:sz w:val="18"/>
                <w:szCs w:val="18"/>
                <w:color w:val="4DC1E4"/>
              </w:rPr>
              <w:t>: Election of Class II Director</w:t>
            </w:r>
          </w:p>
        </w:tc>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Plurality of the votes cast</w:t>
            </w:r>
          </w:p>
        </w:tc>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Abstentions and broker non-votes will not</w:t>
            </w:r>
          </w:p>
        </w:tc>
        <w:tc>
          <w:tcPr>
            <w:tcW w:w="13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4DC1E4"/>
              </w:rPr>
              <w:t>for a Three-Year Term Expiring in 2025</w:t>
            </w:r>
          </w:p>
        </w:tc>
        <w:tc>
          <w:tcPr>
            <w:tcW w:w="238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 taken into account in determining the</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Borders>
              <w:left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outcome of the proposal</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680" w:type="dxa"/>
            <w:vAlign w:val="bottom"/>
            <w:tcBorders>
              <w:left w:val="single" w:sz="8" w:color="auto"/>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6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2</w:t>
            </w:r>
            <w:r>
              <w:rPr>
                <w:rFonts w:ascii="Times New Roman" w:cs="Times New Roman" w:eastAsia="Times New Roman" w:hAnsi="Times New Roman"/>
                <w:sz w:val="18"/>
                <w:szCs w:val="18"/>
                <w:color w:val="4DC1E4"/>
              </w:rPr>
              <w:t>: Approval, on an Advisory</w:t>
            </w:r>
          </w:p>
        </w:tc>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Majority of the votes cast</w:t>
            </w:r>
          </w:p>
        </w:tc>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Abstentions and broker non-votes will not</w:t>
            </w:r>
          </w:p>
        </w:tc>
        <w:tc>
          <w:tcPr>
            <w:tcW w:w="13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4DC1E4"/>
              </w:rPr>
              <w:t>Basis, of the Compensation of our Named</w:t>
            </w:r>
          </w:p>
        </w:tc>
        <w:tc>
          <w:tcPr>
            <w:tcW w:w="238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 taken into account in determining the</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4DC1E4"/>
              </w:rPr>
              <w:t>Executive Officers in 2021</w:t>
            </w:r>
          </w:p>
        </w:tc>
        <w:tc>
          <w:tcPr>
            <w:tcW w:w="2380" w:type="dxa"/>
            <w:vAlign w:val="bottom"/>
          </w:tcPr>
          <w:p>
            <w:pPr>
              <w:spacing w:after="0"/>
              <w:rPr>
                <w:sz w:val="20"/>
                <w:szCs w:val="20"/>
                <w:color w:val="auto"/>
              </w:rPr>
            </w:pPr>
          </w:p>
        </w:tc>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outcome of the proposal</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680" w:type="dxa"/>
            <w:vAlign w:val="bottom"/>
            <w:tcBorders>
              <w:left w:val="single" w:sz="8" w:color="auto"/>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6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3</w:t>
            </w:r>
            <w:r>
              <w:rPr>
                <w:rFonts w:ascii="Times New Roman" w:cs="Times New Roman" w:eastAsia="Times New Roman" w:hAnsi="Times New Roman"/>
                <w:sz w:val="18"/>
                <w:szCs w:val="18"/>
                <w:color w:val="4DC1E4"/>
              </w:rPr>
              <w:t>: Ratification of Appointment</w:t>
            </w:r>
          </w:p>
        </w:tc>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Majority of the votes cast</w:t>
            </w:r>
          </w:p>
        </w:tc>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Abstentions and broker non-votes will not</w:t>
            </w:r>
          </w:p>
        </w:tc>
        <w:tc>
          <w:tcPr>
            <w:tcW w:w="13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4DC1E4"/>
              </w:rPr>
              <w:t>of PricewaterhouseCoopers LLP as our</w:t>
            </w:r>
          </w:p>
        </w:tc>
        <w:tc>
          <w:tcPr>
            <w:tcW w:w="238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 taken into account in determining the</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4DC1E4"/>
              </w:rPr>
              <w:t>Independent Registered Public Accounting</w:t>
            </w:r>
          </w:p>
        </w:tc>
        <w:tc>
          <w:tcPr>
            <w:tcW w:w="238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outcome of the proposal</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4DC1E4"/>
              </w:rPr>
              <w:t>Firm for the 2022 Fiscal Year</w:t>
            </w:r>
          </w:p>
        </w:tc>
        <w:tc>
          <w:tcPr>
            <w:tcW w:w="23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680" w:type="dxa"/>
            <w:vAlign w:val="bottom"/>
            <w:tcBorders>
              <w:left w:val="single" w:sz="8" w:color="auto"/>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must have a quorum to conduct business at the Annual Meeting. A quorum consists of the presence at the Annual Meeting, either attending the meeting virtually or represented by proxy, of the holders of a majority of the outstanding shares of our common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a majority of shares virtually attending the Annual Meeting or represented by proxy or the presiding officer of the meeting may adjourn the Annual Meeting to another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3</w:t>
      </w:r>
    </w:p>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1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4DC1E4"/>
        </w:rPr>
        <w:t>Our Board has nominated Thomas E. Hamilton for re-election as a Class II director at our Annual Meeting to hold office until our 2025 Annual Meeting of Stockholders.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Board is the Company’s ultimate decision-making body, except with respect to those matters reserved to the stockholders. Our Board selects the members of our senior management team, who in turn are responsible for the day-to-day operations of the Company. Our Board acts as an advisor and counselor to senior management and oversees its performance.</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with each class holding office for a three-year term. Thomas E. Hamilton, a current Class II director, has been nominated by our Board for re-election at the Annual Meeting for a three-year term that will expire at our 2025 Annual Meeting of Stockholders and until his successor, if any, is elected or appointed, or his earlier death, resignation, or removal. Mr. Hamilton has agreed to be named and to serve, and we expect him to be able to serve if elected. If Mr. Hamilton is unable to serve, the Nominating and Corporate Governance Committee will recommend to our Board a replacement nominee. The Board may then designate the other nominee to stand for election. If you voted for the unavailable nominee, your vote will be cast for his replacement.</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Thomas O. Daniel, M.D. currently serves as a Class II director of our Board with a term expiring at the Annual Meeting. Dr. Daniel’s service as a member of our Board will end effective as of the date of the Annual Meeting and he is not standing for re-election. After careful consideration, we have elected to reduce the size of our Board from seven to six directors, effective as of the date of the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STRUCTURE AND COMPOSITION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can apply their experience toward meaningful contributions to our business strategy and oversight of our performance, risk management, organizational development and succession planning.</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(the “Bylaws”) provide that the number of members of our Board shall be fixed by the Board from time to time. Our Board is currently fixed at seven members. However, as described above, after careful consideration we have elected to reduce the size of our Board from seven to six directors following Dr. Daniel’s departure from our Board, effective as of the date of the Annual Meeting. Our Board is divided into three classes with staggered three-year terms. The Nominating and Corporate Governance Committee is responsible for identifying individuals that it believes are qualified to become Board members.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CRITERIA FOR BOARD MEMBERSHIP</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certain criteria in identifying director nominees. Important general criteria and considerations for Board membership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129540</wp:posOffset>
            </wp:positionV>
            <wp:extent cx="6998970" cy="2184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FFFF"/>
        </w:rPr>
        <w:t>G</w:t>
      </w:r>
      <w:r>
        <w:rPr>
          <w:rFonts w:ascii="Times New Roman" w:cs="Times New Roman" w:eastAsia="Times New Roman" w:hAnsi="Times New Roman"/>
          <w:sz w:val="14"/>
          <w:szCs w:val="14"/>
          <w:b w:val="1"/>
          <w:bCs w:val="1"/>
          <w:color w:val="FFFFFF"/>
        </w:rPr>
        <w:t>ENERAL</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4"/>
          <w:szCs w:val="14"/>
          <w:b w:val="1"/>
          <w:bCs w:val="1"/>
          <w:color w:val="FFFFFF"/>
        </w:rPr>
        <w:t>RITERIA</w:t>
      </w:r>
    </w:p>
    <w:p>
      <w:pPr>
        <w:spacing w:after="0" w:line="202" w:lineRule="exact"/>
        <w:rPr>
          <w:sz w:val="20"/>
          <w:szCs w:val="20"/>
          <w:color w:val="auto"/>
        </w:rPr>
      </w:pPr>
    </w:p>
    <w:p>
      <w:pPr>
        <w:ind w:left="1080" w:right="6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contribute to the Board’s range of talent, skill, and experience to provide sound and prudent guidance with respect to the Company’s strategy and operations, including, but not limited to:</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at senior levels in public companies;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expertise;</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4</w:t>
      </w:r>
    </w:p>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BOARD OF DIRECTORS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leadership roles in clinical and commercial-stage companies in the biotechnology or healthcare fields;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integrity and ethical character, commitment and independence of thought and judgment;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to fairly and equally act in the best interest of our stockholders;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Confidence and willingness to express ideas and engage in constructive discussion with other Board members and management, to actively participate in the Board’s decision-making process and make difficult decisions in the best interest of the Company and its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contribute to the diversity of personal and professional experiences, opinions, perspectives, and backgrounds on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and ability to devote sufficient time, energy and attention to the affairs of the Company and the Board;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actual and potential conflicts of interest.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also considers, on an ongoing basis, the background, experience and skills of the incumbent directors that are important to our current and future business needs, including, among others, the combined mix of experience in the following areas: finance, executive and management, the formation and development of start-up companies in the life sciences industry, public company governance and management and biopharmaceutical product development.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recruiting and selecting Board candidates, the Nominating and Corporate Governance Committee considers the size of the Board and the skills of the candidates. The Nominating and Corporate Governance Committee reviews the professional experience and qualifications of each Board member and candidate to determine whether a particular Board member or candidate possesses the necessary skills and/or other attributes to qualify him or her for service on a particular committee.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While the Company does not have a formal policy on Board diversity, the Nominating and Corporate Governance Committee considers the value of diversity on the Board in evaluating director nominees. Accordingly, the Nominating and Corporate Governance Committee’s evaluation of director nominees includes consideration of their ability to contribute to the diversity of personal and professional experiences, opinions, perspectives, and backgrounds on the Board.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Director Candidates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Nominating and Corporate Governance Committee’s nominees.</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5</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BOARD OF DIRECTORS </w:t>
      </w:r>
      <w:r>
        <w:rPr>
          <w:rFonts w:ascii="Times New Roman" w:cs="Times New Roman" w:eastAsia="Times New Roman" w:hAnsi="Times New Roman"/>
          <w:sz w:val="18"/>
          <w:szCs w:val="18"/>
          <w:b w:val="1"/>
          <w:bCs w:val="1"/>
          <w:i w:val="1"/>
          <w:iCs w:val="1"/>
          <w:color w:val="auto"/>
        </w:rPr>
        <w:t>(continued)</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Board diversity and inclusion is critical to the success of our Company. While we do not have a formal policy on Board diversity, the Board is committed to building a Board that consists of the optimal mix of skills, expertise, and diversity so that the Board is capable of effectively overseeing the execution of our business and meeting the Company’s evolving needs, with diversity reflecting gender, age, race, ethnicity, background, professional experience and perspectives. The Nominating and Corporate Governance Committee considers the value of diversity on the Board in evaluating director candidates. Accordingly, the Nominating and Corporate Governance Committee’s evaluation of director nominees includes consideration of their ability to contribute to the diversity of personal and professional experiences, opinions, perspectives and backgrounds on the Board.</w:t>
      </w:r>
    </w:p>
    <w:p>
      <w:pPr>
        <w:spacing w:after="0" w:line="17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presently constituted, the Board represents a deliberate mix of members who have a deep understanding of our business as well as members who have different skill sets and points of view. The matrix below summarizes the self-identified gender and demographic background statistics for our Board. Each of the categories listed in the matrix below has the meaning given to it in Nasdaq Listing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26580" cy="2777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6580" cy="27774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FFFF"/>
        </w:rPr>
        <w:t>Board Diversity Matrix (As of April 12, 2022)</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2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30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7 (6 after Annual Meeting)</w:t>
            </w:r>
          </w:p>
        </w:tc>
        <w:tc>
          <w:tcPr>
            <w:tcW w:w="2060" w:type="dxa"/>
            <w:vAlign w:val="bottom"/>
            <w:tcBorders>
              <w:top w:val="single" w:sz="8" w:color="auto"/>
            </w:tcBorders>
          </w:tcPr>
          <w:p>
            <w:pPr>
              <w:spacing w:after="0"/>
              <w:rPr>
                <w:sz w:val="20"/>
                <w:szCs w:val="20"/>
                <w:color w:val="auto"/>
              </w:rPr>
            </w:pPr>
          </w:p>
        </w:tc>
      </w:tr>
      <w:tr>
        <w:trPr>
          <w:trHeight w:val="29"/>
        </w:trPr>
        <w:tc>
          <w:tcPr>
            <w:tcW w:w="42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89"/>
        </w:trPr>
        <w:tc>
          <w:tcPr>
            <w:tcW w:w="4260" w:type="dxa"/>
            <w:vAlign w:val="bottom"/>
            <w:tcBorders>
              <w:right w:val="single" w:sz="8" w:color="auto"/>
            </w:tcBorders>
            <w:shd w:val="clear" w:color="auto" w:fill="4DC1E4"/>
          </w:tcPr>
          <w:p>
            <w:pPr>
              <w:spacing w:after="0"/>
              <w:rPr>
                <w:sz w:val="16"/>
                <w:szCs w:val="16"/>
                <w:color w:val="auto"/>
              </w:rPr>
            </w:pPr>
          </w:p>
        </w:tc>
        <w:tc>
          <w:tcPr>
            <w:tcW w:w="1300" w:type="dxa"/>
            <w:vAlign w:val="bottom"/>
            <w:tcBorders>
              <w:right w:val="single" w:sz="8" w:color="auto"/>
            </w:tcBorders>
            <w:shd w:val="clear" w:color="auto" w:fill="4DC1E4"/>
          </w:tcPr>
          <w:p>
            <w:pPr>
              <w:spacing w:after="0"/>
              <w:rPr>
                <w:sz w:val="16"/>
                <w:szCs w:val="16"/>
                <w:color w:val="auto"/>
              </w:rPr>
            </w:pPr>
          </w:p>
        </w:tc>
        <w:tc>
          <w:tcPr>
            <w:tcW w:w="1640" w:type="dxa"/>
            <w:vAlign w:val="bottom"/>
            <w:tcBorders>
              <w:right w:val="single" w:sz="8" w:color="auto"/>
            </w:tcBorders>
            <w:shd w:val="clear" w:color="auto" w:fill="4DC1E4"/>
          </w:tcPr>
          <w:p>
            <w:pPr>
              <w:spacing w:after="0"/>
              <w:rPr>
                <w:sz w:val="16"/>
                <w:szCs w:val="16"/>
                <w:color w:val="auto"/>
              </w:rPr>
            </w:pPr>
          </w:p>
        </w:tc>
        <w:tc>
          <w:tcPr>
            <w:tcW w:w="1640" w:type="dxa"/>
            <w:vAlign w:val="bottom"/>
            <w:tcBorders>
              <w:right w:val="single" w:sz="8" w:color="auto"/>
            </w:tcBorders>
            <w:shd w:val="clear" w:color="auto" w:fill="4DC1E4"/>
          </w:tcPr>
          <w:p>
            <w:pPr>
              <w:spacing w:after="0"/>
              <w:rPr>
                <w:sz w:val="16"/>
                <w:szCs w:val="16"/>
                <w:color w:val="auto"/>
              </w:rPr>
            </w:pPr>
          </w:p>
        </w:tc>
        <w:tc>
          <w:tcPr>
            <w:tcW w:w="2060" w:type="dxa"/>
            <w:vAlign w:val="bottom"/>
            <w:shd w:val="clear" w:color="auto" w:fill="4DC1E4"/>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FFFFFF"/>
              </w:rPr>
              <w:t>Did Not Disclose</w:t>
            </w:r>
          </w:p>
        </w:tc>
      </w:tr>
      <w:tr>
        <w:trPr>
          <w:trHeight w:val="295"/>
        </w:trPr>
        <w:tc>
          <w:tcPr>
            <w:tcW w:w="4260" w:type="dxa"/>
            <w:vAlign w:val="bottom"/>
            <w:tcBorders>
              <w:bottom w:val="single" w:sz="8" w:color="4DC1E4"/>
              <w:right w:val="single" w:sz="8" w:color="auto"/>
            </w:tcBorders>
            <w:shd w:val="clear" w:color="auto" w:fill="4DC1E4"/>
          </w:tcPr>
          <w:p>
            <w:pPr>
              <w:spacing w:after="0"/>
              <w:rPr>
                <w:sz w:val="24"/>
                <w:szCs w:val="24"/>
                <w:color w:val="auto"/>
              </w:rPr>
            </w:pPr>
          </w:p>
        </w:tc>
        <w:tc>
          <w:tcPr>
            <w:tcW w:w="1300" w:type="dxa"/>
            <w:vAlign w:val="bottom"/>
            <w:tcBorders>
              <w:bottom w:val="single" w:sz="8" w:color="4DC1E4"/>
              <w:right w:val="single" w:sz="8" w:color="auto"/>
            </w:tcBorders>
            <w:shd w:val="clear" w:color="auto" w:fill="4DC1E4"/>
          </w:tcPr>
          <w:p>
            <w:pPr>
              <w:ind w:left="420"/>
              <w:spacing w:after="0"/>
              <w:rPr>
                <w:sz w:val="20"/>
                <w:szCs w:val="20"/>
                <w:color w:val="auto"/>
              </w:rPr>
            </w:pPr>
            <w:r>
              <w:rPr>
                <w:rFonts w:ascii="Times New Roman" w:cs="Times New Roman" w:eastAsia="Times New Roman" w:hAnsi="Times New Roman"/>
                <w:sz w:val="18"/>
                <w:szCs w:val="18"/>
                <w:i w:val="1"/>
                <w:iCs w:val="1"/>
                <w:color w:val="FFFFFF"/>
              </w:rPr>
              <w:t>Female</w:t>
            </w:r>
          </w:p>
        </w:tc>
        <w:tc>
          <w:tcPr>
            <w:tcW w:w="1640" w:type="dxa"/>
            <w:vAlign w:val="bottom"/>
            <w:tcBorders>
              <w:bottom w:val="single" w:sz="8" w:color="4DC1E4"/>
              <w:right w:val="single" w:sz="8" w:color="auto"/>
            </w:tcBorders>
            <w:shd w:val="clear" w:color="auto" w:fill="4DC1E4"/>
          </w:tcPr>
          <w:p>
            <w:pPr>
              <w:ind w:left="740"/>
              <w:spacing w:after="0"/>
              <w:rPr>
                <w:sz w:val="20"/>
                <w:szCs w:val="20"/>
                <w:color w:val="auto"/>
              </w:rPr>
            </w:pPr>
            <w:r>
              <w:rPr>
                <w:rFonts w:ascii="Times New Roman" w:cs="Times New Roman" w:eastAsia="Times New Roman" w:hAnsi="Times New Roman"/>
                <w:sz w:val="18"/>
                <w:szCs w:val="18"/>
                <w:i w:val="1"/>
                <w:iCs w:val="1"/>
                <w:color w:val="FFFFFF"/>
              </w:rPr>
              <w:t>Male</w:t>
            </w:r>
          </w:p>
        </w:tc>
        <w:tc>
          <w:tcPr>
            <w:tcW w:w="1640" w:type="dxa"/>
            <w:vAlign w:val="bottom"/>
            <w:tcBorders>
              <w:bottom w:val="single" w:sz="8" w:color="4DC1E4"/>
              <w:right w:val="single" w:sz="8" w:color="auto"/>
            </w:tcBorders>
            <w:shd w:val="clear" w:color="auto" w:fill="4DC1E4"/>
          </w:tcPr>
          <w:p>
            <w:pPr>
              <w:jc w:val="center"/>
              <w:ind w:left="86"/>
              <w:spacing w:after="0"/>
              <w:rPr>
                <w:sz w:val="20"/>
                <w:szCs w:val="20"/>
                <w:color w:val="auto"/>
              </w:rPr>
            </w:pPr>
            <w:r>
              <w:rPr>
                <w:rFonts w:ascii="Times New Roman" w:cs="Times New Roman" w:eastAsia="Times New Roman" w:hAnsi="Times New Roman"/>
                <w:sz w:val="18"/>
                <w:szCs w:val="18"/>
                <w:i w:val="1"/>
                <w:iCs w:val="1"/>
                <w:color w:val="FFFFFF"/>
                <w:w w:val="98"/>
              </w:rPr>
              <w:t>Non-Binary</w:t>
            </w:r>
          </w:p>
        </w:tc>
        <w:tc>
          <w:tcPr>
            <w:tcW w:w="2060" w:type="dxa"/>
            <w:vAlign w:val="bottom"/>
            <w:tcBorders>
              <w:bottom w:val="single" w:sz="8" w:color="4DC1E4"/>
            </w:tcBorders>
            <w:shd w:val="clear" w:color="auto" w:fill="4DC1E4"/>
          </w:tcPr>
          <w:p>
            <w:pPr>
              <w:jc w:val="center"/>
              <w:ind w:left="3"/>
              <w:spacing w:after="0"/>
              <w:rPr>
                <w:sz w:val="20"/>
                <w:szCs w:val="20"/>
                <w:color w:val="auto"/>
              </w:rPr>
            </w:pPr>
            <w:r>
              <w:rPr>
                <w:rFonts w:ascii="Times New Roman" w:cs="Times New Roman" w:eastAsia="Times New Roman" w:hAnsi="Times New Roman"/>
                <w:sz w:val="18"/>
                <w:szCs w:val="18"/>
                <w:i w:val="1"/>
                <w:iCs w:val="1"/>
                <w:color w:val="FFFFFF"/>
                <w:w w:val="99"/>
              </w:rPr>
              <w:t>Gender</w:t>
            </w:r>
          </w:p>
        </w:tc>
      </w:tr>
      <w:tr>
        <w:trPr>
          <w:trHeight w:val="268"/>
        </w:trPr>
        <w:tc>
          <w:tcPr>
            <w:tcW w:w="4260" w:type="dxa"/>
            <w:vAlign w:val="bottom"/>
            <w:tcBorders>
              <w:top w:val="single" w:sz="8" w:color="auto"/>
              <w:bottom w:val="single" w:sz="8" w:color="4DC1E4"/>
              <w:right w:val="single" w:sz="8" w:color="4DC1E4"/>
            </w:tcBorders>
            <w:shd w:val="clear" w:color="auto" w:fill="4DC1E4"/>
          </w:tcPr>
          <w:p>
            <w:pPr>
              <w:ind w:left="160"/>
              <w:spacing w:after="0"/>
              <w:rPr>
                <w:sz w:val="20"/>
                <w:szCs w:val="20"/>
                <w:color w:val="auto"/>
              </w:rPr>
            </w:pPr>
            <w:r>
              <w:rPr>
                <w:rFonts w:ascii="Times New Roman" w:cs="Times New Roman" w:eastAsia="Times New Roman" w:hAnsi="Times New Roman"/>
                <w:sz w:val="18"/>
                <w:szCs w:val="18"/>
                <w:i w:val="1"/>
                <w:iCs w:val="1"/>
                <w:color w:val="FFFFFF"/>
              </w:rPr>
              <w:t>Part I: Gender Identity</w:t>
            </w:r>
          </w:p>
        </w:tc>
        <w:tc>
          <w:tcPr>
            <w:tcW w:w="1300" w:type="dxa"/>
            <w:vAlign w:val="bottom"/>
            <w:tcBorders>
              <w:top w:val="single" w:sz="8" w:color="auto"/>
              <w:bottom w:val="single" w:sz="8" w:color="4DC1E4"/>
              <w:right w:val="single" w:sz="8" w:color="4DC1E4"/>
            </w:tcBorders>
            <w:shd w:val="clear" w:color="auto" w:fill="4DC1E4"/>
          </w:tcPr>
          <w:p>
            <w:pPr>
              <w:spacing w:after="0"/>
              <w:rPr>
                <w:sz w:val="22"/>
                <w:szCs w:val="22"/>
                <w:color w:val="auto"/>
              </w:rPr>
            </w:pPr>
          </w:p>
        </w:tc>
        <w:tc>
          <w:tcPr>
            <w:tcW w:w="1640" w:type="dxa"/>
            <w:vAlign w:val="bottom"/>
            <w:tcBorders>
              <w:top w:val="single" w:sz="8" w:color="auto"/>
              <w:bottom w:val="single" w:sz="8" w:color="4DC1E4"/>
              <w:right w:val="single" w:sz="8" w:color="4DC1E4"/>
            </w:tcBorders>
            <w:shd w:val="clear" w:color="auto" w:fill="4DC1E4"/>
          </w:tcPr>
          <w:p>
            <w:pPr>
              <w:spacing w:after="0"/>
              <w:rPr>
                <w:sz w:val="22"/>
                <w:szCs w:val="22"/>
                <w:color w:val="auto"/>
              </w:rPr>
            </w:pPr>
          </w:p>
        </w:tc>
        <w:tc>
          <w:tcPr>
            <w:tcW w:w="1640" w:type="dxa"/>
            <w:vAlign w:val="bottom"/>
            <w:tcBorders>
              <w:top w:val="single" w:sz="8" w:color="auto"/>
              <w:bottom w:val="single" w:sz="8" w:color="4DC1E4"/>
              <w:right w:val="single" w:sz="8" w:color="4DC1E4"/>
            </w:tcBorders>
            <w:shd w:val="clear" w:color="auto" w:fill="4DC1E4"/>
          </w:tcPr>
          <w:p>
            <w:pPr>
              <w:spacing w:after="0"/>
              <w:rPr>
                <w:sz w:val="22"/>
                <w:szCs w:val="22"/>
                <w:color w:val="auto"/>
              </w:rPr>
            </w:pPr>
          </w:p>
        </w:tc>
        <w:tc>
          <w:tcPr>
            <w:tcW w:w="2060" w:type="dxa"/>
            <w:vAlign w:val="bottom"/>
            <w:tcBorders>
              <w:top w:val="single" w:sz="8" w:color="auto"/>
              <w:bottom w:val="single" w:sz="8" w:color="4DC1E4"/>
            </w:tcBorders>
            <w:shd w:val="clear" w:color="auto" w:fill="4DC1E4"/>
          </w:tcPr>
          <w:p>
            <w:pPr>
              <w:spacing w:after="0"/>
              <w:rPr>
                <w:sz w:val="22"/>
                <w:szCs w:val="22"/>
                <w:color w:val="auto"/>
              </w:rPr>
            </w:pPr>
          </w:p>
        </w:tc>
      </w:tr>
      <w:tr>
        <w:trPr>
          <w:trHeight w:val="228"/>
        </w:trPr>
        <w:tc>
          <w:tcPr>
            <w:tcW w:w="42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640" w:type="dxa"/>
            <w:vAlign w:val="bottom"/>
            <w:tcBorders>
              <w:top w:val="single" w:sz="8" w:color="auto"/>
              <w:right w:val="single" w:sz="8" w:color="auto"/>
            </w:tcBorders>
          </w:tcPr>
          <w:p>
            <w:pPr>
              <w:jc w:val="center"/>
              <w:ind w:left="81"/>
              <w:spacing w:after="0"/>
              <w:rPr>
                <w:sz w:val="20"/>
                <w:szCs w:val="20"/>
                <w:color w:val="auto"/>
              </w:rPr>
            </w:pPr>
            <w:r>
              <w:rPr>
                <w:rFonts w:ascii="Times New Roman" w:cs="Times New Roman" w:eastAsia="Times New Roman" w:hAnsi="Times New Roman"/>
                <w:sz w:val="18"/>
                <w:szCs w:val="18"/>
                <w:color w:val="auto"/>
                <w:w w:val="88"/>
              </w:rPr>
              <w:t>5</w:t>
            </w:r>
          </w:p>
        </w:tc>
        <w:tc>
          <w:tcPr>
            <w:tcW w:w="1640" w:type="dxa"/>
            <w:vAlign w:val="bottom"/>
            <w:tcBorders>
              <w:top w:val="single" w:sz="8" w:color="auto"/>
              <w:right w:val="single" w:sz="8" w:color="auto"/>
            </w:tcBorders>
          </w:tcPr>
          <w:p>
            <w:pPr>
              <w:jc w:val="center"/>
              <w:ind w:left="106"/>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Borders>
              <w:top w:val="single" w:sz="8" w:color="auto"/>
            </w:tcBorders>
          </w:tcPr>
          <w:p>
            <w:pPr>
              <w:jc w:val="center"/>
              <w:ind w:left="3"/>
              <w:spacing w:after="0"/>
              <w:rPr>
                <w:sz w:val="20"/>
                <w:szCs w:val="20"/>
                <w:color w:val="auto"/>
              </w:rPr>
            </w:pPr>
            <w:r>
              <w:rPr>
                <w:rFonts w:ascii="Times New Roman" w:cs="Times New Roman" w:eastAsia="Times New Roman" w:hAnsi="Times New Roman"/>
                <w:sz w:val="18"/>
                <w:szCs w:val="18"/>
                <w:color w:val="auto"/>
              </w:rPr>
              <w:t>1</w:t>
            </w:r>
          </w:p>
        </w:tc>
      </w:tr>
      <w:tr>
        <w:trPr>
          <w:trHeight w:val="36"/>
        </w:trPr>
        <w:tc>
          <w:tcPr>
            <w:tcW w:w="4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69"/>
        </w:trPr>
        <w:tc>
          <w:tcPr>
            <w:tcW w:w="4260" w:type="dxa"/>
            <w:vAlign w:val="bottom"/>
            <w:tcBorders>
              <w:bottom w:val="single" w:sz="8" w:color="4DC1E4"/>
              <w:right w:val="single" w:sz="8" w:color="auto"/>
            </w:tcBorders>
            <w:shd w:val="clear" w:color="auto" w:fill="4DC1E4"/>
          </w:tcPr>
          <w:p>
            <w:pPr>
              <w:ind w:left="160"/>
              <w:spacing w:after="0"/>
              <w:rPr>
                <w:sz w:val="20"/>
                <w:szCs w:val="20"/>
                <w:color w:val="auto"/>
              </w:rPr>
            </w:pPr>
            <w:r>
              <w:rPr>
                <w:rFonts w:ascii="Times New Roman" w:cs="Times New Roman" w:eastAsia="Times New Roman" w:hAnsi="Times New Roman"/>
                <w:sz w:val="18"/>
                <w:szCs w:val="18"/>
                <w:i w:val="1"/>
                <w:iCs w:val="1"/>
                <w:color w:val="FFFFFF"/>
              </w:rPr>
              <w:t>Part II: Demographic Background</w:t>
            </w:r>
          </w:p>
        </w:tc>
        <w:tc>
          <w:tcPr>
            <w:tcW w:w="1300" w:type="dxa"/>
            <w:vAlign w:val="bottom"/>
            <w:tcBorders>
              <w:bottom w:val="single" w:sz="8" w:color="4DC1E4"/>
              <w:right w:val="single" w:sz="8" w:color="auto"/>
            </w:tcBorders>
            <w:shd w:val="clear" w:color="auto" w:fill="4DC1E4"/>
          </w:tcPr>
          <w:p>
            <w:pPr>
              <w:spacing w:after="0"/>
              <w:rPr>
                <w:sz w:val="22"/>
                <w:szCs w:val="22"/>
                <w:color w:val="auto"/>
              </w:rPr>
            </w:pPr>
          </w:p>
        </w:tc>
        <w:tc>
          <w:tcPr>
            <w:tcW w:w="1640" w:type="dxa"/>
            <w:vAlign w:val="bottom"/>
            <w:tcBorders>
              <w:bottom w:val="single" w:sz="8" w:color="4DC1E4"/>
              <w:right w:val="single" w:sz="8" w:color="auto"/>
            </w:tcBorders>
            <w:shd w:val="clear" w:color="auto" w:fill="4DC1E4"/>
          </w:tcPr>
          <w:p>
            <w:pPr>
              <w:spacing w:after="0"/>
              <w:rPr>
                <w:sz w:val="22"/>
                <w:szCs w:val="22"/>
                <w:color w:val="auto"/>
              </w:rPr>
            </w:pPr>
          </w:p>
        </w:tc>
        <w:tc>
          <w:tcPr>
            <w:tcW w:w="1640" w:type="dxa"/>
            <w:vAlign w:val="bottom"/>
            <w:tcBorders>
              <w:bottom w:val="single" w:sz="8" w:color="4DC1E4"/>
              <w:right w:val="single" w:sz="8" w:color="auto"/>
            </w:tcBorders>
            <w:shd w:val="clear" w:color="auto" w:fill="4DC1E4"/>
          </w:tcPr>
          <w:p>
            <w:pPr>
              <w:spacing w:after="0"/>
              <w:rPr>
                <w:sz w:val="22"/>
                <w:szCs w:val="22"/>
                <w:color w:val="auto"/>
              </w:rPr>
            </w:pPr>
          </w:p>
        </w:tc>
        <w:tc>
          <w:tcPr>
            <w:tcW w:w="2060" w:type="dxa"/>
            <w:vAlign w:val="bottom"/>
            <w:tcBorders>
              <w:bottom w:val="single" w:sz="8" w:color="4DC1E4"/>
            </w:tcBorders>
            <w:shd w:val="clear" w:color="auto" w:fill="4DC1E4"/>
          </w:tcPr>
          <w:p>
            <w:pPr>
              <w:spacing w:after="0"/>
              <w:rPr>
                <w:sz w:val="22"/>
                <w:szCs w:val="22"/>
                <w:color w:val="auto"/>
              </w:rPr>
            </w:pPr>
          </w:p>
        </w:tc>
      </w:tr>
      <w:tr>
        <w:trPr>
          <w:trHeight w:val="228"/>
        </w:trPr>
        <w:tc>
          <w:tcPr>
            <w:tcW w:w="42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top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top w:val="single" w:sz="8" w:color="auto"/>
              <w:right w:val="single" w:sz="8" w:color="auto"/>
            </w:tcBorders>
          </w:tcPr>
          <w:p>
            <w:pPr>
              <w:jc w:val="center"/>
              <w:ind w:left="106"/>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Borders>
              <w:top w:val="single" w:sz="8" w:color="auto"/>
            </w:tcBorders>
          </w:tcPr>
          <w:p>
            <w:pPr>
              <w:jc w:val="center"/>
              <w:ind w:left="3"/>
              <w:spacing w:after="0"/>
              <w:rPr>
                <w:sz w:val="20"/>
                <w:szCs w:val="20"/>
                <w:color w:val="auto"/>
              </w:rPr>
            </w:pPr>
            <w:r>
              <w:rPr>
                <w:rFonts w:ascii="Times New Roman" w:cs="Times New Roman" w:eastAsia="Times New Roman" w:hAnsi="Times New Roman"/>
                <w:sz w:val="14"/>
                <w:szCs w:val="14"/>
                <w:color w:val="auto"/>
                <w:w w:val="99"/>
              </w:rPr>
              <w:t>—</w:t>
            </w:r>
          </w:p>
        </w:tc>
      </w:tr>
      <w:tr>
        <w:trPr>
          <w:trHeight w:val="36"/>
        </w:trPr>
        <w:tc>
          <w:tcPr>
            <w:tcW w:w="4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28"/>
        </w:trPr>
        <w:tc>
          <w:tcPr>
            <w:tcW w:w="4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106"/>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4"/>
                <w:szCs w:val="14"/>
                <w:color w:val="auto"/>
                <w:w w:val="99"/>
              </w:rPr>
              <w:t>—</w:t>
            </w:r>
          </w:p>
        </w:tc>
      </w:tr>
      <w:tr>
        <w:trPr>
          <w:trHeight w:val="36"/>
        </w:trPr>
        <w:tc>
          <w:tcPr>
            <w:tcW w:w="4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28"/>
        </w:trPr>
        <w:tc>
          <w:tcPr>
            <w:tcW w:w="4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Asian</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106"/>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4"/>
                <w:szCs w:val="14"/>
                <w:color w:val="auto"/>
                <w:w w:val="99"/>
              </w:rPr>
              <w:t>—</w:t>
            </w:r>
          </w:p>
        </w:tc>
      </w:tr>
      <w:tr>
        <w:trPr>
          <w:trHeight w:val="36"/>
        </w:trPr>
        <w:tc>
          <w:tcPr>
            <w:tcW w:w="4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28"/>
        </w:trPr>
        <w:tc>
          <w:tcPr>
            <w:tcW w:w="4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Hispanic or Latinx</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106"/>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4"/>
                <w:szCs w:val="14"/>
                <w:color w:val="auto"/>
                <w:w w:val="99"/>
              </w:rPr>
              <w:t>—</w:t>
            </w:r>
          </w:p>
        </w:tc>
      </w:tr>
      <w:tr>
        <w:trPr>
          <w:trHeight w:val="36"/>
        </w:trPr>
        <w:tc>
          <w:tcPr>
            <w:tcW w:w="4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28"/>
        </w:trPr>
        <w:tc>
          <w:tcPr>
            <w:tcW w:w="4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106"/>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4"/>
                <w:szCs w:val="14"/>
                <w:color w:val="auto"/>
                <w:w w:val="99"/>
              </w:rPr>
              <w:t>—</w:t>
            </w:r>
          </w:p>
        </w:tc>
      </w:tr>
      <w:tr>
        <w:trPr>
          <w:trHeight w:val="36"/>
        </w:trPr>
        <w:tc>
          <w:tcPr>
            <w:tcW w:w="4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28"/>
        </w:trPr>
        <w:tc>
          <w:tcPr>
            <w:tcW w:w="4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White</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81"/>
              <w:spacing w:after="0"/>
              <w:rPr>
                <w:sz w:val="20"/>
                <w:szCs w:val="20"/>
                <w:color w:val="auto"/>
              </w:rPr>
            </w:pPr>
            <w:r>
              <w:rPr>
                <w:rFonts w:ascii="Times New Roman" w:cs="Times New Roman" w:eastAsia="Times New Roman" w:hAnsi="Times New Roman"/>
                <w:sz w:val="18"/>
                <w:szCs w:val="18"/>
                <w:color w:val="auto"/>
                <w:w w:val="88"/>
              </w:rPr>
              <w:t>5</w:t>
            </w:r>
          </w:p>
        </w:tc>
        <w:tc>
          <w:tcPr>
            <w:tcW w:w="1640" w:type="dxa"/>
            <w:vAlign w:val="bottom"/>
            <w:tcBorders>
              <w:right w:val="single" w:sz="8" w:color="auto"/>
            </w:tcBorders>
          </w:tcPr>
          <w:p>
            <w:pPr>
              <w:jc w:val="center"/>
              <w:ind w:left="106"/>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4"/>
                <w:szCs w:val="14"/>
                <w:color w:val="auto"/>
                <w:w w:val="99"/>
              </w:rPr>
              <w:t>—</w:t>
            </w:r>
          </w:p>
        </w:tc>
      </w:tr>
      <w:tr>
        <w:trPr>
          <w:trHeight w:val="36"/>
        </w:trPr>
        <w:tc>
          <w:tcPr>
            <w:tcW w:w="4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28"/>
        </w:trPr>
        <w:tc>
          <w:tcPr>
            <w:tcW w:w="4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right w:val="single" w:sz="8" w:color="auto"/>
            </w:tcBorders>
          </w:tcPr>
          <w:p>
            <w:pPr>
              <w:jc w:val="center"/>
              <w:ind w:left="106"/>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4"/>
                <w:szCs w:val="14"/>
                <w:color w:val="auto"/>
                <w:w w:val="99"/>
              </w:rPr>
              <w:t>—</w:t>
            </w:r>
          </w:p>
        </w:tc>
      </w:tr>
      <w:tr>
        <w:trPr>
          <w:trHeight w:val="36"/>
        </w:trPr>
        <w:tc>
          <w:tcPr>
            <w:tcW w:w="4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28"/>
        </w:trPr>
        <w:tc>
          <w:tcPr>
            <w:tcW w:w="4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LGBTQ+</w:t>
            </w:r>
          </w:p>
        </w:tc>
        <w:tc>
          <w:tcPr>
            <w:tcW w:w="1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40" w:type="dxa"/>
            <w:vAlign w:val="bottom"/>
          </w:tcPr>
          <w:p>
            <w:pPr>
              <w:jc w:val="center"/>
              <w:ind w:right="766"/>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spacing w:after="0"/>
              <w:rPr>
                <w:sz w:val="19"/>
                <w:szCs w:val="19"/>
                <w:color w:val="auto"/>
              </w:rPr>
            </w:pPr>
          </w:p>
        </w:tc>
      </w:tr>
      <w:tr>
        <w:trPr>
          <w:trHeight w:val="36"/>
        </w:trPr>
        <w:tc>
          <w:tcPr>
            <w:tcW w:w="4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28"/>
        </w:trPr>
        <w:tc>
          <w:tcPr>
            <w:tcW w:w="4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40" w:type="dxa"/>
            <w:vAlign w:val="bottom"/>
          </w:tcPr>
          <w:p>
            <w:pPr>
              <w:jc w:val="right"/>
              <w:ind w:right="1126"/>
              <w:spacing w:after="0"/>
              <w:rPr>
                <w:sz w:val="20"/>
                <w:szCs w:val="20"/>
                <w:color w:val="auto"/>
              </w:rPr>
            </w:pPr>
            <w:r>
              <w:rPr>
                <w:rFonts w:ascii="Times New Roman" w:cs="Times New Roman" w:eastAsia="Times New Roman" w:hAnsi="Times New Roman"/>
                <w:sz w:val="14"/>
                <w:szCs w:val="14"/>
                <w:color w:val="auto"/>
              </w:rPr>
              <w:t>2</w:t>
            </w:r>
          </w:p>
        </w:tc>
        <w:tc>
          <w:tcPr>
            <w:tcW w:w="2060" w:type="dxa"/>
            <w:vAlign w:val="bottom"/>
          </w:tcPr>
          <w:p>
            <w:pPr>
              <w:spacing w:after="0"/>
              <w:rPr>
                <w:sz w:val="19"/>
                <w:szCs w:val="19"/>
                <w:color w:val="auto"/>
              </w:rPr>
            </w:pPr>
          </w:p>
        </w:tc>
      </w:tr>
      <w:tr>
        <w:trPr>
          <w:trHeight w:val="36"/>
        </w:trPr>
        <w:tc>
          <w:tcPr>
            <w:tcW w:w="4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OVERSIGHT OF COMPANY CULTURE AND ENVIRONMENTAL, SOCIAL AND GOVERNANCE HIGHLIGHTS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the Company’s culture and its strategy are aligned. Our Board expects all directors, as well as officers and employees, to conduct themselves in a manner consistent with our Code of Business Conduct and Ethics (the “Code of Conduct”) and our values. Our Board believes that a strong culture of integrity, ethics and compliance is fundamental to the conduct of the Company’s business, and is necessary for effective risk management, maintaining investor trust, and successful corporate governance.</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6</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BOARD OF DIRECTORS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believe corporate responsibility is essential for good governance because it strengthens the accountability of our Board and management team. We view Environmental, Social and Governance (“ESG”) initiatives as long-term value drivers for the Company and our stockholders. Our focus on, and commitment to ESG initiatives,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our current ESG policies and practices:</w:t>
      </w:r>
    </w:p>
    <w:p>
      <w:pPr>
        <w:spacing w:after="0" w:line="127" w:lineRule="exact"/>
        <w:rPr>
          <w:sz w:val="20"/>
          <w:szCs w:val="20"/>
          <w:color w:val="auto"/>
        </w:rPr>
      </w:pPr>
    </w:p>
    <w:p>
      <w:pPr>
        <w:ind w:left="1080" w:hanging="424"/>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Separate Chairperson of the Board and Chief Executive Officer: </w:t>
      </w:r>
      <w:r>
        <w:rPr>
          <w:rFonts w:ascii="Times New Roman" w:cs="Times New Roman" w:eastAsia="Times New Roman" w:hAnsi="Times New Roman"/>
          <w:sz w:val="18"/>
          <w:szCs w:val="18"/>
          <w:color w:val="auto"/>
        </w:rPr>
        <w:t>The offices of Chief Executive Officer (“CEO”) and Chairperson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are separated, which allows our CEO to focus on strategic planning and execution, as well as our day-to-day business operations, while allowing the Chairperson of the Board to lead the Board in its fundamental role of providing advice to, and oversight of, management. While our Bylaws do not require the Chairperson of the Board and CEO positions to be separate, our Board believes that having separate positions is the appropriate leadership structure for us currently and demonstrates our commitment to good corporate governance.</w:t>
      </w:r>
    </w:p>
    <w:p>
      <w:pPr>
        <w:spacing w:after="0" w:line="8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Committees: </w:t>
      </w:r>
      <w:r>
        <w:rPr>
          <w:rFonts w:ascii="Times New Roman" w:cs="Times New Roman" w:eastAsia="Times New Roman" w:hAnsi="Times New Roman"/>
          <w:sz w:val="18"/>
          <w:szCs w:val="18"/>
          <w:color w:val="auto"/>
        </w:rPr>
        <w:t>Each of our committees consist entirely of independent directors.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Regularly Held Executive Sessions: </w:t>
      </w:r>
      <w:r>
        <w:rPr>
          <w:rFonts w:ascii="Times New Roman" w:cs="Times New Roman" w:eastAsia="Times New Roman" w:hAnsi="Times New Roman"/>
          <w:sz w:val="18"/>
          <w:szCs w:val="18"/>
          <w:color w:val="auto"/>
        </w:rPr>
        <w:t>The independent directors of our Board meet separately in executive session on a regular basis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 matters relating to the Company and the Board, without members of the management team present.</w:t>
      </w:r>
    </w:p>
    <w:p>
      <w:pPr>
        <w:spacing w:after="0" w:line="60" w:lineRule="exact"/>
        <w:rPr>
          <w:rFonts w:ascii="Times New Roman" w:cs="Times New Roman" w:eastAsia="Times New Roman" w:hAnsi="Times New Roman"/>
          <w:sz w:val="18"/>
          <w:szCs w:val="18"/>
          <w:color w:val="auto"/>
        </w:rPr>
      </w:pPr>
    </w:p>
    <w:p>
      <w:pPr>
        <w:ind w:left="1080" w:right="30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of Conduct: </w:t>
      </w:r>
      <w:r>
        <w:rPr>
          <w:rFonts w:ascii="Times New Roman" w:cs="Times New Roman" w:eastAsia="Times New Roman" w:hAnsi="Times New Roman"/>
          <w:sz w:val="18"/>
          <w:szCs w:val="18"/>
          <w:color w:val="auto"/>
        </w:rPr>
        <w:t>All of our directors, officers and employees are subject to the Code of Conduct, which is available on our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www.larimartx.com</w:t>
      </w:r>
      <w:r>
        <w:rPr>
          <w:rFonts w:ascii="Times New Roman" w:cs="Times New Roman" w:eastAsia="Times New Roman" w:hAnsi="Times New Roman"/>
          <w:sz w:val="18"/>
          <w:szCs w:val="18"/>
          <w:color w:val="auto"/>
        </w:rPr>
        <w:t xml:space="preserve"> under “Investors—Corporate Governance.”</w:t>
      </w:r>
    </w:p>
    <w:p>
      <w:pPr>
        <w:spacing w:after="0" w:line="60" w:lineRule="exact"/>
        <w:rPr>
          <w:rFonts w:ascii="Times New Roman" w:cs="Times New Roman" w:eastAsia="Times New Roman" w:hAnsi="Times New Roman"/>
          <w:sz w:val="18"/>
          <w:szCs w:val="18"/>
          <w:color w:val="auto"/>
        </w:rPr>
      </w:pPr>
    </w:p>
    <w:p>
      <w:pPr>
        <w:ind w:left="1080" w:right="2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Capital Management: </w:t>
      </w:r>
      <w:r>
        <w:rPr>
          <w:rFonts w:ascii="Times New Roman" w:cs="Times New Roman" w:eastAsia="Times New Roman" w:hAnsi="Times New Roman"/>
          <w:sz w:val="18"/>
          <w:szCs w:val="18"/>
          <w:color w:val="auto"/>
        </w:rPr>
        <w:t>We are committed to the health and welfare of our employees. We support the development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with a competitive compensation and benefits package, health and wellness programs, internal advancement, and individualized development opportunities.</w:t>
      </w:r>
    </w:p>
    <w:p>
      <w:pPr>
        <w:spacing w:after="0" w:line="76"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Diversity and Inclusion</w:t>
      </w:r>
      <w:r>
        <w:rPr>
          <w:rFonts w:ascii="Times New Roman" w:cs="Times New Roman" w:eastAsia="Times New Roman" w:hAnsi="Times New Roman"/>
          <w:sz w:val="18"/>
          <w:szCs w:val="18"/>
          <w:color w:val="auto"/>
        </w:rPr>
        <w:t>: We strive to create a workplace culture that supports a diverse, multi-cultural workforce, treats individuals fairly,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provides an inclusive environment where all employees are empowered to contribute and succeed. As of April 1, 2022, women comprise 59% of our employee workforce and 56% of our employee leaders at the level of director or above. We do not require our employees to self-identify as racial and ethnic minorities and therefore do not maintain metrics on this information.</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4DC1E4"/>
        </w:rPr>
        <w:t>In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NOMINEE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 PRESENT TERM EXPIRING AT THE ANNUAL MEETING AND PROPOSED TERM TO EXPIRE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99516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FFFFFF"/>
        </w:rPr>
        <w:t>T</w:t>
      </w:r>
      <w:r>
        <w:rPr>
          <w:rFonts w:ascii="Times New Roman" w:cs="Times New Roman" w:eastAsia="Times New Roman" w:hAnsi="Times New Roman"/>
          <w:sz w:val="11"/>
          <w:szCs w:val="11"/>
          <w:b w:val="1"/>
          <w:bCs w:val="1"/>
          <w:color w:val="FFFFFF"/>
        </w:rPr>
        <w:t>HOMAS</w:t>
      </w:r>
      <w:r>
        <w:rPr>
          <w:rFonts w:ascii="Times New Roman" w:cs="Times New Roman" w:eastAsia="Times New Roman" w:hAnsi="Times New Roman"/>
          <w:sz w:val="14"/>
          <w:szCs w:val="14"/>
          <w:b w:val="1"/>
          <w:bCs w:val="1"/>
          <w:color w:val="FFFFFF"/>
        </w:rPr>
        <w:t xml:space="preserve"> E. H</w:t>
      </w:r>
      <w:r>
        <w:rPr>
          <w:rFonts w:ascii="Times New Roman" w:cs="Times New Roman" w:eastAsia="Times New Roman" w:hAnsi="Times New Roman"/>
          <w:sz w:val="11"/>
          <w:szCs w:val="11"/>
          <w:b w:val="1"/>
          <w:bCs w:val="1"/>
          <w:color w:val="FFFFFF"/>
        </w:rPr>
        <w:t>AMILTON</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54</w:t>
            </w:r>
          </w:p>
        </w:tc>
        <w:tc>
          <w:tcPr>
            <w:tcW w:w="402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4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 Annaly Capital</w:t>
            </w:r>
          </w:p>
        </w:tc>
      </w:tr>
      <w:tr>
        <w:trPr>
          <w:trHeight w:val="252"/>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2020</w:t>
            </w:r>
          </w:p>
        </w:tc>
        <w:tc>
          <w:tcPr>
            <w:tcW w:w="4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Audit</w:t>
            </w:r>
          </w:p>
        </w:tc>
        <w:tc>
          <w:tcPr>
            <w:tcW w:w="4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Management Inc.</w:t>
            </w:r>
          </w:p>
        </w:tc>
      </w:tr>
    </w:tbl>
    <w:p>
      <w:pPr>
        <w:spacing w:after="0" w:line="194"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Thomas E. Hamilton </w:t>
      </w:r>
      <w:r>
        <w:rPr>
          <w:rFonts w:ascii="Times New Roman" w:cs="Times New Roman" w:eastAsia="Times New Roman" w:hAnsi="Times New Roman"/>
          <w:sz w:val="18"/>
          <w:szCs w:val="18"/>
          <w:color w:val="auto"/>
        </w:rPr>
        <w:t>has served as a member of the Board since May 2020. Mr. Hamilton served as the Chairman of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Chondrial (the “Chondrial Board”) from Chondrial’s founding in 2013 until May 2020. Since 2013, Mr. Hamilton has served as the managing member of Friedreich’s Ataxia Life Sciences, an early stage biotech investment company focused on bridging the gap to cure Friedreich’s ataxia.</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7</w:t>
      </w:r>
    </w:p>
    <w:p>
      <w:pPr>
        <w:sectPr>
          <w:pgSz w:w="11900" w:h="16838" w:orient="portrait"/>
          <w:cols w:equalWidth="0" w:num="1">
            <w:col w:w="11140"/>
          </w:cols>
          <w:pgMar w:left="32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BOARD OF DIRECTORS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From 2013 to 2019, Mr. Hamilton served as the president, chief executive officer and owner of Construction Forms, Inc. (“Construction Forms”), an industrial manufacturing company based in Port Washington, Wisconsin. Prior to founding Construction Forms, Mr. Hamilton spent 25 years in several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 CureFA Foundation. Since March 2019,</w:t>
      </w:r>
    </w:p>
    <w:p>
      <w:pPr>
        <w:spacing w:after="0" w:line="5" w:lineRule="exact"/>
        <w:rPr>
          <w:sz w:val="20"/>
          <w:szCs w:val="20"/>
          <w:color w:val="auto"/>
        </w:rPr>
      </w:pPr>
    </w:p>
    <w:p>
      <w:pPr>
        <w:jc w:val="both"/>
        <w:ind w:left="120" w:right="320"/>
        <w:spacing w:after="0" w:line="255" w:lineRule="auto"/>
        <w:rPr>
          <w:sz w:val="20"/>
          <w:szCs w:val="20"/>
          <w:color w:val="auto"/>
        </w:rPr>
      </w:pPr>
      <w:r>
        <w:rPr>
          <w:rFonts w:ascii="Times New Roman" w:cs="Times New Roman" w:eastAsia="Times New Roman" w:hAnsi="Times New Roman"/>
          <w:sz w:val="18"/>
          <w:szCs w:val="18"/>
          <w:color w:val="auto"/>
        </w:rPr>
        <w:t>Mr. Hamilton has served as a Director and as a member of the audit committee, risk committee and compensation committee of the board of Annaly Capital Management, Inc., a leading diversified capital manager that invests in and finances residential and commercial assets. Mr. Hamilton holds a B.S. in finance from the University of Dayton.</w:t>
      </w:r>
    </w:p>
    <w:p>
      <w:pPr>
        <w:spacing w:after="0" w:line="182" w:lineRule="exact"/>
        <w:rPr>
          <w:sz w:val="20"/>
          <w:szCs w:val="20"/>
          <w:color w:val="auto"/>
        </w:rPr>
      </w:pPr>
    </w:p>
    <w:p>
      <w:pPr>
        <w:ind w:left="120" w:right="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Skills &amp; Qualifications</w:t>
      </w:r>
      <w:r>
        <w:rPr>
          <w:rFonts w:ascii="Times New Roman" w:cs="Times New Roman" w:eastAsia="Times New Roman" w:hAnsi="Times New Roman"/>
          <w:sz w:val="17"/>
          <w:szCs w:val="17"/>
          <w:color w:val="auto"/>
        </w:rPr>
        <w:t>: Mr. Hamilton’s qualifications to sit on the Board include his extensive experience in the financial industry and leadership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developing a cure for Friedreich’s ataxia, including leadership roles in organizations focused on the development of a cure for Friedreich’s ataxia.</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 TERMS EXPIRING AT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99516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FFFFFF"/>
        </w:rPr>
        <w:t>F</w:t>
      </w:r>
      <w:r>
        <w:rPr>
          <w:rFonts w:ascii="Times New Roman" w:cs="Times New Roman" w:eastAsia="Times New Roman" w:hAnsi="Times New Roman"/>
          <w:sz w:val="11"/>
          <w:szCs w:val="11"/>
          <w:b w:val="1"/>
          <w:bCs w:val="1"/>
          <w:color w:val="FFFFFF"/>
        </w:rPr>
        <w:t>RANK</w:t>
      </w:r>
      <w:r>
        <w:rPr>
          <w:rFonts w:ascii="Times New Roman" w:cs="Times New Roman" w:eastAsia="Times New Roman" w:hAnsi="Times New Roman"/>
          <w:sz w:val="14"/>
          <w:szCs w:val="14"/>
          <w:b w:val="1"/>
          <w:bCs w:val="1"/>
          <w:color w:val="FFFFFF"/>
        </w:rPr>
        <w:t xml:space="preserve"> E. T</w:t>
      </w:r>
      <w:r>
        <w:rPr>
          <w:rFonts w:ascii="Times New Roman" w:cs="Times New Roman" w:eastAsia="Times New Roman" w:hAnsi="Times New Roman"/>
          <w:sz w:val="11"/>
          <w:szCs w:val="11"/>
          <w:b w:val="1"/>
          <w:bCs w:val="1"/>
          <w:color w:val="FFFFFF"/>
        </w:rPr>
        <w:t>HOMAS</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52</w:t>
            </w:r>
          </w:p>
        </w:tc>
        <w:tc>
          <w:tcPr>
            <w:tcW w:w="402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4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38"/>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2014</w:t>
            </w:r>
          </w:p>
        </w:tc>
        <w:tc>
          <w:tcPr>
            <w:tcW w:w="4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Audit (Chair)</w:t>
            </w:r>
          </w:p>
        </w:tc>
        <w:tc>
          <w:tcPr>
            <w:tcW w:w="4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Spero Therapeutics, Inc.</w:t>
            </w:r>
          </w:p>
        </w:tc>
      </w:tr>
    </w:tbl>
    <w:p>
      <w:pPr>
        <w:spacing w:after="0" w:line="20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Frank E. Thomas </w:t>
      </w:r>
      <w:r>
        <w:rPr>
          <w:rFonts w:ascii="Times New Roman" w:cs="Times New Roman" w:eastAsia="Times New Roman" w:hAnsi="Times New Roman"/>
          <w:sz w:val="18"/>
          <w:szCs w:val="18"/>
          <w:color w:val="auto"/>
        </w:rPr>
        <w:t>has served as a member of the Board since June 2014. Mr. Thomas has been the President and Chief Operating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Orchard Therapeutics plc (“Orchard”), a biotechnology company dedicated to using gene therapy to end the devastation caused by genetic and other severe diseases, since March 2020. Mr. Thomas served as Chief Operating Officer and Chief Financial Officer of Orchard from January 2020 to March 2020 and the Chief Financial Officer and Chief Business Officer of Orchard from January 2018 to December 2019. Prior to joining Orchard,</w:t>
      </w:r>
    </w:p>
    <w:p>
      <w:pPr>
        <w:spacing w:after="0" w:line="3" w:lineRule="exact"/>
        <w:rPr>
          <w:sz w:val="20"/>
          <w:szCs w:val="20"/>
          <w:color w:val="auto"/>
        </w:rPr>
      </w:pPr>
    </w:p>
    <w:p>
      <w:pPr>
        <w:ind w:left="120" w:right="200"/>
        <w:spacing w:after="0" w:line="265" w:lineRule="auto"/>
        <w:rPr>
          <w:sz w:val="20"/>
          <w:szCs w:val="20"/>
          <w:color w:val="auto"/>
        </w:rPr>
      </w:pPr>
      <w:r>
        <w:rPr>
          <w:rFonts w:ascii="Times New Roman" w:cs="Times New Roman" w:eastAsia="Times New Roman" w:hAnsi="Times New Roman"/>
          <w:sz w:val="17"/>
          <w:szCs w:val="17"/>
          <w:color w:val="auto"/>
        </w:rPr>
        <w:t>Mr. Thomas served as President and Chief Operating Officer of AMAG Pharmaceuticals, Inc. (“AMAG”), a publicly traded, specialty pharmaceutical company, from April 2015 to April 2017, and previously served as AMAG’s Executive Vice President and Chief Operating Officer from May 2012 through April 2015, and as Executive Vice President, Chief Financial Officer and Treasurer from August 2011 through May 2012. Prior to joining AMAG, he served in various executive roles at public and private biotechnology and medical diagnostics companies, including Molecular Biometrics, Inc., a commercial stage medical diagnostics company, Critical Therapeutics, Inc. (“Critical Therapeutics”), a public biopharmaceutical company, and Esperion Therapeutics, Inc., a publicly traded biopharmaceutical company. His roles at these companies ranged at various times from Chief Executive Officer, Chief Operating Officer and Chief Financial Officer. He also served on the board of directors of Critical Therapeutics. Since July 2017,</w:t>
      </w:r>
    </w:p>
    <w:p>
      <w:pPr>
        <w:spacing w:after="0" w:line="1" w:lineRule="exact"/>
        <w:rPr>
          <w:sz w:val="20"/>
          <w:szCs w:val="20"/>
          <w:color w:val="auto"/>
        </w:rPr>
      </w:pP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Mr. Thomas has served on the board of directors of Spero Therapeutics, Inc., a publicly traded biopharmaceutical company. Mr. Thomas was a member of the board of directors of the Massachusetts Biotechnology Council from 2007 to 2015. Mr. Thomas holds a B.B.A. from the University of Michigan, Ann Arbor.</w:t>
      </w:r>
    </w:p>
    <w:p>
      <w:pPr>
        <w:spacing w:after="0" w:line="182"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Skills &amp; Qualifications</w:t>
      </w:r>
      <w:r>
        <w:rPr>
          <w:rFonts w:ascii="Times New Roman" w:cs="Times New Roman" w:eastAsia="Times New Roman" w:hAnsi="Times New Roman"/>
          <w:sz w:val="18"/>
          <w:szCs w:val="18"/>
          <w:color w:val="auto"/>
        </w:rPr>
        <w:t>: Mr. Thomas’ qualifications to sit on the Board include his extensive management experience at biopharmaceutical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and with financial matters, including senior leadership roles at various biopharmaceutical companies.</w:t>
      </w:r>
    </w:p>
    <w:p>
      <w:pPr>
        <w:spacing w:after="0" w:line="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8</w:t>
      </w:r>
    </w:p>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BOARD OF DIRECTORS </w:t>
      </w:r>
      <w:r>
        <w:rPr>
          <w:rFonts w:ascii="Times New Roman" w:cs="Times New Roman" w:eastAsia="Times New Roman" w:hAnsi="Times New Roman"/>
          <w:sz w:val="18"/>
          <w:szCs w:val="18"/>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FFFFFF"/>
        </w:rPr>
        <w:t>C</w:t>
      </w:r>
      <w:r>
        <w:rPr>
          <w:rFonts w:ascii="Times New Roman" w:cs="Times New Roman" w:eastAsia="Times New Roman" w:hAnsi="Times New Roman"/>
          <w:sz w:val="11"/>
          <w:szCs w:val="11"/>
          <w:b w:val="1"/>
          <w:bCs w:val="1"/>
          <w:color w:val="FFFFFF"/>
        </w:rPr>
        <w:t>AROLE</w:t>
      </w:r>
      <w:r>
        <w:rPr>
          <w:rFonts w:ascii="Times New Roman" w:cs="Times New Roman" w:eastAsia="Times New Roman" w:hAnsi="Times New Roman"/>
          <w:sz w:val="14"/>
          <w:szCs w:val="14"/>
          <w:b w:val="1"/>
          <w:bCs w:val="1"/>
          <w:color w:val="FFFFFF"/>
        </w:rPr>
        <w:t xml:space="preserve"> S. B</w:t>
      </w:r>
      <w:r>
        <w:rPr>
          <w:rFonts w:ascii="Times New Roman" w:cs="Times New Roman" w:eastAsia="Times New Roman" w:hAnsi="Times New Roman"/>
          <w:sz w:val="11"/>
          <w:szCs w:val="11"/>
          <w:b w:val="1"/>
          <w:bCs w:val="1"/>
          <w:color w:val="FFFFFF"/>
        </w:rPr>
        <w:t>EN</w:t>
      </w:r>
      <w:r>
        <w:rPr>
          <w:rFonts w:ascii="Times New Roman" w:cs="Times New Roman" w:eastAsia="Times New Roman" w:hAnsi="Times New Roman"/>
          <w:sz w:val="14"/>
          <w:szCs w:val="14"/>
          <w:b w:val="1"/>
          <w:bCs w:val="1"/>
          <w:color w:val="FFFFFF"/>
        </w:rPr>
        <w:t>-M</w:t>
      </w:r>
      <w:r>
        <w:rPr>
          <w:rFonts w:ascii="Times New Roman" w:cs="Times New Roman" w:eastAsia="Times New Roman" w:hAnsi="Times New Roman"/>
          <w:sz w:val="11"/>
          <w:szCs w:val="11"/>
          <w:b w:val="1"/>
          <w:bCs w:val="1"/>
          <w:color w:val="FFFFFF"/>
        </w:rPr>
        <w:t>AIMON</w:t>
      </w:r>
      <w:r>
        <w:rPr>
          <w:rFonts w:ascii="Times New Roman" w:cs="Times New Roman" w:eastAsia="Times New Roman" w:hAnsi="Times New Roman"/>
          <w:sz w:val="14"/>
          <w:szCs w:val="14"/>
          <w:b w:val="1"/>
          <w:bCs w:val="1"/>
          <w:color w:val="FFFFFF"/>
        </w:rPr>
        <w:t>, M.D.</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63</w:t>
            </w:r>
          </w:p>
        </w:tc>
        <w:tc>
          <w:tcPr>
            <w:tcW w:w="402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4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38"/>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2020</w:t>
            </w:r>
          </w:p>
        </w:tc>
        <w:tc>
          <w:tcPr>
            <w:tcW w:w="4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None</w:t>
            </w:r>
          </w:p>
        </w:tc>
        <w:tc>
          <w:tcPr>
            <w:tcW w:w="4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Teligent, Inc.</w:t>
            </w:r>
          </w:p>
        </w:tc>
      </w:tr>
    </w:tbl>
    <w:p>
      <w:pPr>
        <w:spacing w:after="0" w:line="20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Carole S. Ben-Maimon, M.D. </w:t>
      </w:r>
      <w:r>
        <w:rPr>
          <w:rFonts w:ascii="Times New Roman" w:cs="Times New Roman" w:eastAsia="Times New Roman" w:hAnsi="Times New Roman"/>
          <w:sz w:val="17"/>
          <w:szCs w:val="17"/>
          <w:color w:val="auto"/>
        </w:rPr>
        <w:t>has served as a member of the Board since May 2020. Dr. Ben-Maimon has served as the President and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Officer of the Company since May 2020. Dr. Ben-Maimon served as Chondrial’s President, Chief Executive Officer and member of the Chondrial Board from December 2016 until May 2020. Prior thereto and from 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(“Impax”), which was responsible for Impax’s generic business. Prior to Global Pharmaceuticals, she served as Senior Vice President, Corporate Strategy at Qualitest Pharmaceuticals, Inc. (“Qualitest”) from July 2009 to July 2010. Prior to her role at 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(“Barr”) from 2001 to 2006, including as President and Chief Operating Officer of Duramed Research, Inc., a wholly-owned subsidiary of Barr, where she led Barr’s branded female healthcare business and also served as a member of its board of directors. Prior to that, from 1993 to 2001,</w:t>
      </w:r>
    </w:p>
    <w:p>
      <w:pPr>
        <w:spacing w:after="0" w:line="6"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Dr. Ben-Maimon was at Teva Pharmaceutical Industries in various roles, including being responsible for research and development and public policy in North America from 2000 to 2001. Since 2016, Dr. Ben-Maimon has also served as a member of the board of directors and the audit and nominating and corporate governance committees of the board of a publicly-traded pharmaceutical company, Teligent, Inc. Dr. Ben-Maimon also serves on the board of directors of a privately-held pharmaceutical company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w:t>
      </w:r>
    </w:p>
    <w:p>
      <w:pPr>
        <w:spacing w:after="0" w:line="186" w:lineRule="exact"/>
        <w:rPr>
          <w:sz w:val="20"/>
          <w:szCs w:val="20"/>
          <w:color w:val="auto"/>
        </w:rPr>
      </w:pPr>
    </w:p>
    <w:p>
      <w:pPr>
        <w:ind w:left="120" w:right="70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Skills &amp; Qualifications</w:t>
      </w:r>
      <w:r>
        <w:rPr>
          <w:rFonts w:ascii="Times New Roman" w:cs="Times New Roman" w:eastAsia="Times New Roman" w:hAnsi="Times New Roman"/>
          <w:sz w:val="17"/>
          <w:szCs w:val="17"/>
          <w:color w:val="auto"/>
        </w:rPr>
        <w:t>: Dr. Ben-Maimon’s qualifications to sit on the Board include her knowledge of Larimar’s business, as well as 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extensive leadership and biopharmaceutical industry experience, including senior leadership roles at publicly-traded life sciences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FFFFFF"/>
        </w:rPr>
        <w:t>J</w:t>
      </w:r>
      <w:r>
        <w:rPr>
          <w:rFonts w:ascii="Times New Roman" w:cs="Times New Roman" w:eastAsia="Times New Roman" w:hAnsi="Times New Roman"/>
          <w:sz w:val="11"/>
          <w:szCs w:val="11"/>
          <w:b w:val="1"/>
          <w:bCs w:val="1"/>
          <w:color w:val="FFFFFF"/>
        </w:rPr>
        <w:t>OSEPH</w:t>
      </w:r>
      <w:r>
        <w:rPr>
          <w:rFonts w:ascii="Times New Roman" w:cs="Times New Roman" w:eastAsia="Times New Roman" w:hAnsi="Times New Roman"/>
          <w:sz w:val="14"/>
          <w:szCs w:val="14"/>
          <w:b w:val="1"/>
          <w:bCs w:val="1"/>
          <w:color w:val="FFFFFF"/>
        </w:rPr>
        <w:t xml:space="preserve"> T</w:t>
      </w:r>
      <w:r>
        <w:rPr>
          <w:rFonts w:ascii="Times New Roman" w:cs="Times New Roman" w:eastAsia="Times New Roman" w:hAnsi="Times New Roman"/>
          <w:sz w:val="11"/>
          <w:szCs w:val="11"/>
          <w:b w:val="1"/>
          <w:bCs w:val="1"/>
          <w:color w:val="FFFFFF"/>
        </w:rPr>
        <w:t>RUITT</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57</w:t>
            </w:r>
          </w:p>
        </w:tc>
        <w:tc>
          <w:tcPr>
            <w:tcW w:w="406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41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38"/>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2020</w:t>
            </w:r>
          </w:p>
        </w:tc>
        <w:tc>
          <w:tcPr>
            <w:tcW w:w="4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Audit, Compensation (Chair)</w:t>
            </w:r>
          </w:p>
        </w:tc>
        <w:tc>
          <w:tcPr>
            <w:tcW w:w="4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Joseph Truitt </w:t>
      </w:r>
      <w:r>
        <w:rPr>
          <w:rFonts w:ascii="Times New Roman" w:cs="Times New Roman" w:eastAsia="Times New Roman" w:hAnsi="Times New Roman"/>
          <w:sz w:val="18"/>
          <w:szCs w:val="18"/>
          <w:color w:val="auto"/>
        </w:rPr>
        <w:t>has served as a member of the Board since May 2020. Mr. Truitt currently serves as the Chief Executive Officer of Iecure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 editing company, and is on the Board of CodeBio, a gene therapy development company. From May 2020 through December 2020, Mr. Truitt served as Chief Executive Officer of BioSpecifics Technologies Corp. (“BioSpecifics”), a biopharmaceutical company that develops collagenase-based therapies, which was acquired by Endo International plc in December 2020. From May 2018 until April 2020, Mr. Truitt served as President, Chief Executive Officer and member of the board of directors of Achillion Pharmaceuticals, Inc. (“Achillion”), a publicly-traded clinical-stage biopharmaceutical company developing small molecule drug therapies for immune system disorders, which was acquired by Alexion Pharmaceuticals, a global biopharmaceutical company, in January 2020. Prior to his appointment to the offices or President and Chief Executive Officer in 2018, Mr. Truitt served in a number of various positions at Achillion, including: Executive Vice President, Chief Operations Officer, from September 2017 until May 2018; Executive Vice President, Chief Commercial Officer, from March 2014 until September 2017; and Senior Vice President, Business Development and Chief Commercial Officer, from January 2009 until March 2014. Before joining Achillion, from July 2006 to December 2008, Mr. Truitt served as Vice President, Business Development and</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9</w:t>
      </w:r>
    </w:p>
    <w:p>
      <w:pPr>
        <w:sectPr>
          <w:pgSz w:w="11900" w:h="16838" w:orient="portrait"/>
          <w:cols w:equalWidth="0" w:num="1">
            <w:col w:w="11140"/>
          </w:cols>
          <w:pgMar w:left="32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BOARD OF DIRECTORS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8"/>
          <w:szCs w:val="18"/>
          <w:color w:val="auto"/>
        </w:rPr>
        <w:t>Product Strategy of Lev Pharmaceuticals, Inc. and, from 2000 to 2006, he served as Vice President, Sales and Operations of Johnson &amp; Johnson— OraPharma, Inc. Prior to this, be spent nine years at TAP Pharmaceuticals Inc. in a variety of sales and marketing roles before a two-year role as a consultant at IMS Health. Mr. Truitt received his B.S. in Marketing from LaSalle University and his M.B.A. from St. Joseph’s University in Pharmaceutical Marketing. Mr. Truitt previously was a Captain in the United States Marine Corps.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Skills &amp; Qualifications</w:t>
      </w:r>
      <w:r>
        <w:rPr>
          <w:rFonts w:ascii="Times New Roman" w:cs="Times New Roman" w:eastAsia="Times New Roman" w:hAnsi="Times New Roman"/>
          <w:sz w:val="18"/>
          <w:szCs w:val="18"/>
          <w:color w:val="auto"/>
        </w:rPr>
        <w:t>: Mr. Truitt’s qualifications to sit on the Board include extensive management experience, his prior experience as a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director and his deep knowledge of the biopharmaceutical business.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 TERMS EXPIRING AT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99516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FFFFFF"/>
        </w:rPr>
        <w:t>J</w:t>
      </w:r>
      <w:r>
        <w:rPr>
          <w:rFonts w:ascii="Times New Roman" w:cs="Times New Roman" w:eastAsia="Times New Roman" w:hAnsi="Times New Roman"/>
          <w:sz w:val="11"/>
          <w:szCs w:val="11"/>
          <w:b w:val="1"/>
          <w:bCs w:val="1"/>
          <w:color w:val="FFFFFF"/>
        </w:rPr>
        <w:t>ONATHAN</w:t>
      </w:r>
      <w:r>
        <w:rPr>
          <w:rFonts w:ascii="Times New Roman" w:cs="Times New Roman" w:eastAsia="Times New Roman" w:hAnsi="Times New Roman"/>
          <w:sz w:val="14"/>
          <w:szCs w:val="14"/>
          <w:b w:val="1"/>
          <w:bCs w:val="1"/>
          <w:color w:val="FFFFFF"/>
        </w:rPr>
        <w:t xml:space="preserve"> L</w:t>
      </w:r>
      <w:r>
        <w:rPr>
          <w:rFonts w:ascii="Times New Roman" w:cs="Times New Roman" w:eastAsia="Times New Roman" w:hAnsi="Times New Roman"/>
          <w:sz w:val="11"/>
          <w:szCs w:val="11"/>
          <w:b w:val="1"/>
          <w:bCs w:val="1"/>
          <w:color w:val="FFFFFF"/>
        </w:rPr>
        <w:t>EFF</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53</w:t>
            </w:r>
          </w:p>
        </w:tc>
        <w:tc>
          <w:tcPr>
            <w:tcW w:w="454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3700" w:type="dxa"/>
            <w:vAlign w:val="bottom"/>
            <w:tcBorders>
              <w:top w:val="single" w:sz="8" w:color="auto"/>
            </w:tcBorders>
          </w:tcPr>
          <w:p>
            <w:pPr>
              <w:spacing w:after="0"/>
              <w:rPr>
                <w:sz w:val="18"/>
                <w:szCs w:val="18"/>
                <w:color w:val="auto"/>
              </w:rPr>
            </w:pPr>
          </w:p>
        </w:tc>
      </w:tr>
      <w:tr>
        <w:trPr>
          <w:trHeight w:val="220"/>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2020</w:t>
            </w:r>
          </w:p>
        </w:tc>
        <w:tc>
          <w:tcPr>
            <w:tcW w:w="45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Compensation, Nominating and Corporate</w:t>
            </w: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34"/>
        </w:trPr>
        <w:tc>
          <w:tcPr>
            <w:tcW w:w="2780" w:type="dxa"/>
            <w:vAlign w:val="bottom"/>
          </w:tcPr>
          <w:p>
            <w:pPr>
              <w:spacing w:after="0"/>
              <w:rPr>
                <w:sz w:val="20"/>
                <w:szCs w:val="20"/>
                <w:color w:val="auto"/>
              </w:rPr>
            </w:pPr>
          </w:p>
        </w:tc>
        <w:tc>
          <w:tcPr>
            <w:tcW w:w="45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Governance (Chair)</w:t>
            </w: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Jonathan Leff </w:t>
      </w:r>
      <w:r>
        <w:rPr>
          <w:rFonts w:ascii="Times New Roman" w:cs="Times New Roman" w:eastAsia="Times New Roman" w:hAnsi="Times New Roman"/>
          <w:sz w:val="18"/>
          <w:szCs w:val="18"/>
          <w:color w:val="auto"/>
        </w:rPr>
        <w:t>has served as a member of the Board since May 2020. Mr. Leff served as a member of the Chondrial Board from December 2016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May 2020. Mr. Leff is a partner at Deerfield Management Company, L.P. and Chairman of the Deerfield Institute. He joined Deerfield in 2013 and focuses on venture capital and structured investments in biotechnology and pharmaceuticals. Prior thereto, Mr. Leff served as Managing Director at Warburg Pincus LLC from 2000 to 2012, where he led the firm’s investment efforts in biotechnology and pharmaceuticals. Mr. Leff also previously served as a member of the Executive Committee of the Board of the National Venture Capital Association (“NVCA”)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Reagan-Udall Foundation and the Columbia University Medical Center Board of Advisors. He also previously served on the boards of several other publicly-traded biotechnology and pharmaceutical companies, including Proteon Therapeutics, Inc. from 2017 to 2019, AveXis, Inc. from 2014 to 2017 and Nivalis Therapeutics, Inc. from 2014 to 2016. Mr. Leff currently also serves on the boards of several private biopharmaceutical companies and has previously served on the boards of other privately held biopharmaceutical companies. Mr. Leff received his A.B. from Harvard University, M.B.A. from the Stanford University Graduate School of Business and M.S. in Biotechnology from Johns Hopkins University.</w:t>
      </w:r>
    </w:p>
    <w:p>
      <w:pPr>
        <w:spacing w:after="0" w:line="190" w:lineRule="exact"/>
        <w:rPr>
          <w:sz w:val="20"/>
          <w:szCs w:val="20"/>
          <w:color w:val="auto"/>
        </w:rPr>
      </w:pPr>
    </w:p>
    <w:p>
      <w:pPr>
        <w:ind w:left="120" w:right="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Skills &amp; Qualifications</w:t>
      </w:r>
      <w:r>
        <w:rPr>
          <w:rFonts w:ascii="Times New Roman" w:cs="Times New Roman" w:eastAsia="Times New Roman" w:hAnsi="Times New Roman"/>
          <w:sz w:val="17"/>
          <w:szCs w:val="17"/>
          <w:color w:val="auto"/>
        </w:rPr>
        <w:t>: Mr. Leff’s qualifications to sit on the Board include his extensive leadership, executive, managerial and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with life sciences companies, including experience in the investment, development and sale of multiple companies in the life sciences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FFFFFF"/>
        </w:rPr>
        <w:t>P</w:t>
      </w:r>
      <w:r>
        <w:rPr>
          <w:rFonts w:ascii="Times New Roman" w:cs="Times New Roman" w:eastAsia="Times New Roman" w:hAnsi="Times New Roman"/>
          <w:sz w:val="11"/>
          <w:szCs w:val="11"/>
          <w:b w:val="1"/>
          <w:bCs w:val="1"/>
          <w:color w:val="FFFFFF"/>
        </w:rPr>
        <w:t>ETER</w:t>
      </w:r>
      <w:r>
        <w:rPr>
          <w:rFonts w:ascii="Times New Roman" w:cs="Times New Roman" w:eastAsia="Times New Roman" w:hAnsi="Times New Roman"/>
          <w:sz w:val="14"/>
          <w:szCs w:val="14"/>
          <w:b w:val="1"/>
          <w:bCs w:val="1"/>
          <w:color w:val="FFFFFF"/>
        </w:rPr>
        <w:t xml:space="preserve"> B</w:t>
      </w:r>
      <w:r>
        <w:rPr>
          <w:rFonts w:ascii="Times New Roman" w:cs="Times New Roman" w:eastAsia="Times New Roman" w:hAnsi="Times New Roman"/>
          <w:sz w:val="11"/>
          <w:szCs w:val="11"/>
          <w:b w:val="1"/>
          <w:bCs w:val="1"/>
          <w:color w:val="FFFFFF"/>
        </w:rPr>
        <w:t>ARRETT</w:t>
      </w:r>
      <w:r>
        <w:rPr>
          <w:rFonts w:ascii="Times New Roman" w:cs="Times New Roman" w:eastAsia="Times New Roman" w:hAnsi="Times New Roman"/>
          <w:sz w:val="14"/>
          <w:szCs w:val="14"/>
          <w:b w:val="1"/>
          <w:bCs w:val="1"/>
          <w:color w:val="FFFFFF"/>
        </w:rPr>
        <w:t>, P</w:t>
      </w:r>
      <w:r>
        <w:rPr>
          <w:rFonts w:ascii="Times New Roman" w:cs="Times New Roman" w:eastAsia="Times New Roman" w:hAnsi="Times New Roman"/>
          <w:sz w:val="11"/>
          <w:szCs w:val="11"/>
          <w:b w:val="1"/>
          <w:bCs w:val="1"/>
          <w:color w:val="FFFFFF"/>
        </w:rPr>
        <w:t>H</w:t>
      </w:r>
      <w:r>
        <w:rPr>
          <w:rFonts w:ascii="Times New Roman" w:cs="Times New Roman" w:eastAsia="Times New Roman" w:hAnsi="Times New Roman"/>
          <w:sz w:val="14"/>
          <w:szCs w:val="14"/>
          <w:b w:val="1"/>
          <w:bCs w:val="1"/>
          <w:color w:val="FFFFFF"/>
        </w:rPr>
        <w:t>.D.</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69</w:t>
            </w:r>
          </w:p>
        </w:tc>
        <w:tc>
          <w:tcPr>
            <w:tcW w:w="454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37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20"/>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2006</w:t>
            </w:r>
          </w:p>
        </w:tc>
        <w:tc>
          <w:tcPr>
            <w:tcW w:w="45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Compensation, Nominating and Corporate</w:t>
            </w: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PerkinElmer, Inc., Synlogic, Inc.</w:t>
            </w:r>
          </w:p>
        </w:tc>
      </w:tr>
      <w:tr>
        <w:trPr>
          <w:trHeight w:val="234"/>
        </w:trPr>
        <w:tc>
          <w:tcPr>
            <w:tcW w:w="2780" w:type="dxa"/>
            <w:vAlign w:val="bottom"/>
          </w:tcPr>
          <w:p>
            <w:pPr>
              <w:spacing w:after="0"/>
              <w:rPr>
                <w:sz w:val="20"/>
                <w:szCs w:val="20"/>
                <w:color w:val="auto"/>
              </w:rPr>
            </w:pPr>
          </w:p>
        </w:tc>
        <w:tc>
          <w:tcPr>
            <w:tcW w:w="45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Governance</w:t>
            </w:r>
          </w:p>
        </w:tc>
        <w:tc>
          <w:tcPr>
            <w:tcW w:w="3700" w:type="dxa"/>
            <w:vAlign w:val="bottom"/>
          </w:tcPr>
          <w:p>
            <w:pPr>
              <w:spacing w:after="0"/>
              <w:rPr>
                <w:sz w:val="20"/>
                <w:szCs w:val="20"/>
                <w:color w:val="auto"/>
              </w:rPr>
            </w:pPr>
          </w:p>
        </w:tc>
      </w:tr>
    </w:tbl>
    <w:p>
      <w:pPr>
        <w:spacing w:after="0" w:line="207"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Peter Barrett, Ph.D. </w:t>
      </w:r>
      <w:r>
        <w:rPr>
          <w:rFonts w:ascii="Times New Roman" w:cs="Times New Roman" w:eastAsia="Times New Roman" w:hAnsi="Times New Roman"/>
          <w:sz w:val="18"/>
          <w:szCs w:val="18"/>
          <w:color w:val="auto"/>
        </w:rPr>
        <w:t>has served as a member of the Board since August 2006 and served as the Chairman of the Board from August 2006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2018. Dr. Barrett joined Atlas Venture, an early-stage venture capital fund, in 2002, and currently serves as a Partner in the Life Sciences Group. Previously, from 1998 to 2002, he was a Co-Founder, Executive Vice President and Chief Business Officer of Celera Genomics (“Celera”). Prior to Celera, from 1979 to 1998, Dr. Barrett held senior management positions at PerkinElmer, Inc., most recently</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10</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BOARD OF DIRECTORS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serving as Vice President, Corporate Planning and Business Development. Dr. Barrett currently serves on the board of directors of PerkinElmer, Inc.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w:t>
      </w:r>
    </w:p>
    <w:p>
      <w:pPr>
        <w:spacing w:after="0" w:line="179"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Skills &amp; Qualifications</w:t>
      </w:r>
      <w:r>
        <w:rPr>
          <w:rFonts w:ascii="Times New Roman" w:cs="Times New Roman" w:eastAsia="Times New Roman" w:hAnsi="Times New Roman"/>
          <w:sz w:val="18"/>
          <w:szCs w:val="18"/>
          <w:color w:val="auto"/>
        </w:rPr>
        <w:t>: Dr. Barrett’s qualifications to sit on the Board include his extensive leadership, executive, managerial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with life sciences companies, including experience in the formation, development and business strategy of multiple start-up companies in the life sciences sector.</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11</w:t>
      </w:r>
    </w:p>
    <w:p>
      <w:pPr>
        <w:sectPr>
          <w:pgSz w:w="11900" w:h="16838" w:orient="portrait"/>
          <w:cols w:equalWidth="0" w:num="1">
            <w:col w:w="11140"/>
          </w:cols>
          <w:pgMar w:left="32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GOVERNANCE AND RISK MANAGEMENT</w:t>
      </w:r>
    </w:p>
    <w:p>
      <w:pPr>
        <w:spacing w:after="0" w:line="21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4DC1E4"/>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4DC1E4"/>
        </w:rPr>
        <w:t xml:space="preserve">Our governance practices are documented in our Ninth Amended and Restated Certificate of Incorporation, as amended (the “Certificate”), our Bylaws, our Code of Conduct, our Corporate Governance Guidelines and the charters of the committees of the Board (the “Committees”). Aspects of our governance documents are summarized below. You can find our charters for each Committee and our Code of Conduct on our website at </w:t>
      </w:r>
      <w:r>
        <w:rPr>
          <w:rFonts w:ascii="Times New Roman" w:cs="Times New Roman" w:eastAsia="Times New Roman" w:hAnsi="Times New Roman"/>
          <w:sz w:val="18"/>
          <w:szCs w:val="18"/>
          <w:u w:val="single" w:color="auto"/>
          <w:color w:val="4DC1E4"/>
        </w:rPr>
        <w:t>www.larimartx.com</w:t>
      </w:r>
      <w:r>
        <w:rPr>
          <w:rFonts w:ascii="Times New Roman" w:cs="Times New Roman" w:eastAsia="Times New Roman" w:hAnsi="Times New Roman"/>
          <w:sz w:val="18"/>
          <w:szCs w:val="18"/>
          <w:color w:val="4DC1E4"/>
        </w:rPr>
        <w:t xml:space="preserve"> under “Investors—Corporate Governance.”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Board has determined that each of our directors, with the exception of Dr. Ben-Maimon, are “independent” directors,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In considering the independence of the directors listed above, the Board also considered the association of each non-employee director with the holders of more than 5% of our common stock. Our independent directors generally meet in executive session at each regularly scheduled Board meeting.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Currently, our leadership structure separates the offices of CEO and Chairperson of the Board with Dr. Ben-Maimon serving as our CEO and Mr. Truitt serving as Chairperson of the Board. Separating these positions allows the CEO to focus on day-to-day business, while allowing the Chairperson of the Board to lead the Board in its fundamental role of providing advice to, and independent oversight of, management. The Board recognizes the time, effort and energy that the CEO must devote to her position in the current business environment, as well as the commitment required to serve as Chairperson of the Board, particularly as the Board’s oversight responsibilities continue to grow. The Board believes it is important to retain its flexibility to allocate the responsibilities of the officers of Chairperson of the Board and CEO in any way that is in the best interest of the Company at a given point in time. Our Board believes that the separation of the positions of CEO and Chairperson of the Board reinforces the independence of the Board from management, creates an environment that encourages objective oversight of management’s performance and enhances the effectiveness of our Board as a whole. Although our Bylaws do not require the Chairperson of the Board and CEO positions to be separate, the Board believes that having separate positions is the appropriate leadership structure for the Company currently. The Nominating and Corporate Governance Committee periodically evaluates our Board leadership structure and whether its leadership structure is appropriate to effectively address the specific needs of our business and the long-term interests of our stockholders.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12</w:t>
      </w:r>
    </w:p>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CORPORATE GOVERNANCE AND RISK MANAGEMENT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Each of the Committees has the authority, as its members deem appropriate, to engage legal counsel or other experts or consultants in order to assist the Committee in carrying out its responsibilities.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While the Board has the ultimate oversight responsibility for the risk management process, including monitoring and assessing strategic risk exposure, its Committees oversee risk in certain specified areas. Pursuant to its charter, the Audit Committee oversees management of financial reporting, compliance and litigation risks, including risks related to our insurance, information technology, cybersecurity, human resources and regulatory matters, as well as the steps management has taken to monitor and control such exposures. The Compensation Committee is responsible for overseeing the management of risks relating to our executive compensation policies, plans and arrangements and the extent to which those policies or practices increase or decrease risk for the Company, while the Nominating and Corporate Governance Committee manages risks associated with the independence of the Board, potential conflicts of interest and the effectiveness of the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EVALUATING BOARD EFFECTIVENESS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Board, led by the Nominating and Corporate Governance Committee, is committed to continuous improvement and believes annual self-evaluations are an important tool for evaluating effectiveness. It conducts an annual self-evaluation of the Board, which is presented to the Board for discussion. In addition, each committee conducts an annual self-assessment in a review process similar to that used by the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have a written Code of Conduct that applies to our directors, officers and employees, including our principal executive officer, principal financial officer, principal accounting officer or controller, or persons performing similar functions. The Code of Conduct covers fundamental ethical and compliance-related principles and practices such as accurate accounting records and financial reporting, avoiding conflicts of interest, the protection and use of our property and information and compliance with legal and regulatory requirements. The Code of Conduct and any amendments thereto, or any waivers of its requirements, is disclosed on our website at </w:t>
      </w:r>
      <w:r>
        <w:rPr>
          <w:rFonts w:ascii="Times New Roman" w:cs="Times New Roman" w:eastAsia="Times New Roman" w:hAnsi="Times New Roman"/>
          <w:sz w:val="18"/>
          <w:szCs w:val="18"/>
          <w:u w:val="single" w:color="auto"/>
          <w:color w:val="auto"/>
        </w:rPr>
        <w:t>www.larimartx.com</w:t>
      </w:r>
      <w:r>
        <w:rPr>
          <w:rFonts w:ascii="Times New Roman" w:cs="Times New Roman" w:eastAsia="Times New Roman" w:hAnsi="Times New Roman"/>
          <w:sz w:val="18"/>
          <w:szCs w:val="18"/>
          <w:color w:val="auto"/>
        </w:rPr>
        <w:t xml:space="preserve"> under “Investors – Corporate Governance.”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ORIENTATION AND CONTINUING EDUCATION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director orientation and continuing education programs familiarize new directors with the Company’s businesses, strategies, and policies, and assists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accredited director education programs at the Company’s expense.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13</w:t>
      </w:r>
    </w:p>
    <w:p>
      <w:pPr>
        <w:sectPr>
          <w:pgSz w:w="11900" w:h="16838" w:orient="portrait"/>
          <w:cols w:equalWidth="0" w:num="1">
            <w:col w:w="11140"/>
          </w:cols>
          <w:pgMar w:left="32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CORPORATE GOVERNANCE AND RISK MANAGEMENT </w:t>
      </w:r>
      <w:r>
        <w:rPr>
          <w:rFonts w:ascii="Times New Roman" w:cs="Times New Roman" w:eastAsia="Times New Roman" w:hAnsi="Times New Roman"/>
          <w:sz w:val="18"/>
          <w:szCs w:val="18"/>
          <w:b w:val="1"/>
          <w:bCs w:val="1"/>
          <w:i w:val="1"/>
          <w:iCs w:val="1"/>
          <w:color w:val="auto"/>
        </w:rPr>
        <w:t>(continued)</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ATTENDANCE, COMMITTEE MEETINGS AND COMMITTEE MEMBERSHIP</w:t>
      </w: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40" w:type="dxa"/>
            <w:vAlign w:val="bottom"/>
            <w:shd w:val="clear" w:color="auto" w:fill="4DC1E4"/>
          </w:tcPr>
          <w:p>
            <w:pPr>
              <w:ind w:left="60"/>
              <w:spacing w:after="0"/>
              <w:rPr>
                <w:sz w:val="20"/>
                <w:szCs w:val="20"/>
                <w:color w:val="auto"/>
              </w:rPr>
            </w:pPr>
            <w:r>
              <w:rPr>
                <w:rFonts w:ascii="Times New Roman" w:cs="Times New Roman" w:eastAsia="Times New Roman" w:hAnsi="Times New Roman"/>
                <w:sz w:val="14"/>
                <w:szCs w:val="14"/>
                <w:b w:val="1"/>
                <w:bCs w:val="1"/>
                <w:color w:val="FFFFFF"/>
              </w:rPr>
              <w:t>D</w:t>
            </w:r>
            <w:r>
              <w:rPr>
                <w:rFonts w:ascii="Times New Roman" w:cs="Times New Roman" w:eastAsia="Times New Roman" w:hAnsi="Times New Roman"/>
                <w:sz w:val="11"/>
                <w:szCs w:val="11"/>
                <w:b w:val="1"/>
                <w:bCs w:val="1"/>
                <w:color w:val="FFFFFF"/>
              </w:rPr>
              <w:t>IRECTOR</w:t>
            </w:r>
          </w:p>
        </w:tc>
        <w:tc>
          <w:tcPr>
            <w:tcW w:w="7080" w:type="dxa"/>
            <w:vAlign w:val="bottom"/>
            <w:shd w:val="clear" w:color="auto" w:fill="4DC1E4"/>
          </w:tcPr>
          <w:p>
            <w:pPr>
              <w:spacing w:after="0"/>
              <w:rPr>
                <w:sz w:val="16"/>
                <w:szCs w:val="16"/>
                <w:color w:val="auto"/>
              </w:rPr>
            </w:pPr>
          </w:p>
        </w:tc>
        <w:tc>
          <w:tcPr>
            <w:tcW w:w="1180" w:type="dxa"/>
            <w:vAlign w:val="bottom"/>
            <w:gridSpan w:val="2"/>
            <w:shd w:val="clear" w:color="auto" w:fill="4DC1E4"/>
          </w:tcPr>
          <w:p>
            <w:pPr>
              <w:jc w:val="center"/>
              <w:ind w:right="220"/>
              <w:spacing w:after="0"/>
              <w:rPr>
                <w:sz w:val="20"/>
                <w:szCs w:val="20"/>
                <w:color w:val="auto"/>
              </w:rPr>
            </w:pPr>
            <w:r>
              <w:rPr>
                <w:rFonts w:ascii="Times New Roman" w:cs="Times New Roman" w:eastAsia="Times New Roman" w:hAnsi="Times New Roman"/>
                <w:sz w:val="14"/>
                <w:szCs w:val="14"/>
                <w:b w:val="1"/>
                <w:bCs w:val="1"/>
                <w:color w:val="FFFFFF"/>
              </w:rPr>
              <w:t>I</w:t>
            </w:r>
            <w:r>
              <w:rPr>
                <w:rFonts w:ascii="Times New Roman" w:cs="Times New Roman" w:eastAsia="Times New Roman" w:hAnsi="Times New Roman"/>
                <w:sz w:val="11"/>
                <w:szCs w:val="11"/>
                <w:b w:val="1"/>
                <w:bCs w:val="1"/>
                <w:color w:val="FFFFFF"/>
              </w:rPr>
              <w:t>NDEPENDENCE</w:t>
            </w:r>
          </w:p>
        </w:tc>
        <w:tc>
          <w:tcPr>
            <w:tcW w:w="46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4"/>
                <w:szCs w:val="14"/>
                <w:b w:val="1"/>
                <w:bCs w:val="1"/>
                <w:color w:val="FFFFFF"/>
              </w:rPr>
              <w:t>B</w:t>
            </w:r>
            <w:r>
              <w:rPr>
                <w:rFonts w:ascii="Times New Roman" w:cs="Times New Roman" w:eastAsia="Times New Roman" w:hAnsi="Times New Roman"/>
                <w:sz w:val="11"/>
                <w:szCs w:val="11"/>
                <w:b w:val="1"/>
                <w:bCs w:val="1"/>
                <w:color w:val="FFFFFF"/>
              </w:rPr>
              <w:t>OARD</w:t>
            </w:r>
          </w:p>
        </w:tc>
        <w:tc>
          <w:tcPr>
            <w:tcW w:w="220" w:type="dxa"/>
            <w:vAlign w:val="bottom"/>
            <w:shd w:val="clear" w:color="auto" w:fill="4DC1E4"/>
          </w:tcPr>
          <w:p>
            <w:pPr>
              <w:spacing w:after="0"/>
              <w:rPr>
                <w:sz w:val="16"/>
                <w:szCs w:val="16"/>
                <w:color w:val="auto"/>
              </w:rPr>
            </w:pPr>
          </w:p>
        </w:tc>
        <w:tc>
          <w:tcPr>
            <w:tcW w:w="2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AC</w:t>
            </w:r>
          </w:p>
        </w:tc>
        <w:tc>
          <w:tcPr>
            <w:tcW w:w="200" w:type="dxa"/>
            <w:vAlign w:val="bottom"/>
            <w:shd w:val="clear" w:color="auto" w:fill="4DC1E4"/>
          </w:tcPr>
          <w:p>
            <w:pPr>
              <w:spacing w:after="0"/>
              <w:rPr>
                <w:sz w:val="16"/>
                <w:szCs w:val="16"/>
                <w:color w:val="auto"/>
              </w:rPr>
            </w:pPr>
          </w:p>
        </w:tc>
        <w:tc>
          <w:tcPr>
            <w:tcW w:w="2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CC</w:t>
            </w:r>
          </w:p>
        </w:tc>
        <w:tc>
          <w:tcPr>
            <w:tcW w:w="220" w:type="dxa"/>
            <w:vAlign w:val="bottom"/>
            <w:shd w:val="clear" w:color="auto" w:fill="4DC1E4"/>
          </w:tcPr>
          <w:p>
            <w:pPr>
              <w:spacing w:after="0"/>
              <w:rPr>
                <w:sz w:val="16"/>
                <w:szCs w:val="16"/>
                <w:color w:val="auto"/>
              </w:rPr>
            </w:pPr>
          </w:p>
        </w:tc>
        <w:tc>
          <w:tcPr>
            <w:tcW w:w="4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4"/>
                <w:szCs w:val="14"/>
                <w:b w:val="1"/>
                <w:bCs w:val="1"/>
                <w:color w:val="FFFFFF"/>
              </w:rPr>
              <w:t>NCGC</w:t>
            </w:r>
          </w:p>
        </w:tc>
      </w:tr>
      <w:tr>
        <w:trPr>
          <w:trHeight w:val="27"/>
        </w:trPr>
        <w:tc>
          <w:tcPr>
            <w:tcW w:w="740" w:type="dxa"/>
            <w:vAlign w:val="bottom"/>
            <w:shd w:val="clear" w:color="auto" w:fill="000000"/>
          </w:tcPr>
          <w:p>
            <w:pPr>
              <w:spacing w:after="0"/>
              <w:rPr>
                <w:sz w:val="2"/>
                <w:szCs w:val="2"/>
                <w:color w:val="auto"/>
              </w:rPr>
            </w:pPr>
          </w:p>
        </w:tc>
        <w:tc>
          <w:tcPr>
            <w:tcW w:w="7080" w:type="dxa"/>
            <w:vAlign w:val="bottom"/>
            <w:shd w:val="clear" w:color="auto" w:fill="4DC1E4"/>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4DC1E4"/>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4DC1E4"/>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4DC1E4"/>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4DC1E4"/>
          </w:tcPr>
          <w:p>
            <w:pPr>
              <w:spacing w:after="0"/>
              <w:rPr>
                <w:sz w:val="2"/>
                <w:szCs w:val="2"/>
                <w:color w:val="auto"/>
              </w:rPr>
            </w:pPr>
          </w:p>
        </w:tc>
        <w:tc>
          <w:tcPr>
            <w:tcW w:w="480" w:type="dxa"/>
            <w:vAlign w:val="bottom"/>
            <w:shd w:val="clear" w:color="auto" w:fill="000000"/>
          </w:tcPr>
          <w:p>
            <w:pPr>
              <w:spacing w:after="0"/>
              <w:rPr>
                <w:sz w:val="2"/>
                <w:szCs w:val="2"/>
                <w:color w:val="auto"/>
              </w:rPr>
            </w:pPr>
          </w:p>
        </w:tc>
      </w:tr>
      <w:tr>
        <w:trPr>
          <w:trHeight w:val="198"/>
        </w:trPr>
        <w:tc>
          <w:tcPr>
            <w:tcW w:w="7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Peter Barrett, Ph.D.</w:t>
            </w:r>
          </w:p>
        </w:tc>
        <w:tc>
          <w:tcPr>
            <w:tcW w:w="11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w:t>
            </w:r>
          </w:p>
        </w:tc>
        <w:tc>
          <w:tcPr>
            <w:tcW w:w="220" w:type="dxa"/>
            <w:vAlign w:val="bottom"/>
          </w:tcPr>
          <w:p>
            <w:pPr>
              <w:spacing w:after="0"/>
              <w:rPr>
                <w:sz w:val="17"/>
                <w:szCs w:val="17"/>
                <w:color w:val="auto"/>
              </w:rPr>
            </w:pPr>
          </w:p>
        </w:tc>
        <w:tc>
          <w:tcPr>
            <w:tcW w:w="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w:t>
            </w:r>
          </w:p>
        </w:tc>
      </w:tr>
      <w:tr>
        <w:trPr>
          <w:trHeight w:val="216"/>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Carole S. Ben-Maimon, M.D.</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Thomas O. Daniel, M.D.</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r>
        <w:trPr>
          <w:trHeight w:val="216"/>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Thomas E. Hamilton</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2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Jonathan Leff</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6"/>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Frank E. Thomas</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2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Joseph Truitt</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2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20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70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Total Meetings in 2021</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88"/>
              </w:rPr>
              <w:t>4</w:t>
            </w:r>
          </w:p>
        </w:tc>
        <w:tc>
          <w:tcPr>
            <w:tcW w:w="4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3</w:t>
            </w:r>
          </w:p>
        </w:tc>
        <w:tc>
          <w:tcPr>
            <w:tcW w:w="7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2</w:t>
            </w:r>
          </w:p>
        </w:tc>
      </w:tr>
      <w:tr>
        <w:trPr>
          <w:trHeight w:val="319"/>
        </w:trPr>
        <w:tc>
          <w:tcPr>
            <w:tcW w:w="740" w:type="dxa"/>
            <w:vAlign w:val="bottom"/>
          </w:tcPr>
          <w:p>
            <w:pPr>
              <w:spacing w:after="0"/>
              <w:rPr>
                <w:sz w:val="24"/>
                <w:szCs w:val="24"/>
                <w:color w:val="auto"/>
              </w:rPr>
            </w:pPr>
          </w:p>
        </w:tc>
        <w:tc>
          <w:tcPr>
            <w:tcW w:w="7080" w:type="dxa"/>
            <w:vAlign w:val="bottom"/>
          </w:tcPr>
          <w:p>
            <w:pPr>
              <w:jc w:val="center"/>
              <w:ind w:right="2850"/>
              <w:spacing w:after="0"/>
              <w:rPr>
                <w:sz w:val="20"/>
                <w:szCs w:val="20"/>
                <w:color w:val="auto"/>
              </w:rPr>
            </w:pPr>
            <w:r>
              <w:rPr>
                <w:rFonts w:ascii="Times New Roman" w:cs="Times New Roman" w:eastAsia="Times New Roman" w:hAnsi="Times New Roman"/>
                <w:sz w:val="18"/>
                <w:szCs w:val="18"/>
                <w:color w:val="auto"/>
              </w:rPr>
              <w:t>AC = Audit Committee</w:t>
            </w:r>
          </w:p>
        </w:tc>
        <w:tc>
          <w:tcPr>
            <w:tcW w:w="11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M = Member</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7080" w:type="dxa"/>
            <w:vAlign w:val="bottom"/>
          </w:tcPr>
          <w:p>
            <w:pPr>
              <w:jc w:val="center"/>
              <w:ind w:right="2850"/>
              <w:spacing w:after="0"/>
              <w:rPr>
                <w:sz w:val="20"/>
                <w:szCs w:val="20"/>
                <w:color w:val="auto"/>
              </w:rPr>
            </w:pPr>
            <w:r>
              <w:rPr>
                <w:rFonts w:ascii="Times New Roman" w:cs="Times New Roman" w:eastAsia="Times New Roman" w:hAnsi="Times New Roman"/>
                <w:sz w:val="18"/>
                <w:szCs w:val="18"/>
                <w:color w:val="auto"/>
                <w:w w:val="99"/>
              </w:rPr>
              <w:t>CC = Compensation Committee</w:t>
            </w:r>
          </w:p>
        </w:tc>
        <w:tc>
          <w:tcPr>
            <w:tcW w:w="11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C = Chair</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7820" w:type="dxa"/>
            <w:vAlign w:val="bottom"/>
            <w:gridSpan w:val="2"/>
          </w:tcPr>
          <w:p>
            <w:pPr>
              <w:jc w:val="center"/>
              <w:ind w:right="2110"/>
              <w:spacing w:after="0"/>
              <w:rPr>
                <w:sz w:val="20"/>
                <w:szCs w:val="20"/>
                <w:color w:val="auto"/>
              </w:rPr>
            </w:pPr>
            <w:r>
              <w:rPr>
                <w:rFonts w:ascii="Times New Roman" w:cs="Times New Roman" w:eastAsia="Times New Roman" w:hAnsi="Times New Roman"/>
                <w:sz w:val="18"/>
                <w:szCs w:val="18"/>
                <w:color w:val="auto"/>
                <w:w w:val="99"/>
              </w:rPr>
              <w:t>NCGC = Nominating and Corporate Governance Committee</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19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2021, our Board held nine meetings, our Audit Committee held four meetings, our Compensation Committee held three meetings and our Nominating and Corporate Governance Committee held two meetings. Each director attended at least 75% of the meetings of the Board and meetings of each Committee on which he or she served during 2021.</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Directors are encouraged, but not required, to attend our annual stockholder meetings. All of the directors attended the 2021 Annual Meeting of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assists the Board by providing oversight of our financial management, independent auditor, and financial reporting procedures, as well as such other matters as directed by the Board or the Audit Committee Charter.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Among other things, the Audit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firm to serve as the independent registered accounting firm to audit our consolidated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that firm, our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anonymously submit concerns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 and internal audit function;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the code of business and conduct and ethics for financial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related party transactions or those that require disclosure;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non-audit services to be performed by the independent registered public accounting firm.</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14</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CORPORATE GOVERNANCE AND RISK MANAGEMENT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Mr. Thomas (chair), Mr. Hamilton and Mr. Truitt. All members of our Audit Committee are deemed “independent” and financially literate under the applicable rules and regulations of the SEC and Nasdaq. Our Board has determined that each of Messrs. Thomas and Truitt qualify as an “audit committee financial expert” within the meaning of SEC regulations. This designation does not impose any duties, obligations or liabilities that are greater than are generally imposed on members of our Audit Committee and our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qualified individuals for membership on the Board, recommends to the Board the director nominees to fill vacancies on the Board and to stand for election at the next annual meeting of stockholders, develops and recommends to the Board a set of corporate governance guidelines for the Board and provides oversight of the corporate governance affairs of the Board, as well as such other matters as directed by the Board or the Nominating and Corporate Governance Charter. Among other things, our Nominating and Corporate Governance Committee’s responsibilities include:</w:t>
      </w:r>
    </w:p>
    <w:p>
      <w:pPr>
        <w:spacing w:after="0" w:line="8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candidates for membership on our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our corporate governance guidelines and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waivers of the code of conduct for directors and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on corporate governance matters.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individuals that the Nominating and Corporate Governance Committee believes are qualified to become Board members, as described above in the sections entitled “Board Structure and Composition” and “Criteria for Board Membership.”</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Mr. Leff (chair), Dr. Barrett and Dr. Daniel. Dr. Daniel’s service as a member of our Board and Nominating and Corporate Governance Committee will end effective as of the date of the Annual Meeting. The Board has determined that all Nominating and Corporate Governance Committee members are independent under the listing standards of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performance and development of our management in achieving corporate goals and objectives and assures that our executive officers (including our CEO) are compensated effectively in a manner consistent with our strategy, competitive practices and stockholder interests, as well as such other matters as directed by the Board or the Compensation Committee Charter. Among other things, the Compensation Committee’s responsibilities include:</w:t>
      </w:r>
    </w:p>
    <w:p>
      <w:pPr>
        <w:spacing w:after="0" w:line="85"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compensation of our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incentive compensation and equity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15</w:t>
      </w:r>
    </w:p>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CORPORATE GOVERNANCE AND RISK MANAGEMENT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limitations, our Compensation Committee has delegated authority to our CEO to grant options or other stock awards to our non-executive officers. Our Compensation Committee also has the authority to form and delegate authority to one or more subcommittees as it deems appropriate from time to time under the circumstances. The Compensation Committee annually reviews the performance of each of the executive officers, including the CEO. It then determines and approves the compensation of each executive officer, other than the CEO, and determines and makes recommendations regarding the CEO’s compensation level to the Board for approval.</w:t>
      </w:r>
    </w:p>
    <w:p>
      <w:pPr>
        <w:spacing w:after="0" w:line="18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Radford (an operating unit of Aon plc and a widely recognized leader in gathering and analyzing industry compensation trends) serves as our independent compensation consultant for executive compensation.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program design and our award values in relation to performance. In addition, Aon, an affiliate of Radford, serves as our insurance broker for all of our commercial lines of insurance.</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Mr. Truitt (Chair), Dr. Barrett and Mr. Leff. The Board has determined that all Compensation Committee members are independent under the listing standards of Nasdaq, and that they are “non-employee directors” for purposes of Rule 16b-3 under the Securities Exchange Act of 1934 (the “Exchange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2021 and as of the date of this Proxy Statement, none of the members of the Compensation Committee was or is one of our officers or employees, and none of our executive officers has served or serves on the compensation committee or board of any company that employed or employs any member of our Compensation Committee or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Collaborate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16</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CORPORATE GOVERNANCE AND RISK MANAGEMENT </w:t>
      </w:r>
      <w:r>
        <w:rPr>
          <w:rFonts w:ascii="Times New Roman" w:cs="Times New Roman" w:eastAsia="Times New Roman" w:hAnsi="Times New Roman"/>
          <w:sz w:val="18"/>
          <w:szCs w:val="18"/>
          <w:b w:val="1"/>
          <w:bCs w:val="1"/>
          <w:i w:val="1"/>
          <w:iCs w:val="1"/>
          <w:color w:val="auto"/>
        </w:rPr>
        <w:t>(continued)</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Our goal is to communicate with our stockholders through various platforms, including via our website at </w:t>
      </w:r>
      <w:r>
        <w:rPr>
          <w:rFonts w:ascii="Times New Roman" w:cs="Times New Roman" w:eastAsia="Times New Roman" w:hAnsi="Times New Roman"/>
          <w:sz w:val="18"/>
          <w:szCs w:val="18"/>
          <w:u w:val="single" w:color="auto"/>
          <w:color w:val="auto"/>
        </w:rPr>
        <w:t>www.larimartx.com</w:t>
      </w:r>
      <w:r>
        <w:rPr>
          <w:rFonts w:ascii="Times New Roman" w:cs="Times New Roman" w:eastAsia="Times New Roman" w:hAnsi="Times New Roman"/>
          <w:sz w:val="18"/>
          <w:szCs w:val="18"/>
          <w:color w:val="auto"/>
        </w:rPr>
        <w:t>, in print and in person at investor presentations or stockholder meetings. We view communication between our stockholders and the Board as a dialogue.</w:t>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40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7"/>
              </w:rPr>
              <w:t>How to</w:t>
            </w:r>
          </w:p>
        </w:tc>
        <w:tc>
          <w:tcPr>
            <w:tcW w:w="418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By mail:</w:t>
            </w:r>
          </w:p>
        </w:tc>
      </w:tr>
      <w:tr>
        <w:trPr>
          <w:trHeight w:val="220"/>
        </w:trPr>
        <w:tc>
          <w:tcPr>
            <w:tcW w:w="40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Communicate with our Directors</w:t>
            </w:r>
          </w:p>
        </w:tc>
        <w:tc>
          <w:tcPr>
            <w:tcW w:w="418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Secretary, Larimar Therapeutics, Inc.</w:t>
            </w:r>
          </w:p>
        </w:tc>
      </w:tr>
      <w:tr>
        <w:trPr>
          <w:trHeight w:val="216"/>
        </w:trPr>
        <w:tc>
          <w:tcPr>
            <w:tcW w:w="4040" w:type="dxa"/>
            <w:vAlign w:val="bottom"/>
          </w:tcPr>
          <w:p>
            <w:pPr>
              <w:spacing w:after="0"/>
              <w:rPr>
                <w:sz w:val="18"/>
                <w:szCs w:val="18"/>
                <w:color w:val="auto"/>
              </w:rPr>
            </w:pPr>
          </w:p>
        </w:tc>
        <w:tc>
          <w:tcPr>
            <w:tcW w:w="418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Three Bala Plaza East, Suite 506</w:t>
            </w:r>
          </w:p>
        </w:tc>
      </w:tr>
      <w:tr>
        <w:trPr>
          <w:trHeight w:val="234"/>
        </w:trPr>
        <w:tc>
          <w:tcPr>
            <w:tcW w:w="4040" w:type="dxa"/>
            <w:vAlign w:val="bottom"/>
          </w:tcPr>
          <w:p>
            <w:pPr>
              <w:spacing w:after="0"/>
              <w:rPr>
                <w:sz w:val="20"/>
                <w:szCs w:val="20"/>
                <w:color w:val="auto"/>
              </w:rPr>
            </w:pPr>
          </w:p>
        </w:tc>
        <w:tc>
          <w:tcPr>
            <w:tcW w:w="418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8"/>
              </w:rPr>
              <w:t>Bala Cynwyd, PA 19004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162560</wp:posOffset>
            </wp:positionV>
            <wp:extent cx="4457700" cy="1499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5770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17</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1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2021 non-employee director compensation policy is set forth in the table below.</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5700" w:type="dxa"/>
            <w:vAlign w:val="bottom"/>
            <w:shd w:val="clear" w:color="auto" w:fill="4DC1E4"/>
          </w:tcPr>
          <w:p>
            <w:pPr>
              <w:spacing w:after="0"/>
              <w:rPr>
                <w:sz w:val="20"/>
                <w:szCs w:val="20"/>
                <w:color w:val="auto"/>
              </w:rPr>
            </w:pPr>
            <w:r>
              <w:rPr>
                <w:rFonts w:ascii="Times New Roman" w:cs="Times New Roman" w:eastAsia="Times New Roman" w:hAnsi="Times New Roman"/>
                <w:sz w:val="14"/>
                <w:szCs w:val="14"/>
                <w:b w:val="1"/>
                <w:bCs w:val="1"/>
                <w:color w:val="FFFFFF"/>
              </w:rPr>
              <w:t>C</w:t>
            </w:r>
            <w:r>
              <w:rPr>
                <w:rFonts w:ascii="Times New Roman" w:cs="Times New Roman" w:eastAsia="Times New Roman" w:hAnsi="Times New Roman"/>
                <w:sz w:val="11"/>
                <w:szCs w:val="11"/>
                <w:b w:val="1"/>
                <w:bCs w:val="1"/>
                <w:color w:val="FFFFFF"/>
              </w:rPr>
              <w:t>OMPENSATION</w:t>
            </w:r>
            <w:r>
              <w:rPr>
                <w:rFonts w:ascii="Times New Roman" w:cs="Times New Roman" w:eastAsia="Times New Roman" w:hAnsi="Times New Roman"/>
                <w:sz w:val="14"/>
                <w:szCs w:val="14"/>
                <w:b w:val="1"/>
                <w:bCs w:val="1"/>
                <w:color w:val="FFFFFF"/>
              </w:rPr>
              <w:t xml:space="preserve"> E</w:t>
            </w:r>
            <w:r>
              <w:rPr>
                <w:rFonts w:ascii="Times New Roman" w:cs="Times New Roman" w:eastAsia="Times New Roman" w:hAnsi="Times New Roman"/>
                <w:sz w:val="11"/>
                <w:szCs w:val="11"/>
                <w:b w:val="1"/>
                <w:bCs w:val="1"/>
                <w:color w:val="FFFFFF"/>
              </w:rPr>
              <w:t>LEMENTS</w:t>
            </w:r>
            <w:r>
              <w:rPr>
                <w:rFonts w:ascii="Times New Roman" w:cs="Times New Roman" w:eastAsia="Times New Roman" w:hAnsi="Times New Roman"/>
                <w:sz w:val="14"/>
                <w:szCs w:val="14"/>
                <w:b w:val="1"/>
                <w:bCs w:val="1"/>
                <w:color w:val="FFFFFF"/>
              </w:rPr>
              <w:t xml:space="preserve"> — N</w:t>
            </w:r>
            <w:r>
              <w:rPr>
                <w:rFonts w:ascii="Times New Roman" w:cs="Times New Roman" w:eastAsia="Times New Roman" w:hAnsi="Times New Roman"/>
                <w:sz w:val="11"/>
                <w:szCs w:val="11"/>
                <w:b w:val="1"/>
                <w:bCs w:val="1"/>
                <w:color w:val="FFFFFF"/>
              </w:rPr>
              <w:t>ON</w:t>
            </w:r>
            <w:r>
              <w:rPr>
                <w:rFonts w:ascii="Times New Roman" w:cs="Times New Roman" w:eastAsia="Times New Roman" w:hAnsi="Times New Roman"/>
                <w:sz w:val="14"/>
                <w:szCs w:val="14"/>
                <w:b w:val="1"/>
                <w:bCs w:val="1"/>
                <w:color w:val="FFFFFF"/>
              </w:rPr>
              <w:t>-E</w:t>
            </w:r>
            <w:r>
              <w:rPr>
                <w:rFonts w:ascii="Times New Roman" w:cs="Times New Roman" w:eastAsia="Times New Roman" w:hAnsi="Times New Roman"/>
                <w:sz w:val="11"/>
                <w:szCs w:val="11"/>
                <w:b w:val="1"/>
                <w:bCs w:val="1"/>
                <w:color w:val="FFFFFF"/>
              </w:rPr>
              <w:t>MPLOYEE</w:t>
            </w:r>
            <w:r>
              <w:rPr>
                <w:rFonts w:ascii="Times New Roman" w:cs="Times New Roman" w:eastAsia="Times New Roman" w:hAnsi="Times New Roman"/>
                <w:sz w:val="14"/>
                <w:szCs w:val="14"/>
                <w:b w:val="1"/>
                <w:bCs w:val="1"/>
                <w:color w:val="FFFFFF"/>
              </w:rPr>
              <w:t xml:space="preserve"> D</w:t>
            </w:r>
            <w:r>
              <w:rPr>
                <w:rFonts w:ascii="Times New Roman" w:cs="Times New Roman" w:eastAsia="Times New Roman" w:hAnsi="Times New Roman"/>
                <w:sz w:val="11"/>
                <w:szCs w:val="11"/>
                <w:b w:val="1"/>
                <w:bCs w:val="1"/>
                <w:color w:val="FFFFFF"/>
              </w:rPr>
              <w:t>IRECTOR</w:t>
            </w:r>
            <w:r>
              <w:rPr>
                <w:rFonts w:ascii="Times New Roman" w:cs="Times New Roman" w:eastAsia="Times New Roman" w:hAnsi="Times New Roman"/>
                <w:sz w:val="14"/>
                <w:szCs w:val="14"/>
                <w:b w:val="1"/>
                <w:bCs w:val="1"/>
                <w:color w:val="FFFFFF"/>
              </w:rPr>
              <w:t xml:space="preserve"> C</w:t>
            </w:r>
            <w:r>
              <w:rPr>
                <w:rFonts w:ascii="Times New Roman" w:cs="Times New Roman" w:eastAsia="Times New Roman" w:hAnsi="Times New Roman"/>
                <w:sz w:val="11"/>
                <w:szCs w:val="11"/>
                <w:b w:val="1"/>
                <w:bCs w:val="1"/>
                <w:color w:val="FFFFFF"/>
              </w:rPr>
              <w:t>OMPENSATION</w:t>
            </w:r>
            <w:r>
              <w:rPr>
                <w:rFonts w:ascii="Times New Roman" w:cs="Times New Roman" w:eastAsia="Times New Roman" w:hAnsi="Times New Roman"/>
                <w:sz w:val="14"/>
                <w:szCs w:val="14"/>
                <w:b w:val="1"/>
                <w:bCs w:val="1"/>
                <w:color w:val="FFFFFF"/>
              </w:rPr>
              <w:t xml:space="preserve"> P</w:t>
            </w:r>
            <w:r>
              <w:rPr>
                <w:rFonts w:ascii="Times New Roman" w:cs="Times New Roman" w:eastAsia="Times New Roman" w:hAnsi="Times New Roman"/>
                <w:sz w:val="11"/>
                <w:szCs w:val="11"/>
                <w:b w:val="1"/>
                <w:bCs w:val="1"/>
                <w:color w:val="FFFFFF"/>
              </w:rPr>
              <w:t>ROGRAM</w:t>
            </w:r>
          </w:p>
        </w:tc>
        <w:tc>
          <w:tcPr>
            <w:tcW w:w="440" w:type="dxa"/>
            <w:vAlign w:val="bottom"/>
            <w:shd w:val="clear" w:color="auto" w:fill="4DC1E4"/>
          </w:tcPr>
          <w:p>
            <w:pPr>
              <w:spacing w:after="0"/>
              <w:rPr>
                <w:sz w:val="23"/>
                <w:szCs w:val="23"/>
                <w:color w:val="auto"/>
              </w:rPr>
            </w:pPr>
          </w:p>
        </w:tc>
        <w:tc>
          <w:tcPr>
            <w:tcW w:w="4880" w:type="dxa"/>
            <w:vAlign w:val="bottom"/>
            <w:shd w:val="clear" w:color="auto" w:fill="4DC1E4"/>
          </w:tcPr>
          <w:p>
            <w:pPr>
              <w:spacing w:after="0"/>
              <w:rPr>
                <w:sz w:val="23"/>
                <w:szCs w:val="23"/>
                <w:color w:val="auto"/>
              </w:rPr>
            </w:pPr>
          </w:p>
        </w:tc>
      </w:tr>
      <w:tr>
        <w:trPr>
          <w:trHeight w:val="104"/>
        </w:trPr>
        <w:tc>
          <w:tcPr>
            <w:tcW w:w="5700" w:type="dxa"/>
            <w:vAlign w:val="bottom"/>
            <w:shd w:val="clear" w:color="auto" w:fill="4DC1E4"/>
          </w:tcPr>
          <w:p>
            <w:pPr>
              <w:spacing w:after="0"/>
              <w:rPr>
                <w:sz w:val="9"/>
                <w:szCs w:val="9"/>
                <w:color w:val="auto"/>
              </w:rPr>
            </w:pPr>
          </w:p>
        </w:tc>
        <w:tc>
          <w:tcPr>
            <w:tcW w:w="440" w:type="dxa"/>
            <w:vAlign w:val="bottom"/>
            <w:shd w:val="clear" w:color="auto" w:fill="4DC1E4"/>
          </w:tcPr>
          <w:p>
            <w:pPr>
              <w:spacing w:after="0"/>
              <w:rPr>
                <w:sz w:val="9"/>
                <w:szCs w:val="9"/>
                <w:color w:val="auto"/>
              </w:rPr>
            </w:pPr>
          </w:p>
        </w:tc>
        <w:tc>
          <w:tcPr>
            <w:tcW w:w="4880" w:type="dxa"/>
            <w:vAlign w:val="bottom"/>
            <w:shd w:val="clear" w:color="auto" w:fill="4DC1E4"/>
          </w:tcPr>
          <w:p>
            <w:pPr>
              <w:spacing w:after="0"/>
              <w:rPr>
                <w:sz w:val="9"/>
                <w:szCs w:val="9"/>
                <w:color w:val="auto"/>
              </w:rPr>
            </w:pPr>
          </w:p>
        </w:tc>
      </w:tr>
      <w:tr>
        <w:trPr>
          <w:trHeight w:val="198"/>
        </w:trPr>
        <w:tc>
          <w:tcPr>
            <w:tcW w:w="57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Cash Retainers</w:t>
            </w:r>
          </w:p>
        </w:tc>
        <w:tc>
          <w:tcPr>
            <w:tcW w:w="44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Annual Cash Retainer</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35,000</w:t>
            </w:r>
          </w:p>
        </w:tc>
      </w:tr>
      <w:tr>
        <w:trPr>
          <w:trHeight w:val="21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30,000</w:t>
            </w:r>
          </w:p>
        </w:tc>
      </w:tr>
      <w:tr>
        <w:trPr>
          <w:trHeight w:val="218"/>
        </w:trPr>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Annual Committee Chair Retainer</w:t>
            </w:r>
          </w:p>
        </w:tc>
        <w:tc>
          <w:tcPr>
            <w:tcW w:w="44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10,000</w:t>
            </w:r>
          </w:p>
        </w:tc>
      </w:tr>
      <w:tr>
        <w:trPr>
          <w:trHeight w:val="214"/>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7,500</w:t>
            </w:r>
          </w:p>
        </w:tc>
      </w:tr>
      <w:tr>
        <w:trPr>
          <w:trHeight w:val="218"/>
        </w:trPr>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Annual Committee Member Retainer</w:t>
            </w:r>
          </w:p>
        </w:tc>
        <w:tc>
          <w:tcPr>
            <w:tcW w:w="44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3,750</w:t>
            </w:r>
          </w:p>
        </w:tc>
      </w:tr>
      <w:tr>
        <w:trPr>
          <w:trHeight w:val="414"/>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4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Initial Equity Grant</w:t>
            </w:r>
          </w:p>
        </w:tc>
        <w:tc>
          <w:tcPr>
            <w:tcW w:w="5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Option to purchase 16,600 shares of common stock,</w:t>
            </w:r>
          </w:p>
        </w:tc>
      </w:tr>
      <w:tr>
        <w:trPr>
          <w:trHeight w:val="216"/>
        </w:trPr>
        <w:tc>
          <w:tcPr>
            <w:tcW w:w="5700" w:type="dxa"/>
            <w:vAlign w:val="bottom"/>
          </w:tcPr>
          <w:p>
            <w:pPr>
              <w:spacing w:after="0"/>
              <w:rPr>
                <w:sz w:val="18"/>
                <w:szCs w:val="18"/>
                <w:color w:val="auto"/>
              </w:rPr>
            </w:pPr>
          </w:p>
        </w:tc>
        <w:tc>
          <w:tcPr>
            <w:tcW w:w="5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vesting monthly over a three year period</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Annual Equity Retainer</w:t>
            </w:r>
          </w:p>
        </w:tc>
        <w:tc>
          <w:tcPr>
            <w:tcW w:w="5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Option to purchase 8,300 shares of common stock,</w:t>
            </w:r>
          </w:p>
        </w:tc>
      </w:tr>
      <w:tr>
        <w:trPr>
          <w:trHeight w:val="234"/>
        </w:trPr>
        <w:tc>
          <w:tcPr>
            <w:tcW w:w="5700" w:type="dxa"/>
            <w:vAlign w:val="bottom"/>
          </w:tcPr>
          <w:p>
            <w:pPr>
              <w:spacing w:after="0"/>
              <w:rPr>
                <w:sz w:val="20"/>
                <w:szCs w:val="20"/>
                <w:color w:val="auto"/>
              </w:rPr>
            </w:pPr>
          </w:p>
        </w:tc>
        <w:tc>
          <w:tcPr>
            <w:tcW w:w="5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vesting upon the earlier of the first anniversary of</w:t>
            </w:r>
          </w:p>
        </w:tc>
      </w:tr>
    </w:tbl>
    <w:p>
      <w:pPr>
        <w:ind w:left="6120"/>
        <w:spacing w:after="0"/>
        <w:rPr>
          <w:sz w:val="20"/>
          <w:szCs w:val="20"/>
          <w:color w:val="auto"/>
        </w:rPr>
      </w:pPr>
      <w:r>
        <w:rPr>
          <w:rFonts w:ascii="Times New Roman" w:cs="Times New Roman" w:eastAsia="Times New Roman" w:hAnsi="Times New Roman"/>
          <w:sz w:val="18"/>
          <w:szCs w:val="18"/>
          <w:color w:val="auto"/>
        </w:rPr>
        <w:t>the date of grant or the date of the following annual</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meeting of stockholders after the grant date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below sets forth summary information regarding the compensation of our non-employee directors for the fiscal year ended December 31, 2021.</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0" w:type="dxa"/>
            <w:vAlign w:val="bottom"/>
            <w:shd w:val="clear" w:color="auto" w:fill="4DC1E4"/>
          </w:tcPr>
          <w:p>
            <w:pPr>
              <w:spacing w:after="0"/>
              <w:rPr>
                <w:sz w:val="13"/>
                <w:szCs w:val="13"/>
                <w:color w:val="auto"/>
              </w:rPr>
            </w:pPr>
          </w:p>
        </w:tc>
        <w:tc>
          <w:tcPr>
            <w:tcW w:w="5040" w:type="dxa"/>
            <w:vAlign w:val="bottom"/>
            <w:shd w:val="clear" w:color="auto" w:fill="4DC1E4"/>
          </w:tcPr>
          <w:p>
            <w:pPr>
              <w:spacing w:after="0"/>
              <w:rPr>
                <w:sz w:val="13"/>
                <w:szCs w:val="13"/>
                <w:color w:val="auto"/>
              </w:rPr>
            </w:pPr>
          </w:p>
        </w:tc>
        <w:tc>
          <w:tcPr>
            <w:tcW w:w="660" w:type="dxa"/>
            <w:vAlign w:val="bottom"/>
            <w:shd w:val="clear" w:color="auto" w:fill="4DC1E4"/>
          </w:tcPr>
          <w:p>
            <w:pPr>
              <w:spacing w:after="0"/>
              <w:rPr>
                <w:sz w:val="13"/>
                <w:szCs w:val="13"/>
                <w:color w:val="auto"/>
              </w:rPr>
            </w:pPr>
          </w:p>
        </w:tc>
        <w:tc>
          <w:tcPr>
            <w:tcW w:w="1580" w:type="dxa"/>
            <w:vAlign w:val="bottom"/>
            <w:gridSpan w:val="3"/>
            <w:shd w:val="clear" w:color="auto" w:fill="4DC1E4"/>
          </w:tcPr>
          <w:p>
            <w:pPr>
              <w:spacing w:after="0"/>
              <w:rPr>
                <w:sz w:val="20"/>
                <w:szCs w:val="20"/>
                <w:color w:val="auto"/>
              </w:rPr>
            </w:pPr>
            <w:r>
              <w:rPr>
                <w:rFonts w:ascii="Times New Roman" w:cs="Times New Roman" w:eastAsia="Times New Roman" w:hAnsi="Times New Roman"/>
                <w:sz w:val="14"/>
                <w:szCs w:val="14"/>
                <w:b w:val="1"/>
                <w:bCs w:val="1"/>
                <w:color w:val="FFFFFF"/>
              </w:rPr>
              <w:t>F</w:t>
            </w:r>
            <w:r>
              <w:rPr>
                <w:rFonts w:ascii="Times New Roman" w:cs="Times New Roman" w:eastAsia="Times New Roman" w:hAnsi="Times New Roman"/>
                <w:sz w:val="11"/>
                <w:szCs w:val="11"/>
                <w:b w:val="1"/>
                <w:bCs w:val="1"/>
                <w:color w:val="FFFFFF"/>
              </w:rPr>
              <w:t>EES</w:t>
            </w:r>
            <w:r>
              <w:rPr>
                <w:rFonts w:ascii="Times New Roman" w:cs="Times New Roman" w:eastAsia="Times New Roman" w:hAnsi="Times New Roman"/>
                <w:sz w:val="14"/>
                <w:szCs w:val="14"/>
                <w:b w:val="1"/>
                <w:bCs w:val="1"/>
                <w:color w:val="FFFFFF"/>
              </w:rPr>
              <w:t xml:space="preserve"> E</w:t>
            </w:r>
            <w:r>
              <w:rPr>
                <w:rFonts w:ascii="Times New Roman" w:cs="Times New Roman" w:eastAsia="Times New Roman" w:hAnsi="Times New Roman"/>
                <w:sz w:val="11"/>
                <w:szCs w:val="11"/>
                <w:b w:val="1"/>
                <w:bCs w:val="1"/>
                <w:color w:val="FFFFFF"/>
              </w:rPr>
              <w:t>ARNED</w:t>
            </w:r>
          </w:p>
        </w:tc>
        <w:tc>
          <w:tcPr>
            <w:tcW w:w="160" w:type="dxa"/>
            <w:vAlign w:val="bottom"/>
            <w:shd w:val="clear" w:color="auto" w:fill="4DC1E4"/>
          </w:tcPr>
          <w:p>
            <w:pPr>
              <w:spacing w:after="0"/>
              <w:rPr>
                <w:sz w:val="13"/>
                <w:szCs w:val="13"/>
                <w:color w:val="auto"/>
              </w:rPr>
            </w:pPr>
          </w:p>
        </w:tc>
        <w:tc>
          <w:tcPr>
            <w:tcW w:w="1480" w:type="dxa"/>
            <w:vAlign w:val="bottom"/>
            <w:gridSpan w:val="2"/>
            <w:shd w:val="clear" w:color="auto" w:fill="4DC1E4"/>
          </w:tcPr>
          <w:p>
            <w:pPr>
              <w:jc w:val="right"/>
              <w:ind w:right="920"/>
              <w:spacing w:after="0"/>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w:t>
            </w:r>
          </w:p>
        </w:tc>
        <w:tc>
          <w:tcPr>
            <w:tcW w:w="700" w:type="dxa"/>
            <w:vAlign w:val="bottom"/>
            <w:shd w:val="clear" w:color="auto" w:fill="4DC1E4"/>
          </w:tcPr>
          <w:p>
            <w:pPr>
              <w:spacing w:after="0"/>
              <w:rPr>
                <w:sz w:val="13"/>
                <w:szCs w:val="13"/>
                <w:color w:val="auto"/>
              </w:rPr>
            </w:pPr>
          </w:p>
        </w:tc>
        <w:tc>
          <w:tcPr>
            <w:tcW w:w="40" w:type="dxa"/>
            <w:vAlign w:val="bottom"/>
            <w:shd w:val="clear" w:color="auto" w:fill="4DC1E4"/>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 w:type="dxa"/>
            <w:vAlign w:val="bottom"/>
            <w:vMerge w:val="restart"/>
            <w:shd w:val="clear" w:color="auto" w:fill="4DC1E4"/>
          </w:tcPr>
          <w:p>
            <w:pPr>
              <w:ind w:left="80"/>
              <w:spacing w:after="0"/>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AME</w:t>
            </w:r>
          </w:p>
        </w:tc>
        <w:tc>
          <w:tcPr>
            <w:tcW w:w="5040" w:type="dxa"/>
            <w:vAlign w:val="bottom"/>
            <w:vMerge w:val="restart"/>
            <w:shd w:val="clear" w:color="auto" w:fill="4DC1E4"/>
          </w:tcPr>
          <w:p>
            <w:pPr>
              <w:spacing w:after="0"/>
              <w:rPr>
                <w:sz w:val="12"/>
                <w:szCs w:val="12"/>
                <w:color w:val="auto"/>
              </w:rPr>
            </w:pPr>
          </w:p>
        </w:tc>
        <w:tc>
          <w:tcPr>
            <w:tcW w:w="660" w:type="dxa"/>
            <w:vAlign w:val="bottom"/>
            <w:shd w:val="clear" w:color="auto" w:fill="4DC1E4"/>
          </w:tcPr>
          <w:p>
            <w:pPr>
              <w:spacing w:after="0"/>
              <w:rPr>
                <w:sz w:val="12"/>
                <w:szCs w:val="12"/>
                <w:color w:val="auto"/>
              </w:rPr>
            </w:pPr>
          </w:p>
        </w:tc>
        <w:tc>
          <w:tcPr>
            <w:tcW w:w="80" w:type="dxa"/>
            <w:vAlign w:val="bottom"/>
            <w:shd w:val="clear" w:color="auto" w:fill="4DC1E4"/>
          </w:tcPr>
          <w:p>
            <w:pPr>
              <w:spacing w:after="0"/>
              <w:rPr>
                <w:sz w:val="12"/>
                <w:szCs w:val="12"/>
                <w:color w:val="auto"/>
              </w:rPr>
            </w:pPr>
          </w:p>
        </w:tc>
        <w:tc>
          <w:tcPr>
            <w:tcW w:w="1500" w:type="dxa"/>
            <w:vAlign w:val="bottom"/>
            <w:gridSpan w:val="2"/>
            <w:shd w:val="clear" w:color="auto" w:fill="4DC1E4"/>
          </w:tcPr>
          <w:p>
            <w:pPr>
              <w:jc w:val="center"/>
              <w:ind w:right="780"/>
              <w:spacing w:after="0" w:line="149" w:lineRule="exact"/>
              <w:rPr>
                <w:sz w:val="20"/>
                <w:szCs w:val="20"/>
                <w:color w:val="auto"/>
              </w:rPr>
            </w:pPr>
            <w:r>
              <w:rPr>
                <w:rFonts w:ascii="Times New Roman" w:cs="Times New Roman" w:eastAsia="Times New Roman" w:hAnsi="Times New Roman"/>
                <w:sz w:val="12"/>
                <w:szCs w:val="12"/>
                <w:b w:val="1"/>
                <w:bCs w:val="1"/>
                <w:color w:val="FFFFFF"/>
              </w:rPr>
              <w:t xml:space="preserve">OR </w:t>
            </w:r>
            <w:r>
              <w:rPr>
                <w:rFonts w:ascii="Times New Roman" w:cs="Times New Roman" w:eastAsia="Times New Roman" w:hAnsi="Times New Roman"/>
                <w:sz w:val="14"/>
                <w:szCs w:val="14"/>
                <w:b w:val="1"/>
                <w:bCs w:val="1"/>
                <w:color w:val="FFFFFF"/>
              </w:rPr>
              <w:t>P</w:t>
            </w:r>
            <w:r>
              <w:rPr>
                <w:rFonts w:ascii="Times New Roman" w:cs="Times New Roman" w:eastAsia="Times New Roman" w:hAnsi="Times New Roman"/>
                <w:sz w:val="12"/>
                <w:szCs w:val="12"/>
                <w:b w:val="1"/>
                <w:bCs w:val="1"/>
                <w:color w:val="FFFFFF"/>
              </w:rPr>
              <w:t>AID IN</w:t>
            </w:r>
          </w:p>
        </w:tc>
        <w:tc>
          <w:tcPr>
            <w:tcW w:w="1640" w:type="dxa"/>
            <w:vAlign w:val="bottom"/>
            <w:gridSpan w:val="3"/>
            <w:shd w:val="clear" w:color="auto" w:fill="4DC1E4"/>
          </w:tcPr>
          <w:p>
            <w:pPr>
              <w:spacing w:after="0" w:line="149" w:lineRule="exact"/>
              <w:rPr>
                <w:sz w:val="20"/>
                <w:szCs w:val="20"/>
                <w:color w:val="auto"/>
              </w:rPr>
            </w:pPr>
            <w:r>
              <w:rPr>
                <w:rFonts w:ascii="Times New Roman" w:cs="Times New Roman" w:eastAsia="Times New Roman" w:hAnsi="Times New Roman"/>
                <w:sz w:val="14"/>
                <w:szCs w:val="14"/>
                <w:b w:val="1"/>
                <w:bCs w:val="1"/>
                <w:color w:val="FFFFFF"/>
              </w:rPr>
              <w:t>A</w:t>
            </w:r>
            <w:r>
              <w:rPr>
                <w:rFonts w:ascii="Times New Roman" w:cs="Times New Roman" w:eastAsia="Times New Roman" w:hAnsi="Times New Roman"/>
                <w:sz w:val="11"/>
                <w:szCs w:val="11"/>
                <w:b w:val="1"/>
                <w:bCs w:val="1"/>
                <w:color w:val="FFFFFF"/>
              </w:rPr>
              <w:t>WARDS</w:t>
            </w:r>
            <w:r>
              <w:rPr>
                <w:rFonts w:ascii="Times New Roman" w:cs="Times New Roman" w:eastAsia="Times New Roman" w:hAnsi="Times New Roman"/>
                <w:sz w:val="14"/>
                <w:szCs w:val="14"/>
                <w:b w:val="1"/>
                <w:bCs w:val="1"/>
                <w:color w:val="FFFFFF"/>
              </w:rPr>
              <w:t xml:space="preserve"> ($) (1)</w:t>
            </w:r>
          </w:p>
        </w:tc>
        <w:tc>
          <w:tcPr>
            <w:tcW w:w="740" w:type="dxa"/>
            <w:vAlign w:val="bottom"/>
            <w:gridSpan w:val="2"/>
            <w:vMerge w:val="restart"/>
            <w:shd w:val="clear" w:color="auto" w:fill="4DC1E4"/>
          </w:tcPr>
          <w:p>
            <w:pPr>
              <w:jc w:val="center"/>
              <w:ind w:right="40"/>
              <w:spacing w:after="0"/>
              <w:rPr>
                <w:sz w:val="20"/>
                <w:szCs w:val="20"/>
                <w:color w:val="auto"/>
              </w:rPr>
            </w:pPr>
            <w:r>
              <w:rPr>
                <w:rFonts w:ascii="Times New Roman" w:cs="Times New Roman" w:eastAsia="Times New Roman" w:hAnsi="Times New Roman"/>
                <w:sz w:val="14"/>
                <w:szCs w:val="14"/>
                <w:b w:val="1"/>
                <w:bCs w:val="1"/>
                <w:color w:val="FFFFFF"/>
              </w:rPr>
              <w:t>T</w:t>
            </w:r>
            <w:r>
              <w:rPr>
                <w:rFonts w:ascii="Times New Roman" w:cs="Times New Roman" w:eastAsia="Times New Roman" w:hAnsi="Times New Roman"/>
                <w:sz w:val="11"/>
                <w:szCs w:val="11"/>
                <w:b w:val="1"/>
                <w:bCs w:val="1"/>
                <w:color w:val="FFFFFF"/>
              </w:rPr>
              <w:t>OTAL</w:t>
            </w:r>
            <w:r>
              <w:rPr>
                <w:rFonts w:ascii="Times New Roman" w:cs="Times New Roman" w:eastAsia="Times New Roman" w:hAnsi="Times New Roman"/>
                <w:sz w:val="14"/>
                <w:szCs w:val="14"/>
                <w:b w:val="1"/>
                <w:bCs w:val="1"/>
                <w:color w:val="FFFFFF"/>
              </w:rPr>
              <w:t xml:space="preserve"> ($)</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vMerge w:val="continue"/>
            <w:shd w:val="clear" w:color="auto" w:fill="4DC1E4"/>
          </w:tcPr>
          <w:p>
            <w:pPr>
              <w:spacing w:after="0"/>
              <w:rPr>
                <w:sz w:val="15"/>
                <w:szCs w:val="15"/>
                <w:color w:val="auto"/>
              </w:rPr>
            </w:pPr>
          </w:p>
        </w:tc>
        <w:tc>
          <w:tcPr>
            <w:tcW w:w="5040" w:type="dxa"/>
            <w:vAlign w:val="bottom"/>
            <w:tcBorders>
              <w:bottom w:val="single" w:sz="8" w:color="4DC1E4"/>
            </w:tcBorders>
            <w:vMerge w:val="continue"/>
            <w:shd w:val="clear" w:color="auto" w:fill="4DC1E4"/>
          </w:tcPr>
          <w:p>
            <w:pPr>
              <w:spacing w:after="0"/>
              <w:rPr>
                <w:sz w:val="15"/>
                <w:szCs w:val="15"/>
                <w:color w:val="auto"/>
              </w:rPr>
            </w:pPr>
          </w:p>
        </w:tc>
        <w:tc>
          <w:tcPr>
            <w:tcW w:w="660" w:type="dxa"/>
            <w:vAlign w:val="bottom"/>
            <w:tcBorders>
              <w:bottom w:val="single" w:sz="8" w:color="4DC1E4"/>
            </w:tcBorders>
            <w:shd w:val="clear" w:color="auto" w:fill="4DC1E4"/>
          </w:tcPr>
          <w:p>
            <w:pPr>
              <w:spacing w:after="0"/>
              <w:rPr>
                <w:sz w:val="15"/>
                <w:szCs w:val="15"/>
                <w:color w:val="auto"/>
              </w:rPr>
            </w:pPr>
          </w:p>
        </w:tc>
        <w:tc>
          <w:tcPr>
            <w:tcW w:w="80" w:type="dxa"/>
            <w:vAlign w:val="bottom"/>
            <w:tcBorders>
              <w:bottom w:val="single" w:sz="8" w:color="4DC1E4"/>
            </w:tcBorders>
            <w:shd w:val="clear" w:color="auto" w:fill="4DC1E4"/>
          </w:tcPr>
          <w:p>
            <w:pPr>
              <w:spacing w:after="0"/>
              <w:rPr>
                <w:sz w:val="15"/>
                <w:szCs w:val="15"/>
                <w:color w:val="auto"/>
              </w:rPr>
            </w:pPr>
          </w:p>
        </w:tc>
        <w:tc>
          <w:tcPr>
            <w:tcW w:w="1500" w:type="dxa"/>
            <w:vAlign w:val="bottom"/>
            <w:tcBorders>
              <w:bottom w:val="single" w:sz="8" w:color="4DC1E4"/>
            </w:tcBorders>
            <w:gridSpan w:val="2"/>
            <w:shd w:val="clear" w:color="auto" w:fill="4DC1E4"/>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FFFFFF"/>
              </w:rPr>
              <w:t>C</w:t>
            </w:r>
            <w:r>
              <w:rPr>
                <w:rFonts w:ascii="Times New Roman" w:cs="Times New Roman" w:eastAsia="Times New Roman" w:hAnsi="Times New Roman"/>
                <w:sz w:val="11"/>
                <w:szCs w:val="11"/>
                <w:b w:val="1"/>
                <w:bCs w:val="1"/>
                <w:color w:val="FFFFFF"/>
              </w:rPr>
              <w:t>ASH</w:t>
            </w:r>
            <w:r>
              <w:rPr>
                <w:rFonts w:ascii="Times New Roman" w:cs="Times New Roman" w:eastAsia="Times New Roman" w:hAnsi="Times New Roman"/>
                <w:sz w:val="14"/>
                <w:szCs w:val="14"/>
                <w:b w:val="1"/>
                <w:bCs w:val="1"/>
                <w:color w:val="FFFFFF"/>
              </w:rPr>
              <w:t xml:space="preserve"> ($)</w:t>
            </w:r>
          </w:p>
        </w:tc>
        <w:tc>
          <w:tcPr>
            <w:tcW w:w="160" w:type="dxa"/>
            <w:vAlign w:val="bottom"/>
            <w:tcBorders>
              <w:bottom w:val="single" w:sz="8" w:color="4DC1E4"/>
            </w:tcBorders>
            <w:shd w:val="clear" w:color="auto" w:fill="4DC1E4"/>
          </w:tcPr>
          <w:p>
            <w:pPr>
              <w:spacing w:after="0"/>
              <w:rPr>
                <w:sz w:val="15"/>
                <w:szCs w:val="15"/>
                <w:color w:val="auto"/>
              </w:rPr>
            </w:pPr>
          </w:p>
        </w:tc>
        <w:tc>
          <w:tcPr>
            <w:tcW w:w="780" w:type="dxa"/>
            <w:vAlign w:val="bottom"/>
            <w:tcBorders>
              <w:bottom w:val="single" w:sz="8" w:color="4DC1E4"/>
            </w:tcBorders>
            <w:shd w:val="clear" w:color="auto" w:fill="4DC1E4"/>
          </w:tcPr>
          <w:p>
            <w:pPr>
              <w:jc w:val="right"/>
              <w:ind w:right="295"/>
              <w:spacing w:after="0" w:line="160" w:lineRule="exact"/>
              <w:rPr>
                <w:sz w:val="20"/>
                <w:szCs w:val="20"/>
                <w:color w:val="auto"/>
              </w:rPr>
            </w:pPr>
            <w:r>
              <w:rPr>
                <w:rFonts w:ascii="Times New Roman" w:cs="Times New Roman" w:eastAsia="Times New Roman" w:hAnsi="Times New Roman"/>
                <w:sz w:val="14"/>
                <w:szCs w:val="14"/>
                <w:b w:val="1"/>
                <w:bCs w:val="1"/>
                <w:color w:val="FFFFFF"/>
              </w:rPr>
              <w:t>(2)</w:t>
            </w:r>
          </w:p>
        </w:tc>
        <w:tc>
          <w:tcPr>
            <w:tcW w:w="700" w:type="dxa"/>
            <w:vAlign w:val="bottom"/>
            <w:tcBorders>
              <w:bottom w:val="single" w:sz="8" w:color="4DC1E4"/>
            </w:tcBorders>
            <w:shd w:val="clear" w:color="auto" w:fill="4DC1E4"/>
          </w:tcPr>
          <w:p>
            <w:pPr>
              <w:spacing w:after="0"/>
              <w:rPr>
                <w:sz w:val="15"/>
                <w:szCs w:val="15"/>
                <w:color w:val="auto"/>
              </w:rPr>
            </w:pPr>
          </w:p>
        </w:tc>
        <w:tc>
          <w:tcPr>
            <w:tcW w:w="740" w:type="dxa"/>
            <w:vAlign w:val="bottom"/>
            <w:tcBorders>
              <w:bottom w:val="single" w:sz="8" w:color="4DC1E4"/>
            </w:tcBorders>
            <w:gridSpan w:val="2"/>
            <w:vMerge w:val="continue"/>
            <w:shd w:val="clear" w:color="auto" w:fill="4DC1E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0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18"/>
                <w:szCs w:val="18"/>
                <w:color w:val="auto"/>
              </w:rPr>
              <w:t>Peter Barrett, Ph.D.</w:t>
            </w:r>
          </w:p>
        </w:tc>
        <w:tc>
          <w:tcPr>
            <w:tcW w:w="660" w:type="dxa"/>
            <w:vAlign w:val="bottom"/>
          </w:tcPr>
          <w:p>
            <w:pPr>
              <w:spacing w:after="0"/>
              <w:rPr>
                <w:sz w:val="16"/>
                <w:szCs w:val="16"/>
                <w:color w:val="auto"/>
              </w:rPr>
            </w:pPr>
          </w:p>
        </w:tc>
        <w:tc>
          <w:tcPr>
            <w:tcW w:w="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43,750</w:t>
            </w:r>
          </w:p>
        </w:tc>
        <w:tc>
          <w:tcPr>
            <w:tcW w:w="700" w:type="dxa"/>
            <w:vAlign w:val="bottom"/>
          </w:tcPr>
          <w:p>
            <w:pPr>
              <w:spacing w:after="0"/>
              <w:rPr>
                <w:sz w:val="16"/>
                <w:szCs w:val="16"/>
                <w:color w:val="auto"/>
              </w:rPr>
            </w:pPr>
          </w:p>
        </w:tc>
        <w:tc>
          <w:tcPr>
            <w:tcW w:w="1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61,317</w:t>
            </w:r>
          </w:p>
        </w:tc>
        <w:tc>
          <w:tcPr>
            <w:tcW w:w="700" w:type="dxa"/>
            <w:vAlign w:val="bottom"/>
          </w:tcPr>
          <w:p>
            <w:pPr>
              <w:spacing w:after="0"/>
              <w:rPr>
                <w:sz w:val="16"/>
                <w:szCs w:val="16"/>
                <w:color w:val="auto"/>
              </w:rPr>
            </w:pPr>
          </w:p>
        </w:tc>
        <w:tc>
          <w:tcPr>
            <w:tcW w:w="7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$105,067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Thomas O. Daniel, M.D.</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38,750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61,317</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$100,067</w:t>
            </w:r>
          </w:p>
        </w:tc>
        <w:tc>
          <w:tcPr>
            <w:tcW w:w="0" w:type="dxa"/>
            <w:vAlign w:val="bottom"/>
          </w:tcPr>
          <w:p>
            <w:pPr>
              <w:spacing w:after="0"/>
              <w:rPr>
                <w:sz w:val="1"/>
                <w:szCs w:val="1"/>
                <w:color w:val="auto"/>
              </w:rPr>
            </w:pPr>
          </w:p>
        </w:tc>
      </w:tr>
      <w:tr>
        <w:trPr>
          <w:trHeight w:val="216"/>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Thomas E. Hamilton</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42,500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61,317</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$103,817</w:t>
            </w:r>
          </w:p>
        </w:tc>
        <w:tc>
          <w:tcPr>
            <w:tcW w:w="0" w:type="dxa"/>
            <w:vAlign w:val="bottom"/>
          </w:tcPr>
          <w:p>
            <w:pPr>
              <w:spacing w:after="0"/>
              <w:rPr>
                <w:sz w:val="1"/>
                <w:szCs w:val="1"/>
                <w:color w:val="auto"/>
              </w:rPr>
            </w:pPr>
          </w:p>
        </w:tc>
      </w:tr>
      <w:tr>
        <w:trPr>
          <w:trHeight w:val="216"/>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Jonathan Leff</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47,500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61,317</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$108,817</w:t>
            </w:r>
          </w:p>
        </w:tc>
        <w:tc>
          <w:tcPr>
            <w:tcW w:w="0" w:type="dxa"/>
            <w:vAlign w:val="bottom"/>
          </w:tcPr>
          <w:p>
            <w:pPr>
              <w:spacing w:after="0"/>
              <w:rPr>
                <w:sz w:val="1"/>
                <w:szCs w:val="1"/>
                <w:color w:val="auto"/>
              </w:rPr>
            </w:pPr>
          </w:p>
        </w:tc>
      </w:tr>
      <w:tr>
        <w:trPr>
          <w:trHeight w:val="216"/>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Frank E. Thomas</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61,317</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$ 111,317</w:t>
            </w:r>
          </w:p>
        </w:tc>
        <w:tc>
          <w:tcPr>
            <w:tcW w:w="0" w:type="dxa"/>
            <w:vAlign w:val="bottom"/>
          </w:tcPr>
          <w:p>
            <w:pPr>
              <w:spacing w:after="0"/>
              <w:rPr>
                <w:sz w:val="1"/>
                <w:szCs w:val="1"/>
                <w:color w:val="auto"/>
              </w:rPr>
            </w:pPr>
          </w:p>
        </w:tc>
      </w:tr>
      <w:tr>
        <w:trPr>
          <w:trHeight w:val="234"/>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Joseph Truitt</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82,500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61,317</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$143,817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55"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each stock option granted in 2021 determined in accordance with the provisions of Financial Accounting Standards Board Accounting Standards, Codification Topic 718, Compensation—Stock Compensation (“FASB ASC Topic 718”). The assumptions made in the calculation of these amounts are included in Note 8 of the Notes to the Consolidated Financial Statements included in our 2021 Annual Report.</w:t>
      </w:r>
    </w:p>
    <w:p>
      <w:pPr>
        <w:spacing w:after="0" w:line="2" w:lineRule="exact"/>
        <w:rPr>
          <w:rFonts w:ascii="Times New Roman" w:cs="Times New Roman" w:eastAsia="Times New Roman" w:hAnsi="Times New Roman"/>
          <w:sz w:val="18"/>
          <w:szCs w:val="18"/>
          <w:color w:val="auto"/>
        </w:rPr>
      </w:pPr>
    </w:p>
    <w:p>
      <w:pPr>
        <w:ind w:left="540" w:right="560" w:hanging="424"/>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Drs. Barrett and Daniel and Messrs. Truitt, Hamilton, Leff and Thomas held options to purchase 37,347, 34,450, 24,900, 24,900, 24,900 and 33,134 shares of our common stock, respectively.</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18</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works with our management in order to negotiate appropriate fees with PwC for the Company and is ultimately responsible for approving those fees. The following is a summary and description of fees for services provided by PwC in 2021 and 2020:</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96"/>
        </w:trPr>
        <w:tc>
          <w:tcPr>
            <w:tcW w:w="620" w:type="dxa"/>
            <w:vAlign w:val="bottom"/>
            <w:tcBorders>
              <w:bottom w:val="single" w:sz="8" w:color="auto"/>
            </w:tcBorders>
            <w:shd w:val="clear" w:color="auto" w:fill="4DC1E4"/>
          </w:tcPr>
          <w:p>
            <w:pPr>
              <w:ind w:left="80"/>
              <w:spacing w:after="0"/>
              <w:rPr>
                <w:sz w:val="20"/>
                <w:szCs w:val="20"/>
                <w:color w:val="auto"/>
              </w:rPr>
            </w:pPr>
            <w:r>
              <w:rPr>
                <w:rFonts w:ascii="Times New Roman" w:cs="Times New Roman" w:eastAsia="Times New Roman" w:hAnsi="Times New Roman"/>
                <w:sz w:val="14"/>
                <w:szCs w:val="14"/>
                <w:b w:val="1"/>
                <w:bCs w:val="1"/>
                <w:color w:val="FFFFFF"/>
              </w:rPr>
              <w:t>S</w:t>
            </w:r>
            <w:r>
              <w:rPr>
                <w:rFonts w:ascii="Times New Roman" w:cs="Times New Roman" w:eastAsia="Times New Roman" w:hAnsi="Times New Roman"/>
                <w:sz w:val="11"/>
                <w:szCs w:val="11"/>
                <w:b w:val="1"/>
                <w:bCs w:val="1"/>
                <w:color w:val="FFFFFF"/>
              </w:rPr>
              <w:t>ERVICE</w:t>
            </w:r>
          </w:p>
        </w:tc>
        <w:tc>
          <w:tcPr>
            <w:tcW w:w="5240" w:type="dxa"/>
            <w:vAlign w:val="bottom"/>
            <w:tcBorders>
              <w:bottom w:val="single" w:sz="8" w:color="4DC1E4"/>
            </w:tcBorders>
            <w:shd w:val="clear" w:color="auto" w:fill="4DC1E4"/>
          </w:tcPr>
          <w:p>
            <w:pPr>
              <w:spacing w:after="0"/>
              <w:rPr>
                <w:sz w:val="17"/>
                <w:szCs w:val="17"/>
                <w:color w:val="auto"/>
              </w:rPr>
            </w:pPr>
          </w:p>
        </w:tc>
        <w:tc>
          <w:tcPr>
            <w:tcW w:w="420" w:type="dxa"/>
            <w:vAlign w:val="bottom"/>
            <w:tcBorders>
              <w:bottom w:val="single" w:sz="8" w:color="4DC1E4"/>
            </w:tcBorders>
            <w:shd w:val="clear" w:color="auto" w:fill="4DC1E4"/>
          </w:tcPr>
          <w:p>
            <w:pPr>
              <w:spacing w:after="0"/>
              <w:rPr>
                <w:sz w:val="17"/>
                <w:szCs w:val="17"/>
                <w:color w:val="auto"/>
              </w:rPr>
            </w:pPr>
          </w:p>
        </w:tc>
        <w:tc>
          <w:tcPr>
            <w:tcW w:w="20" w:type="dxa"/>
            <w:vAlign w:val="bottom"/>
            <w:tcBorders>
              <w:bottom w:val="single" w:sz="8" w:color="4DC1E4"/>
            </w:tcBorders>
            <w:shd w:val="clear" w:color="auto" w:fill="4DC1E4"/>
          </w:tcPr>
          <w:p>
            <w:pPr>
              <w:spacing w:after="0"/>
              <w:rPr>
                <w:sz w:val="17"/>
                <w:szCs w:val="17"/>
                <w:color w:val="auto"/>
              </w:rPr>
            </w:pPr>
          </w:p>
        </w:tc>
        <w:tc>
          <w:tcPr>
            <w:tcW w:w="80" w:type="dxa"/>
            <w:vAlign w:val="bottom"/>
            <w:tcBorders>
              <w:bottom w:val="single" w:sz="8" w:color="4DC1E4"/>
            </w:tcBorders>
            <w:shd w:val="clear" w:color="auto" w:fill="4DC1E4"/>
          </w:tcPr>
          <w:p>
            <w:pPr>
              <w:spacing w:after="0"/>
              <w:rPr>
                <w:sz w:val="17"/>
                <w:szCs w:val="17"/>
                <w:color w:val="auto"/>
              </w:rPr>
            </w:pPr>
          </w:p>
        </w:tc>
        <w:tc>
          <w:tcPr>
            <w:tcW w:w="600" w:type="dxa"/>
            <w:vAlign w:val="bottom"/>
            <w:tcBorders>
              <w:bottom w:val="single" w:sz="8" w:color="4DC1E4"/>
            </w:tcBorders>
            <w:shd w:val="clear" w:color="auto" w:fill="4DC1E4"/>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2021</w:t>
            </w:r>
          </w:p>
        </w:tc>
        <w:tc>
          <w:tcPr>
            <w:tcW w:w="20" w:type="dxa"/>
            <w:vAlign w:val="bottom"/>
            <w:tcBorders>
              <w:bottom w:val="single" w:sz="8" w:color="4DC1E4"/>
            </w:tcBorders>
            <w:shd w:val="clear" w:color="auto" w:fill="4DC1E4"/>
          </w:tcPr>
          <w:p>
            <w:pPr>
              <w:spacing w:after="0"/>
              <w:rPr>
                <w:sz w:val="17"/>
                <w:szCs w:val="17"/>
                <w:color w:val="auto"/>
              </w:rPr>
            </w:pPr>
          </w:p>
        </w:tc>
        <w:tc>
          <w:tcPr>
            <w:tcW w:w="460" w:type="dxa"/>
            <w:vAlign w:val="bottom"/>
            <w:tcBorders>
              <w:bottom w:val="single" w:sz="8" w:color="4DC1E4"/>
            </w:tcBorders>
            <w:shd w:val="clear" w:color="auto" w:fill="4DC1E4"/>
          </w:tcPr>
          <w:p>
            <w:pPr>
              <w:spacing w:after="0"/>
              <w:rPr>
                <w:sz w:val="17"/>
                <w:szCs w:val="17"/>
                <w:color w:val="auto"/>
              </w:rPr>
            </w:pPr>
          </w:p>
        </w:tc>
        <w:tc>
          <w:tcPr>
            <w:tcW w:w="100" w:type="dxa"/>
            <w:vAlign w:val="bottom"/>
            <w:tcBorders>
              <w:bottom w:val="single" w:sz="8" w:color="4DC1E4"/>
            </w:tcBorders>
            <w:shd w:val="clear" w:color="auto" w:fill="4DC1E4"/>
          </w:tcPr>
          <w:p>
            <w:pPr>
              <w:spacing w:after="0"/>
              <w:rPr>
                <w:sz w:val="17"/>
                <w:szCs w:val="17"/>
                <w:color w:val="auto"/>
              </w:rPr>
            </w:pPr>
          </w:p>
        </w:tc>
        <w:tc>
          <w:tcPr>
            <w:tcW w:w="740" w:type="dxa"/>
            <w:vAlign w:val="bottom"/>
            <w:tcBorders>
              <w:bottom w:val="single" w:sz="8" w:color="4DC1E4"/>
            </w:tcBorders>
            <w:shd w:val="clear" w:color="auto" w:fill="4DC1E4"/>
          </w:tcPr>
          <w:p>
            <w:pPr>
              <w:jc w:val="right"/>
              <w:ind w:right="193"/>
              <w:spacing w:after="0"/>
              <w:rPr>
                <w:sz w:val="20"/>
                <w:szCs w:val="20"/>
                <w:color w:val="auto"/>
              </w:rPr>
            </w:pPr>
            <w:r>
              <w:rPr>
                <w:rFonts w:ascii="Times New Roman" w:cs="Times New Roman" w:eastAsia="Times New Roman" w:hAnsi="Times New Roman"/>
                <w:sz w:val="14"/>
                <w:szCs w:val="14"/>
                <w:b w:val="1"/>
                <w:bCs w:val="1"/>
                <w:color w:val="FFFFFF"/>
              </w:rPr>
              <w:t>2020</w:t>
            </w:r>
          </w:p>
        </w:tc>
        <w:tc>
          <w:tcPr>
            <w:tcW w:w="60" w:type="dxa"/>
            <w:vAlign w:val="bottom"/>
            <w:tcBorders>
              <w:bottom w:val="single" w:sz="8" w:color="4DC1E4"/>
            </w:tcBorders>
            <w:shd w:val="clear" w:color="auto" w:fill="4DC1E4"/>
          </w:tcPr>
          <w:p>
            <w:pPr>
              <w:spacing w:after="0"/>
              <w:rPr>
                <w:sz w:val="17"/>
                <w:szCs w:val="17"/>
                <w:color w:val="auto"/>
              </w:rPr>
            </w:pPr>
          </w:p>
        </w:tc>
      </w:tr>
      <w:tr>
        <w:trPr>
          <w:trHeight w:val="185"/>
        </w:trPr>
        <w:tc>
          <w:tcPr>
            <w:tcW w:w="586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18"/>
                <w:szCs w:val="18"/>
                <w:color w:val="auto"/>
              </w:rPr>
              <w:t>Audit Fees</w:t>
            </w:r>
          </w:p>
        </w:tc>
        <w:tc>
          <w:tcPr>
            <w:tcW w:w="440" w:type="dxa"/>
            <w:vAlign w:val="bottom"/>
            <w:gridSpan w:val="2"/>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99"/>
              </w:rPr>
              <w:t>582,000</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99"/>
              </w:rPr>
              <w:t>1,544,000</w:t>
            </w:r>
          </w:p>
        </w:tc>
        <w:tc>
          <w:tcPr>
            <w:tcW w:w="60" w:type="dxa"/>
            <w:vAlign w:val="bottom"/>
          </w:tcPr>
          <w:p>
            <w:pPr>
              <w:spacing w:after="0"/>
              <w:rPr>
                <w:sz w:val="16"/>
                <w:szCs w:val="16"/>
                <w:color w:val="auto"/>
              </w:rPr>
            </w:pPr>
          </w:p>
        </w:tc>
      </w:tr>
      <w:tr>
        <w:trPr>
          <w:trHeight w:val="216"/>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Audit-Related Fees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Fees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40,000</w:t>
            </w:r>
          </w:p>
        </w:tc>
      </w:tr>
      <w:tr>
        <w:trPr>
          <w:trHeight w:val="234"/>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 Other Fees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w:t>
            </w:r>
          </w:p>
        </w:tc>
      </w:tr>
      <w:tr>
        <w:trPr>
          <w:trHeight w:val="228"/>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spacing w:after="0"/>
              <w:rPr>
                <w:sz w:val="19"/>
                <w:szCs w:val="19"/>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583,000</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2,134,956</w:t>
            </w:r>
          </w:p>
        </w:tc>
        <w:tc>
          <w:tcPr>
            <w:tcW w:w="60" w:type="dxa"/>
            <w:vAlign w:val="bottom"/>
          </w:tcPr>
          <w:p>
            <w:pPr>
              <w:spacing w:after="0"/>
              <w:rPr>
                <w:sz w:val="19"/>
                <w:szCs w:val="19"/>
                <w:color w:val="auto"/>
              </w:rPr>
            </w:pPr>
          </w:p>
        </w:tc>
      </w:tr>
    </w:tbl>
    <w:p>
      <w:pPr>
        <w:spacing w:after="0" w:line="189"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18"/>
          <w:szCs w:val="18"/>
          <w:color w:val="auto"/>
        </w:rPr>
        <w:t>” represents the aggregate fees for professional services rendered for the audit of our consolidated financial statements on Form 10-K, consents for the use of audit reports and reference to the auditor as an expert in our registration statements and professional services rendered for the review of our quarterly financial statements on Form 10-Q that are customary under the standards of the Public Company Accounting Oversight Board (United States). Also included are the fees related to our Registration Statements on Form S-3 and Form S-8.</w:t>
      </w:r>
    </w:p>
    <w:p>
      <w:pPr>
        <w:spacing w:after="0" w:line="176" w:lineRule="exact"/>
        <w:rPr>
          <w:sz w:val="20"/>
          <w:szCs w:val="20"/>
          <w:color w:val="auto"/>
        </w:rPr>
      </w:pPr>
    </w:p>
    <w:p>
      <w:pPr>
        <w:ind w:left="120" w:right="6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Related Fees</w:t>
      </w:r>
      <w:r>
        <w:rPr>
          <w:rFonts w:ascii="Times New Roman" w:cs="Times New Roman" w:eastAsia="Times New Roman" w:hAnsi="Times New Roman"/>
          <w:sz w:val="18"/>
          <w:szCs w:val="18"/>
          <w:color w:val="auto"/>
        </w:rPr>
        <w:t>” represents the aggregate fees for professional services in support of the Merger, other attestation services related to financial reporting that are not required by statute or regulation and, in 2020, the completion of the audit of Chondrial’s consolidated financial statements for the 2019 fiscal year.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fees</w:t>
      </w:r>
      <w:r>
        <w:rPr>
          <w:rFonts w:ascii="Times New Roman" w:cs="Times New Roman" w:eastAsia="Times New Roman" w:hAnsi="Times New Roman"/>
          <w:sz w:val="18"/>
          <w:szCs w:val="18"/>
          <w:color w:val="auto"/>
        </w:rPr>
        <w:t>” consists of fees related to tax compliance, tax planning and tax advice.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“All other fees” </w:t>
      </w:r>
      <w:r>
        <w:rPr>
          <w:rFonts w:ascii="Times New Roman" w:cs="Times New Roman" w:eastAsia="Times New Roman" w:hAnsi="Times New Roman"/>
          <w:sz w:val="18"/>
          <w:szCs w:val="18"/>
          <w:color w:val="auto"/>
        </w:rPr>
        <w:t>represents payment for access to PwC’s on-line software tools. These fees were approved by the Audit Committee.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76"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All such audit and permissible non-audit services were pre-approved in accordance with this policy during the fiscal year ended December 31, 2021.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p>
    <w:p>
      <w:pPr>
        <w:spacing w:after="0" w:line="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19</w:t>
      </w:r>
    </w:p>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primary purpose of the Audit Committee is to assist the Board in its general oversight of the Company’s financial reporting process.</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Management is primarily responsible for the preparation, presentation, and integrity of the Company’s consolidated financial statements, accounting and financial reporting principles, internal controls and procedures designed to ensure compliance with accounting standards, applicable laws, and regulations. The Company’s independent registered public accounting firm for the fiscal year 2021, PwC, is responsible for performing an independent audit of the consolidated financial statements and expressing an opinion on the conformity of those consolidated financial statements with generally accepted accounting principles.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contained in the Company’s 2021 Annual Report with management and PwC. The Audit Committee has discussed with PwC the matters required to be discussed by the applicable requirements of the Public Company Accounting Oversight Board (“PCAOB”) and the SEC. In addition, PwC has provided the Audit Committee with the written disclosures and the letter required by the applicable requirements of the PCAOB regarding PwC’s communications with the Audit Committee concerning independence, and the Audit Committee has discussed with PwC its independence.</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also considered whether the independent registered public accounting firm’s provision of non-audit services to the Company is compatible with the auditor’s independence. The Audit Committee has concluded that the independent registered public accounting firm is independent from the Company and its management. Based on the considerations and discussions referred to above, the Audit Committee recommended to the Board that the audited consolidated financial statements be included in the Company’s 2021 Annual Report.</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Frank E. Thomas (Chair)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E. Hamilton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Joseph Truitt</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20</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as of the date of this Proxy Statement:</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460" w:type="dxa"/>
            <w:vAlign w:val="bottom"/>
            <w:shd w:val="clear" w:color="auto" w:fill="4DC1E4"/>
          </w:tcPr>
          <w:p>
            <w:pPr>
              <w:ind w:left="60"/>
              <w:spacing w:after="0"/>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AME</w:t>
            </w:r>
          </w:p>
        </w:tc>
        <w:tc>
          <w:tcPr>
            <w:tcW w:w="4680" w:type="dxa"/>
            <w:vAlign w:val="bottom"/>
            <w:shd w:val="clear" w:color="auto" w:fill="4DC1E4"/>
          </w:tcPr>
          <w:p>
            <w:pPr>
              <w:spacing w:after="0"/>
              <w:rPr>
                <w:sz w:val="15"/>
                <w:szCs w:val="15"/>
                <w:color w:val="auto"/>
              </w:rPr>
            </w:pPr>
          </w:p>
        </w:tc>
        <w:tc>
          <w:tcPr>
            <w:tcW w:w="3100" w:type="dxa"/>
            <w:vAlign w:val="bottom"/>
            <w:gridSpan w:val="2"/>
            <w:shd w:val="clear" w:color="auto" w:fill="4DC1E4"/>
          </w:tcPr>
          <w:p>
            <w:pPr>
              <w:ind w:left="2500"/>
              <w:spacing w:after="0"/>
              <w:rPr>
                <w:sz w:val="20"/>
                <w:szCs w:val="20"/>
                <w:color w:val="auto"/>
              </w:rPr>
            </w:pPr>
            <w:r>
              <w:rPr>
                <w:rFonts w:ascii="Times New Roman" w:cs="Times New Roman" w:eastAsia="Times New Roman" w:hAnsi="Times New Roman"/>
                <w:sz w:val="14"/>
                <w:szCs w:val="14"/>
                <w:b w:val="1"/>
                <w:bCs w:val="1"/>
                <w:color w:val="FFFFFF"/>
              </w:rPr>
              <w:t>P</w:t>
            </w:r>
            <w:r>
              <w:rPr>
                <w:rFonts w:ascii="Times New Roman" w:cs="Times New Roman" w:eastAsia="Times New Roman" w:hAnsi="Times New Roman"/>
                <w:sz w:val="11"/>
                <w:szCs w:val="11"/>
                <w:b w:val="1"/>
                <w:bCs w:val="1"/>
                <w:color w:val="FFFFFF"/>
              </w:rPr>
              <w:t>OSITION</w:t>
            </w:r>
          </w:p>
        </w:tc>
        <w:tc>
          <w:tcPr>
            <w:tcW w:w="2280" w:type="dxa"/>
            <w:vAlign w:val="bottom"/>
            <w:shd w:val="clear" w:color="auto" w:fill="4DC1E4"/>
          </w:tcPr>
          <w:p>
            <w:pPr>
              <w:spacing w:after="0"/>
              <w:rPr>
                <w:sz w:val="15"/>
                <w:szCs w:val="15"/>
                <w:color w:val="auto"/>
              </w:rPr>
            </w:pPr>
          </w:p>
        </w:tc>
        <w:tc>
          <w:tcPr>
            <w:tcW w:w="500" w:type="dxa"/>
            <w:vAlign w:val="bottom"/>
            <w:gridSpan w:val="2"/>
            <w:shd w:val="clear" w:color="auto" w:fill="4DC1E4"/>
          </w:tcPr>
          <w:p>
            <w:pPr>
              <w:jc w:val="right"/>
              <w:ind w:right="220"/>
              <w:spacing w:after="0"/>
              <w:rPr>
                <w:sz w:val="20"/>
                <w:szCs w:val="20"/>
                <w:color w:val="auto"/>
              </w:rPr>
            </w:pPr>
            <w:r>
              <w:rPr>
                <w:rFonts w:ascii="Times New Roman" w:cs="Times New Roman" w:eastAsia="Times New Roman" w:hAnsi="Times New Roman"/>
                <w:sz w:val="14"/>
                <w:szCs w:val="14"/>
                <w:b w:val="1"/>
                <w:bCs w:val="1"/>
                <w:color w:val="FFFFFF"/>
                <w:w w:val="99"/>
              </w:rPr>
              <w:t>A</w:t>
            </w:r>
            <w:r>
              <w:rPr>
                <w:rFonts w:ascii="Times New Roman" w:cs="Times New Roman" w:eastAsia="Times New Roman" w:hAnsi="Times New Roman"/>
                <w:sz w:val="11"/>
                <w:szCs w:val="11"/>
                <w:b w:val="1"/>
                <w:bCs w:val="1"/>
                <w:color w:val="FFFFFF"/>
                <w:w w:val="99"/>
              </w:rPr>
              <w:t>GE</w:t>
            </w:r>
          </w:p>
        </w:tc>
      </w:tr>
      <w:tr>
        <w:trPr>
          <w:trHeight w:val="20"/>
        </w:trPr>
        <w:tc>
          <w:tcPr>
            <w:tcW w:w="460" w:type="dxa"/>
            <w:vAlign w:val="bottom"/>
            <w:shd w:val="clear" w:color="auto" w:fill="000000"/>
          </w:tcPr>
          <w:p>
            <w:pPr>
              <w:spacing w:after="0" w:line="20" w:lineRule="exact"/>
              <w:rPr>
                <w:sz w:val="1"/>
                <w:szCs w:val="1"/>
                <w:color w:val="auto"/>
              </w:rPr>
            </w:pPr>
          </w:p>
        </w:tc>
        <w:tc>
          <w:tcPr>
            <w:tcW w:w="4680" w:type="dxa"/>
            <w:vAlign w:val="bottom"/>
            <w:shd w:val="clear" w:color="auto" w:fill="4DC1E4"/>
          </w:tcPr>
          <w:p>
            <w:pPr>
              <w:spacing w:after="0" w:line="20" w:lineRule="exact"/>
              <w:rPr>
                <w:sz w:val="1"/>
                <w:szCs w:val="1"/>
                <w:color w:val="auto"/>
              </w:rPr>
            </w:pPr>
          </w:p>
        </w:tc>
        <w:tc>
          <w:tcPr>
            <w:tcW w:w="2500" w:type="dxa"/>
            <w:vAlign w:val="bottom"/>
            <w:shd w:val="clear" w:color="auto" w:fill="4DC1E4"/>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80" w:type="dxa"/>
            <w:vAlign w:val="bottom"/>
            <w:shd w:val="clear" w:color="auto" w:fill="4DC1E4"/>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4DC1E4"/>
          </w:tcPr>
          <w:p>
            <w:pPr>
              <w:spacing w:after="0" w:line="20" w:lineRule="exact"/>
              <w:rPr>
                <w:sz w:val="1"/>
                <w:szCs w:val="1"/>
                <w:color w:val="auto"/>
              </w:rPr>
            </w:pPr>
          </w:p>
        </w:tc>
      </w:tr>
      <w:tr>
        <w:trPr>
          <w:trHeight w:val="191"/>
        </w:trPr>
        <w:tc>
          <w:tcPr>
            <w:tcW w:w="514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Carole S. Ben-Maimon, M.D.</w:t>
            </w:r>
          </w:p>
        </w:tc>
        <w:tc>
          <w:tcPr>
            <w:tcW w:w="310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2780" w:type="dxa"/>
            <w:vAlign w:val="bottom"/>
            <w:gridSpan w:val="3"/>
          </w:tcPr>
          <w:p>
            <w:pPr>
              <w:jc w:val="right"/>
              <w:ind w:right="220"/>
              <w:spacing w:after="0" w:line="191" w:lineRule="exact"/>
              <w:rPr>
                <w:sz w:val="20"/>
                <w:szCs w:val="20"/>
                <w:color w:val="auto"/>
              </w:rPr>
            </w:pPr>
            <w:r>
              <w:rPr>
                <w:rFonts w:ascii="Times New Roman" w:cs="Times New Roman" w:eastAsia="Times New Roman" w:hAnsi="Times New Roman"/>
                <w:sz w:val="18"/>
                <w:szCs w:val="18"/>
                <w:color w:val="auto"/>
              </w:rPr>
              <w:t>63</w:t>
            </w:r>
          </w:p>
        </w:tc>
      </w:tr>
      <w:tr>
        <w:trPr>
          <w:trHeight w:val="234"/>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Celano</w:t>
            </w:r>
          </w:p>
        </w:tc>
        <w:tc>
          <w:tcPr>
            <w:tcW w:w="3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2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Carole S. Ben-Maimon, M.D. — </w:t>
      </w:r>
      <w:r>
        <w:rPr>
          <w:rFonts w:ascii="Times New Roman" w:cs="Times New Roman" w:eastAsia="Times New Roman" w:hAnsi="Times New Roman"/>
          <w:sz w:val="18"/>
          <w:szCs w:val="18"/>
          <w:color w:val="auto"/>
        </w:rPr>
        <w:t>For biographical information for Carole S. Ben-Maimon, M.D., see “Board of Directors—Continuing Directors.”</w:t>
      </w:r>
    </w:p>
    <w:p>
      <w:pPr>
        <w:spacing w:after="0" w:line="225"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Michael Celano </w:t>
      </w:r>
      <w:r>
        <w:rPr>
          <w:rFonts w:ascii="Times New Roman" w:cs="Times New Roman" w:eastAsia="Times New Roman" w:hAnsi="Times New Roman"/>
          <w:sz w:val="18"/>
          <w:szCs w:val="18"/>
          <w:color w:val="auto"/>
        </w:rPr>
        <w:t>has served as our Chief Financial Officer since May 2020 and as our Secretary since April 2021. Prior to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Celano served as the Chief Financial Officer of The Columbus Organization, a provider of services for individuals with intellectual and developmental disabilities, since January 2020. From May 2019 to January 2020, Mr. Celano performed consulting work. Mr. Celano has also served as the Chairman of the Board of Directors of OraSure Technologies, Inc. (“OraSure”), a publicly-traded company, specializing in point-of-care diagnostic tests and specimen collection devices, since April 2018. Before his appointment as Chairman of the Board of OraSure, Mr. Celano served as a director for OraSure since October 2006. From January 2018 to May 2019, Mr. Celano served as the Chief Operating Officer of Recro Pharma, Inc. (“Recro”), and from July 2016 to January 2018, Mr. Celano served as Chief Financial Officer of Recro. Between 2015 and June 2016 Mr. Celano was self-employed providing consulting services to healthcare companies. From 2013 to 2015, Mr. Celano served as Chief Financial Officer of DrugScan, Inc., a clinical laboratory services company. Prior to that, Mr. Celano served as the Chief Financial Officer of Kensey Nash Corporation, a biomaterials company, from 2009 to 2012. From 2007 to 2008, Mr. Celano also served as Chief Financial Officer for BioRexis Pharmaceutical Corporation (“BioRexis”), a biopharmaceutical company. Before joining BioRexis, Mr. Celano served as a partner with KPMG LLP (“KPMG”) where he</w:t>
      </w:r>
    </w:p>
    <w:p>
      <w:pPr>
        <w:spacing w:after="0" w:line="6"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was co-leader of its National Life Science Practice. Mr. Celano also was co-leader of the Life Science Practice for Arthur Andersen LLP before he joined KPMG. Mr. Celano previously served on the board of directors of Performance Health, a consumer health care product manufacturing company from 2015 to 2016. Mr. Celano holds a B.S. in Accounting from St. Joseph’s University.</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21</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named executive officers. In 2021, our named executive officers were:</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Carole S. Ben-Maimon, our President and Chief Executive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Celano, our Chief Financial Officer and Secretary.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2021 named executive officers during the fiscal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gridSpan w:val="2"/>
            <w:vMerge w:val="restart"/>
            <w:shd w:val="clear" w:color="auto" w:fill="4DC1E4"/>
          </w:tcPr>
          <w:p>
            <w:pPr>
              <w:spacing w:after="0"/>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AME AND</w:t>
            </w:r>
            <w:r>
              <w:rPr>
                <w:rFonts w:ascii="Times New Roman" w:cs="Times New Roman" w:eastAsia="Times New Roman" w:hAnsi="Times New Roman"/>
                <w:sz w:val="14"/>
                <w:szCs w:val="14"/>
                <w:b w:val="1"/>
                <w:bCs w:val="1"/>
                <w:color w:val="FFFFFF"/>
              </w:rPr>
              <w:t xml:space="preserve"> P</w:t>
            </w:r>
            <w:r>
              <w:rPr>
                <w:rFonts w:ascii="Times New Roman" w:cs="Times New Roman" w:eastAsia="Times New Roman" w:hAnsi="Times New Roman"/>
                <w:sz w:val="11"/>
                <w:szCs w:val="11"/>
                <w:b w:val="1"/>
                <w:bCs w:val="1"/>
                <w:color w:val="FFFFFF"/>
              </w:rPr>
              <w:t>RINCIPAL</w:t>
            </w:r>
          </w:p>
        </w:tc>
        <w:tc>
          <w:tcPr>
            <w:tcW w:w="380" w:type="dxa"/>
            <w:vAlign w:val="bottom"/>
            <w:shd w:val="clear" w:color="auto" w:fill="4DC1E4"/>
          </w:tcPr>
          <w:p>
            <w:pPr>
              <w:spacing w:after="0"/>
              <w:rPr>
                <w:sz w:val="13"/>
                <w:szCs w:val="13"/>
                <w:color w:val="auto"/>
              </w:rPr>
            </w:pPr>
          </w:p>
        </w:tc>
        <w:tc>
          <w:tcPr>
            <w:tcW w:w="420" w:type="dxa"/>
            <w:vAlign w:val="bottom"/>
            <w:shd w:val="clear" w:color="auto" w:fill="4DC1E4"/>
          </w:tcPr>
          <w:p>
            <w:pPr>
              <w:spacing w:after="0"/>
              <w:rPr>
                <w:sz w:val="13"/>
                <w:szCs w:val="13"/>
                <w:color w:val="auto"/>
              </w:rPr>
            </w:pPr>
          </w:p>
        </w:tc>
        <w:tc>
          <w:tcPr>
            <w:tcW w:w="760" w:type="dxa"/>
            <w:vAlign w:val="bottom"/>
            <w:gridSpan w:val="2"/>
            <w:vMerge w:val="restart"/>
            <w:shd w:val="clear" w:color="auto" w:fill="4DC1E4"/>
          </w:tcPr>
          <w:p>
            <w:pPr>
              <w:ind w:left="60"/>
              <w:spacing w:after="0"/>
              <w:rPr>
                <w:sz w:val="20"/>
                <w:szCs w:val="20"/>
                <w:color w:val="auto"/>
              </w:rPr>
            </w:pPr>
            <w:r>
              <w:rPr>
                <w:rFonts w:ascii="Times New Roman" w:cs="Times New Roman" w:eastAsia="Times New Roman" w:hAnsi="Times New Roman"/>
                <w:sz w:val="14"/>
                <w:szCs w:val="14"/>
                <w:b w:val="1"/>
                <w:bCs w:val="1"/>
                <w:color w:val="FFFFFF"/>
              </w:rPr>
              <w:t>S</w:t>
            </w:r>
            <w:r>
              <w:rPr>
                <w:rFonts w:ascii="Times New Roman" w:cs="Times New Roman" w:eastAsia="Times New Roman" w:hAnsi="Times New Roman"/>
                <w:sz w:val="11"/>
                <w:szCs w:val="11"/>
                <w:b w:val="1"/>
                <w:bCs w:val="1"/>
                <w:color w:val="FFFFFF"/>
              </w:rPr>
              <w:t>ALARY</w:t>
            </w:r>
          </w:p>
        </w:tc>
        <w:tc>
          <w:tcPr>
            <w:tcW w:w="80" w:type="dxa"/>
            <w:vAlign w:val="bottom"/>
            <w:shd w:val="clear" w:color="auto" w:fill="4DC1E4"/>
          </w:tcPr>
          <w:p>
            <w:pPr>
              <w:spacing w:after="0"/>
              <w:rPr>
                <w:sz w:val="13"/>
                <w:szCs w:val="13"/>
                <w:color w:val="auto"/>
              </w:rPr>
            </w:pPr>
          </w:p>
        </w:tc>
        <w:tc>
          <w:tcPr>
            <w:tcW w:w="840" w:type="dxa"/>
            <w:vAlign w:val="bottom"/>
            <w:gridSpan w:val="2"/>
            <w:vMerge w:val="restart"/>
            <w:shd w:val="clear" w:color="auto" w:fill="4DC1E4"/>
          </w:tcPr>
          <w:p>
            <w:pPr>
              <w:ind w:left="20"/>
              <w:spacing w:after="0"/>
              <w:rPr>
                <w:sz w:val="20"/>
                <w:szCs w:val="20"/>
                <w:color w:val="auto"/>
              </w:rPr>
            </w:pPr>
            <w:r>
              <w:rPr>
                <w:rFonts w:ascii="Times New Roman" w:cs="Times New Roman" w:eastAsia="Times New Roman" w:hAnsi="Times New Roman"/>
                <w:sz w:val="14"/>
                <w:szCs w:val="14"/>
                <w:b w:val="1"/>
                <w:bCs w:val="1"/>
                <w:color w:val="FFFFFF"/>
              </w:rPr>
              <w:t>B</w:t>
            </w:r>
            <w:r>
              <w:rPr>
                <w:rFonts w:ascii="Times New Roman" w:cs="Times New Roman" w:eastAsia="Times New Roman" w:hAnsi="Times New Roman"/>
                <w:sz w:val="11"/>
                <w:szCs w:val="11"/>
                <w:b w:val="1"/>
                <w:bCs w:val="1"/>
                <w:color w:val="FFFFFF"/>
              </w:rPr>
              <w:t>ONUS</w:t>
            </w:r>
          </w:p>
        </w:tc>
        <w:tc>
          <w:tcPr>
            <w:tcW w:w="120" w:type="dxa"/>
            <w:vAlign w:val="bottom"/>
            <w:shd w:val="clear" w:color="auto" w:fill="4DC1E4"/>
          </w:tcPr>
          <w:p>
            <w:pPr>
              <w:spacing w:after="0"/>
              <w:rPr>
                <w:sz w:val="13"/>
                <w:szCs w:val="13"/>
                <w:color w:val="auto"/>
              </w:rPr>
            </w:pPr>
          </w:p>
        </w:tc>
        <w:tc>
          <w:tcPr>
            <w:tcW w:w="740" w:type="dxa"/>
            <w:vAlign w:val="bottom"/>
            <w:shd w:val="clear" w:color="auto" w:fill="4DC1E4"/>
          </w:tcPr>
          <w:p>
            <w:pPr>
              <w:jc w:val="right"/>
              <w:ind w:right="45"/>
              <w:spacing w:after="0"/>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w:t>
            </w:r>
          </w:p>
        </w:tc>
        <w:tc>
          <w:tcPr>
            <w:tcW w:w="240" w:type="dxa"/>
            <w:vAlign w:val="bottom"/>
            <w:shd w:val="clear" w:color="auto" w:fill="4DC1E4"/>
          </w:tcPr>
          <w:p>
            <w:pPr>
              <w:spacing w:after="0"/>
              <w:rPr>
                <w:sz w:val="13"/>
                <w:szCs w:val="13"/>
                <w:color w:val="auto"/>
              </w:rPr>
            </w:pPr>
          </w:p>
        </w:tc>
        <w:tc>
          <w:tcPr>
            <w:tcW w:w="100" w:type="dxa"/>
            <w:vAlign w:val="bottom"/>
            <w:shd w:val="clear" w:color="auto" w:fill="4DC1E4"/>
          </w:tcPr>
          <w:p>
            <w:pPr>
              <w:spacing w:after="0"/>
              <w:rPr>
                <w:sz w:val="13"/>
                <w:szCs w:val="13"/>
                <w:color w:val="auto"/>
              </w:rPr>
            </w:pPr>
          </w:p>
        </w:tc>
        <w:tc>
          <w:tcPr>
            <w:tcW w:w="1040" w:type="dxa"/>
            <w:vAlign w:val="bottom"/>
            <w:gridSpan w:val="2"/>
            <w:shd w:val="clear" w:color="auto" w:fill="4DC1E4"/>
          </w:tcPr>
          <w:p>
            <w:pPr>
              <w:jc w:val="right"/>
              <w:ind w:right="260"/>
              <w:spacing w:after="0"/>
              <w:rPr>
                <w:sz w:val="20"/>
                <w:szCs w:val="20"/>
                <w:color w:val="auto"/>
              </w:rPr>
            </w:pPr>
            <w:r>
              <w:rPr>
                <w:rFonts w:ascii="Times New Roman" w:cs="Times New Roman" w:eastAsia="Times New Roman" w:hAnsi="Times New Roman"/>
                <w:sz w:val="14"/>
                <w:szCs w:val="14"/>
                <w:b w:val="1"/>
                <w:bCs w:val="1"/>
                <w:color w:val="FFFFFF"/>
              </w:rPr>
              <w:t>A</w:t>
            </w:r>
            <w:r>
              <w:rPr>
                <w:rFonts w:ascii="Times New Roman" w:cs="Times New Roman" w:eastAsia="Times New Roman" w:hAnsi="Times New Roman"/>
                <w:sz w:val="11"/>
                <w:szCs w:val="11"/>
                <w:b w:val="1"/>
                <w:bCs w:val="1"/>
                <w:color w:val="FFFFFF"/>
              </w:rPr>
              <w:t>LL</w:t>
            </w:r>
            <w:r>
              <w:rPr>
                <w:rFonts w:ascii="Times New Roman" w:cs="Times New Roman" w:eastAsia="Times New Roman" w:hAnsi="Times New Roman"/>
                <w:sz w:val="14"/>
                <w:szCs w:val="14"/>
                <w:b w:val="1"/>
                <w:bCs w:val="1"/>
                <w:color w:val="FFFFFF"/>
              </w:rPr>
              <w:t xml:space="preserve"> O</w:t>
            </w:r>
            <w:r>
              <w:rPr>
                <w:rFonts w:ascii="Times New Roman" w:cs="Times New Roman" w:eastAsia="Times New Roman" w:hAnsi="Times New Roman"/>
                <w:sz w:val="11"/>
                <w:szCs w:val="11"/>
                <w:b w:val="1"/>
                <w:bCs w:val="1"/>
                <w:color w:val="FFFFFF"/>
              </w:rPr>
              <w:t>THER</w:t>
            </w:r>
          </w:p>
        </w:tc>
        <w:tc>
          <w:tcPr>
            <w:tcW w:w="120" w:type="dxa"/>
            <w:vAlign w:val="bottom"/>
            <w:shd w:val="clear" w:color="auto" w:fill="4DC1E4"/>
          </w:tcPr>
          <w:p>
            <w:pPr>
              <w:spacing w:after="0"/>
              <w:rPr>
                <w:sz w:val="13"/>
                <w:szCs w:val="13"/>
                <w:color w:val="auto"/>
              </w:rPr>
            </w:pPr>
          </w:p>
        </w:tc>
        <w:tc>
          <w:tcPr>
            <w:tcW w:w="780" w:type="dxa"/>
            <w:vAlign w:val="bottom"/>
            <w:gridSpan w:val="2"/>
            <w:vMerge w:val="restart"/>
            <w:shd w:val="clear" w:color="auto" w:fill="4DC1E4"/>
          </w:tcPr>
          <w:p>
            <w:pPr>
              <w:ind w:left="160"/>
              <w:spacing w:after="0"/>
              <w:rPr>
                <w:sz w:val="20"/>
                <w:szCs w:val="20"/>
                <w:color w:val="auto"/>
              </w:rPr>
            </w:pPr>
            <w:r>
              <w:rPr>
                <w:rFonts w:ascii="Times New Roman" w:cs="Times New Roman" w:eastAsia="Times New Roman" w:hAnsi="Times New Roman"/>
                <w:sz w:val="14"/>
                <w:szCs w:val="14"/>
                <w:b w:val="1"/>
                <w:bCs w:val="1"/>
                <w:color w:val="FFFFFF"/>
              </w:rPr>
              <w:t>T</w:t>
            </w:r>
            <w:r>
              <w:rPr>
                <w:rFonts w:ascii="Times New Roman" w:cs="Times New Roman" w:eastAsia="Times New Roman" w:hAnsi="Times New Roman"/>
                <w:sz w:val="11"/>
                <w:szCs w:val="11"/>
                <w:b w:val="1"/>
                <w:bCs w:val="1"/>
                <w:color w:val="FFFFFF"/>
              </w:rPr>
              <w:t>OTAL</w:t>
            </w:r>
          </w:p>
        </w:tc>
        <w:tc>
          <w:tcPr>
            <w:tcW w:w="0" w:type="dxa"/>
            <w:vAlign w:val="bottom"/>
          </w:tcPr>
          <w:p>
            <w:pPr>
              <w:spacing w:after="0"/>
              <w:rPr>
                <w:sz w:val="1"/>
                <w:szCs w:val="1"/>
                <w:color w:val="auto"/>
              </w:rPr>
            </w:pPr>
          </w:p>
        </w:tc>
      </w:tr>
      <w:tr>
        <w:trPr>
          <w:trHeight w:val="146"/>
        </w:trPr>
        <w:tc>
          <w:tcPr>
            <w:tcW w:w="5400" w:type="dxa"/>
            <w:vAlign w:val="bottom"/>
            <w:gridSpan w:val="2"/>
            <w:vMerge w:val="continue"/>
            <w:shd w:val="clear" w:color="auto" w:fill="4DC1E4"/>
          </w:tcPr>
          <w:p>
            <w:pPr>
              <w:spacing w:after="0"/>
              <w:rPr>
                <w:sz w:val="12"/>
                <w:szCs w:val="12"/>
                <w:color w:val="auto"/>
              </w:rPr>
            </w:pPr>
          </w:p>
        </w:tc>
        <w:tc>
          <w:tcPr>
            <w:tcW w:w="800" w:type="dxa"/>
            <w:vAlign w:val="bottom"/>
            <w:gridSpan w:val="2"/>
            <w:vMerge w:val="restart"/>
            <w:shd w:val="clear" w:color="auto" w:fill="4DC1E4"/>
          </w:tcPr>
          <w:p>
            <w:pPr>
              <w:ind w:left="20"/>
              <w:spacing w:after="0"/>
              <w:rPr>
                <w:sz w:val="20"/>
                <w:szCs w:val="20"/>
                <w:color w:val="auto"/>
              </w:rPr>
            </w:pPr>
            <w:r>
              <w:rPr>
                <w:rFonts w:ascii="Times New Roman" w:cs="Times New Roman" w:eastAsia="Times New Roman" w:hAnsi="Times New Roman"/>
                <w:sz w:val="14"/>
                <w:szCs w:val="14"/>
                <w:b w:val="1"/>
                <w:bCs w:val="1"/>
                <w:color w:val="FFFFFF"/>
              </w:rPr>
              <w:t>Y</w:t>
            </w:r>
            <w:r>
              <w:rPr>
                <w:rFonts w:ascii="Times New Roman" w:cs="Times New Roman" w:eastAsia="Times New Roman" w:hAnsi="Times New Roman"/>
                <w:sz w:val="11"/>
                <w:szCs w:val="11"/>
                <w:b w:val="1"/>
                <w:bCs w:val="1"/>
                <w:color w:val="FFFFFF"/>
              </w:rPr>
              <w:t>EAR</w:t>
            </w:r>
          </w:p>
        </w:tc>
        <w:tc>
          <w:tcPr>
            <w:tcW w:w="760" w:type="dxa"/>
            <w:vAlign w:val="bottom"/>
            <w:gridSpan w:val="2"/>
            <w:vMerge w:val="continue"/>
            <w:shd w:val="clear" w:color="auto" w:fill="4DC1E4"/>
          </w:tcPr>
          <w:p>
            <w:pPr>
              <w:spacing w:after="0"/>
              <w:rPr>
                <w:sz w:val="12"/>
                <w:szCs w:val="12"/>
                <w:color w:val="auto"/>
              </w:rPr>
            </w:pPr>
          </w:p>
        </w:tc>
        <w:tc>
          <w:tcPr>
            <w:tcW w:w="80" w:type="dxa"/>
            <w:vAlign w:val="bottom"/>
            <w:shd w:val="clear" w:color="auto" w:fill="4DC1E4"/>
          </w:tcPr>
          <w:p>
            <w:pPr>
              <w:spacing w:after="0"/>
              <w:rPr>
                <w:sz w:val="12"/>
                <w:szCs w:val="12"/>
                <w:color w:val="auto"/>
              </w:rPr>
            </w:pPr>
          </w:p>
        </w:tc>
        <w:tc>
          <w:tcPr>
            <w:tcW w:w="840" w:type="dxa"/>
            <w:vAlign w:val="bottom"/>
            <w:gridSpan w:val="2"/>
            <w:vMerge w:val="continue"/>
            <w:shd w:val="clear" w:color="auto" w:fill="4DC1E4"/>
          </w:tcPr>
          <w:p>
            <w:pPr>
              <w:spacing w:after="0"/>
              <w:rPr>
                <w:sz w:val="12"/>
                <w:szCs w:val="12"/>
                <w:color w:val="auto"/>
              </w:rPr>
            </w:pPr>
          </w:p>
        </w:tc>
        <w:tc>
          <w:tcPr>
            <w:tcW w:w="120" w:type="dxa"/>
            <w:vAlign w:val="bottom"/>
            <w:shd w:val="clear" w:color="auto" w:fill="4DC1E4"/>
          </w:tcPr>
          <w:p>
            <w:pPr>
              <w:spacing w:after="0"/>
              <w:rPr>
                <w:sz w:val="12"/>
                <w:szCs w:val="12"/>
                <w:color w:val="auto"/>
              </w:rPr>
            </w:pPr>
          </w:p>
        </w:tc>
        <w:tc>
          <w:tcPr>
            <w:tcW w:w="740" w:type="dxa"/>
            <w:vAlign w:val="bottom"/>
            <w:shd w:val="clear" w:color="auto" w:fill="4DC1E4"/>
          </w:tcPr>
          <w:p>
            <w:pPr>
              <w:jc w:val="right"/>
              <w:ind w:right="45"/>
              <w:spacing w:after="0" w:line="146" w:lineRule="exact"/>
              <w:rPr>
                <w:sz w:val="20"/>
                <w:szCs w:val="20"/>
                <w:color w:val="auto"/>
              </w:rPr>
            </w:pPr>
            <w:r>
              <w:rPr>
                <w:rFonts w:ascii="Times New Roman" w:cs="Times New Roman" w:eastAsia="Times New Roman" w:hAnsi="Times New Roman"/>
                <w:sz w:val="14"/>
                <w:szCs w:val="14"/>
                <w:b w:val="1"/>
                <w:bCs w:val="1"/>
                <w:color w:val="FFFFFF"/>
              </w:rPr>
              <w:t>A</w:t>
            </w:r>
            <w:r>
              <w:rPr>
                <w:rFonts w:ascii="Times New Roman" w:cs="Times New Roman" w:eastAsia="Times New Roman" w:hAnsi="Times New Roman"/>
                <w:sz w:val="11"/>
                <w:szCs w:val="11"/>
                <w:b w:val="1"/>
                <w:bCs w:val="1"/>
                <w:color w:val="FFFFFF"/>
              </w:rPr>
              <w:t>WARDS</w:t>
            </w:r>
          </w:p>
        </w:tc>
        <w:tc>
          <w:tcPr>
            <w:tcW w:w="240" w:type="dxa"/>
            <w:vAlign w:val="bottom"/>
            <w:shd w:val="clear" w:color="auto" w:fill="4DC1E4"/>
          </w:tcPr>
          <w:p>
            <w:pPr>
              <w:spacing w:after="0"/>
              <w:rPr>
                <w:sz w:val="12"/>
                <w:szCs w:val="12"/>
                <w:color w:val="auto"/>
              </w:rPr>
            </w:pPr>
          </w:p>
        </w:tc>
        <w:tc>
          <w:tcPr>
            <w:tcW w:w="1140" w:type="dxa"/>
            <w:vAlign w:val="bottom"/>
            <w:gridSpan w:val="3"/>
            <w:shd w:val="clear" w:color="auto" w:fill="4DC1E4"/>
          </w:tcPr>
          <w:p>
            <w:pPr>
              <w:spacing w:after="0" w:line="146" w:lineRule="exact"/>
              <w:rPr>
                <w:sz w:val="20"/>
                <w:szCs w:val="20"/>
                <w:color w:val="auto"/>
              </w:rPr>
            </w:pPr>
            <w:r>
              <w:rPr>
                <w:rFonts w:ascii="Times New Roman" w:cs="Times New Roman" w:eastAsia="Times New Roman" w:hAnsi="Times New Roman"/>
                <w:sz w:val="14"/>
                <w:szCs w:val="14"/>
                <w:b w:val="1"/>
                <w:bCs w:val="1"/>
                <w:color w:val="FFFFFF"/>
              </w:rPr>
              <w:t>C</w:t>
            </w:r>
            <w:r>
              <w:rPr>
                <w:rFonts w:ascii="Times New Roman" w:cs="Times New Roman" w:eastAsia="Times New Roman" w:hAnsi="Times New Roman"/>
                <w:sz w:val="11"/>
                <w:szCs w:val="11"/>
                <w:b w:val="1"/>
                <w:bCs w:val="1"/>
                <w:color w:val="FFFFFF"/>
              </w:rPr>
              <w:t>OMPENSATION</w:t>
            </w:r>
          </w:p>
        </w:tc>
        <w:tc>
          <w:tcPr>
            <w:tcW w:w="120" w:type="dxa"/>
            <w:vAlign w:val="bottom"/>
            <w:shd w:val="clear" w:color="auto" w:fill="4DC1E4"/>
          </w:tcPr>
          <w:p>
            <w:pPr>
              <w:spacing w:after="0"/>
              <w:rPr>
                <w:sz w:val="12"/>
                <w:szCs w:val="12"/>
                <w:color w:val="auto"/>
              </w:rPr>
            </w:pPr>
          </w:p>
        </w:tc>
        <w:tc>
          <w:tcPr>
            <w:tcW w:w="780" w:type="dxa"/>
            <w:vAlign w:val="bottom"/>
            <w:gridSpan w:val="2"/>
            <w:vMerge w:val="continue"/>
            <w:shd w:val="clear" w:color="auto" w:fill="4DC1E4"/>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shd w:val="clear" w:color="auto" w:fill="4DC1E4"/>
          </w:tcPr>
          <w:p>
            <w:pPr>
              <w:spacing w:after="0"/>
              <w:rPr>
                <w:sz w:val="20"/>
                <w:szCs w:val="20"/>
                <w:color w:val="auto"/>
              </w:rPr>
            </w:pPr>
            <w:r>
              <w:rPr>
                <w:rFonts w:ascii="Times New Roman" w:cs="Times New Roman" w:eastAsia="Times New Roman" w:hAnsi="Times New Roman"/>
                <w:sz w:val="14"/>
                <w:szCs w:val="14"/>
                <w:b w:val="1"/>
                <w:bCs w:val="1"/>
                <w:color w:val="FFFFFF"/>
              </w:rPr>
              <w:t>P</w:t>
            </w:r>
            <w:r>
              <w:rPr>
                <w:rFonts w:ascii="Times New Roman" w:cs="Times New Roman" w:eastAsia="Times New Roman" w:hAnsi="Times New Roman"/>
                <w:sz w:val="11"/>
                <w:szCs w:val="11"/>
                <w:b w:val="1"/>
                <w:bCs w:val="1"/>
                <w:color w:val="FFFFFF"/>
              </w:rPr>
              <w:t>OSITION</w:t>
            </w:r>
          </w:p>
        </w:tc>
        <w:tc>
          <w:tcPr>
            <w:tcW w:w="4060" w:type="dxa"/>
            <w:vAlign w:val="bottom"/>
            <w:tcBorders>
              <w:bottom w:val="single" w:sz="8" w:color="4DC1E4"/>
            </w:tcBorders>
            <w:shd w:val="clear" w:color="auto" w:fill="4DC1E4"/>
          </w:tcPr>
          <w:p>
            <w:pPr>
              <w:spacing w:after="0"/>
              <w:rPr>
                <w:sz w:val="15"/>
                <w:szCs w:val="15"/>
                <w:color w:val="auto"/>
              </w:rPr>
            </w:pPr>
          </w:p>
        </w:tc>
        <w:tc>
          <w:tcPr>
            <w:tcW w:w="800" w:type="dxa"/>
            <w:vAlign w:val="bottom"/>
            <w:tcBorders>
              <w:bottom w:val="single" w:sz="8" w:color="4DC1E4"/>
            </w:tcBorders>
            <w:gridSpan w:val="2"/>
            <w:vMerge w:val="continue"/>
            <w:shd w:val="clear" w:color="auto" w:fill="4DC1E4"/>
          </w:tcPr>
          <w:p>
            <w:pPr>
              <w:spacing w:after="0"/>
              <w:rPr>
                <w:sz w:val="15"/>
                <w:szCs w:val="15"/>
                <w:color w:val="auto"/>
              </w:rPr>
            </w:pPr>
          </w:p>
        </w:tc>
        <w:tc>
          <w:tcPr>
            <w:tcW w:w="62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4"/>
                <w:szCs w:val="14"/>
                <w:b w:val="1"/>
                <w:bCs w:val="1"/>
                <w:color w:val="FFFFFF"/>
              </w:rPr>
              <w:t>($)</w:t>
            </w:r>
          </w:p>
        </w:tc>
        <w:tc>
          <w:tcPr>
            <w:tcW w:w="140" w:type="dxa"/>
            <w:vAlign w:val="bottom"/>
            <w:tcBorders>
              <w:bottom w:val="single" w:sz="8" w:color="4DC1E4"/>
            </w:tcBorders>
            <w:shd w:val="clear" w:color="auto" w:fill="4DC1E4"/>
          </w:tcPr>
          <w:p>
            <w:pPr>
              <w:spacing w:after="0"/>
              <w:rPr>
                <w:sz w:val="15"/>
                <w:szCs w:val="15"/>
                <w:color w:val="auto"/>
              </w:rPr>
            </w:pPr>
          </w:p>
        </w:tc>
        <w:tc>
          <w:tcPr>
            <w:tcW w:w="80" w:type="dxa"/>
            <w:vAlign w:val="bottom"/>
            <w:tcBorders>
              <w:bottom w:val="single" w:sz="8" w:color="4DC1E4"/>
            </w:tcBorders>
            <w:shd w:val="clear" w:color="auto" w:fill="4DC1E4"/>
          </w:tcPr>
          <w:p>
            <w:pPr>
              <w:spacing w:after="0"/>
              <w:rPr>
                <w:sz w:val="15"/>
                <w:szCs w:val="15"/>
                <w:color w:val="auto"/>
              </w:rPr>
            </w:pPr>
          </w:p>
        </w:tc>
        <w:tc>
          <w:tcPr>
            <w:tcW w:w="520" w:type="dxa"/>
            <w:vAlign w:val="bottom"/>
            <w:tcBorders>
              <w:bottom w:val="single" w:sz="8" w:color="4DC1E4"/>
            </w:tcBorders>
            <w:shd w:val="clear" w:color="auto" w:fill="4DC1E4"/>
          </w:tcPr>
          <w:p>
            <w:pPr>
              <w:jc w:val="right"/>
              <w:ind w:right="142"/>
              <w:spacing w:after="0"/>
              <w:rPr>
                <w:sz w:val="20"/>
                <w:szCs w:val="20"/>
                <w:color w:val="auto"/>
              </w:rPr>
            </w:pPr>
            <w:r>
              <w:rPr>
                <w:rFonts w:ascii="Times New Roman" w:cs="Times New Roman" w:eastAsia="Times New Roman" w:hAnsi="Times New Roman"/>
                <w:sz w:val="14"/>
                <w:szCs w:val="14"/>
                <w:b w:val="1"/>
                <w:bCs w:val="1"/>
                <w:color w:val="FFFFFF"/>
              </w:rPr>
              <w:t>($)</w:t>
            </w:r>
          </w:p>
        </w:tc>
        <w:tc>
          <w:tcPr>
            <w:tcW w:w="320" w:type="dxa"/>
            <w:vAlign w:val="bottom"/>
            <w:tcBorders>
              <w:bottom w:val="single" w:sz="8" w:color="4DC1E4"/>
            </w:tcBorders>
            <w:shd w:val="clear" w:color="auto" w:fill="4DC1E4"/>
          </w:tcPr>
          <w:p>
            <w:pPr>
              <w:spacing w:after="0"/>
              <w:rPr>
                <w:sz w:val="15"/>
                <w:szCs w:val="15"/>
                <w:color w:val="auto"/>
              </w:rPr>
            </w:pPr>
          </w:p>
        </w:tc>
        <w:tc>
          <w:tcPr>
            <w:tcW w:w="860" w:type="dxa"/>
            <w:vAlign w:val="bottom"/>
            <w:tcBorders>
              <w:bottom w:val="single" w:sz="8" w:color="4DC1E4"/>
            </w:tcBorders>
            <w:gridSpan w:val="2"/>
            <w:shd w:val="clear" w:color="auto" w:fill="4DC1E4"/>
          </w:tcPr>
          <w:p>
            <w:pPr>
              <w:jc w:val="center"/>
              <w:ind w:left="41"/>
              <w:spacing w:after="0"/>
              <w:rPr>
                <w:sz w:val="20"/>
                <w:szCs w:val="20"/>
                <w:color w:val="auto"/>
              </w:rPr>
            </w:pPr>
            <w:r>
              <w:rPr>
                <w:rFonts w:ascii="Times New Roman" w:cs="Times New Roman" w:eastAsia="Times New Roman" w:hAnsi="Times New Roman"/>
                <w:sz w:val="14"/>
                <w:szCs w:val="14"/>
                <w:b w:val="1"/>
                <w:bCs w:val="1"/>
                <w:color w:val="FFFFFF"/>
              </w:rPr>
              <w:t>($) (1)</w:t>
            </w:r>
          </w:p>
        </w:tc>
        <w:tc>
          <w:tcPr>
            <w:tcW w:w="240" w:type="dxa"/>
            <w:vAlign w:val="bottom"/>
            <w:tcBorders>
              <w:bottom w:val="single" w:sz="8" w:color="4DC1E4"/>
            </w:tcBorders>
            <w:shd w:val="clear" w:color="auto" w:fill="4DC1E4"/>
          </w:tcPr>
          <w:p>
            <w:pPr>
              <w:spacing w:after="0"/>
              <w:rPr>
                <w:sz w:val="15"/>
                <w:szCs w:val="15"/>
                <w:color w:val="auto"/>
              </w:rPr>
            </w:pPr>
          </w:p>
        </w:tc>
        <w:tc>
          <w:tcPr>
            <w:tcW w:w="100" w:type="dxa"/>
            <w:vAlign w:val="bottom"/>
            <w:tcBorders>
              <w:bottom w:val="single" w:sz="8" w:color="4DC1E4"/>
            </w:tcBorders>
            <w:shd w:val="clear" w:color="auto" w:fill="4DC1E4"/>
          </w:tcPr>
          <w:p>
            <w:pPr>
              <w:spacing w:after="0"/>
              <w:rPr>
                <w:sz w:val="15"/>
                <w:szCs w:val="15"/>
                <w:color w:val="auto"/>
              </w:rPr>
            </w:pPr>
          </w:p>
        </w:tc>
        <w:tc>
          <w:tcPr>
            <w:tcW w:w="900" w:type="dxa"/>
            <w:vAlign w:val="bottom"/>
            <w:tcBorders>
              <w:bottom w:val="single" w:sz="8" w:color="4DC1E4"/>
            </w:tcBorders>
            <w:shd w:val="clear" w:color="auto" w:fill="4DC1E4"/>
          </w:tcPr>
          <w:p>
            <w:pPr>
              <w:jc w:val="right"/>
              <w:ind w:right="342"/>
              <w:spacing w:after="0"/>
              <w:rPr>
                <w:sz w:val="20"/>
                <w:szCs w:val="20"/>
                <w:color w:val="auto"/>
              </w:rPr>
            </w:pPr>
            <w:r>
              <w:rPr>
                <w:rFonts w:ascii="Times New Roman" w:cs="Times New Roman" w:eastAsia="Times New Roman" w:hAnsi="Times New Roman"/>
                <w:sz w:val="14"/>
                <w:szCs w:val="14"/>
                <w:b w:val="1"/>
                <w:bCs w:val="1"/>
                <w:color w:val="FFFFFF"/>
              </w:rPr>
              <w:t>($)</w:t>
            </w:r>
          </w:p>
        </w:tc>
        <w:tc>
          <w:tcPr>
            <w:tcW w:w="140" w:type="dxa"/>
            <w:vAlign w:val="bottom"/>
            <w:tcBorders>
              <w:bottom w:val="single" w:sz="8" w:color="4DC1E4"/>
            </w:tcBorders>
            <w:shd w:val="clear" w:color="auto" w:fill="4DC1E4"/>
          </w:tcPr>
          <w:p>
            <w:pPr>
              <w:spacing w:after="0"/>
              <w:rPr>
                <w:sz w:val="15"/>
                <w:szCs w:val="15"/>
                <w:color w:val="auto"/>
              </w:rPr>
            </w:pPr>
          </w:p>
        </w:tc>
        <w:tc>
          <w:tcPr>
            <w:tcW w:w="860" w:type="dxa"/>
            <w:vAlign w:val="bottom"/>
            <w:tcBorders>
              <w:bottom w:val="single" w:sz="8" w:color="4DC1E4"/>
            </w:tcBorders>
            <w:gridSpan w:val="2"/>
            <w:shd w:val="clear" w:color="auto" w:fill="4DC1E4"/>
          </w:tcPr>
          <w:p>
            <w:pPr>
              <w:jc w:val="center"/>
              <w:ind w:left="41"/>
              <w:spacing w:after="0"/>
              <w:rPr>
                <w:sz w:val="20"/>
                <w:szCs w:val="20"/>
                <w:color w:val="auto"/>
              </w:rPr>
            </w:pPr>
            <w:r>
              <w:rPr>
                <w:rFonts w:ascii="Times New Roman" w:cs="Times New Roman" w:eastAsia="Times New Roman" w:hAnsi="Times New Roman"/>
                <w:sz w:val="14"/>
                <w:szCs w:val="14"/>
                <w:b w:val="1"/>
                <w:bCs w:val="1"/>
                <w:color w:val="FFFFFF"/>
              </w:rPr>
              <w:t>($)</w:t>
            </w:r>
          </w:p>
        </w:tc>
        <w:tc>
          <w:tcPr>
            <w:tcW w:w="40" w:type="dxa"/>
            <w:vAlign w:val="bottom"/>
            <w:tcBorders>
              <w:bottom w:val="single" w:sz="8" w:color="4DC1E4"/>
            </w:tcBorders>
            <w:shd w:val="clear" w:color="auto" w:fill="4DC1E4"/>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0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rPr>
              <w:t>Carole S. Ben-Maimon</w:t>
            </w:r>
          </w:p>
        </w:tc>
        <w:tc>
          <w:tcPr>
            <w:tcW w:w="380" w:type="dxa"/>
            <w:vAlign w:val="bottom"/>
            <w:tcBorders>
              <w:top w:val="single" w:sz="8" w:color="auto"/>
            </w:tcBorders>
          </w:tcPr>
          <w:p>
            <w:pPr>
              <w:ind w:left="60"/>
              <w:spacing w:after="0" w:line="174" w:lineRule="exact"/>
              <w:rPr>
                <w:sz w:val="20"/>
                <w:szCs w:val="20"/>
                <w:color w:val="auto"/>
              </w:rPr>
            </w:pPr>
            <w:r>
              <w:rPr>
                <w:rFonts w:ascii="Times New Roman" w:cs="Times New Roman" w:eastAsia="Times New Roman" w:hAnsi="Times New Roman"/>
                <w:sz w:val="16"/>
                <w:szCs w:val="16"/>
                <w:color w:val="auto"/>
                <w:w w:val="93"/>
              </w:rPr>
              <w:t>2021</w:t>
            </w:r>
          </w:p>
        </w:tc>
        <w:tc>
          <w:tcPr>
            <w:tcW w:w="420" w:type="dxa"/>
            <w:vAlign w:val="bottom"/>
          </w:tcPr>
          <w:p>
            <w:pPr>
              <w:spacing w:after="0"/>
              <w:rPr>
                <w:sz w:val="15"/>
                <w:szCs w:val="15"/>
                <w:color w:val="auto"/>
              </w:rPr>
            </w:pPr>
          </w:p>
        </w:tc>
        <w:tc>
          <w:tcPr>
            <w:tcW w:w="62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rPr>
              <w:t>$510,000</w:t>
            </w:r>
          </w:p>
        </w:tc>
        <w:tc>
          <w:tcPr>
            <w:tcW w:w="140" w:type="dxa"/>
            <w:vAlign w:val="bottom"/>
          </w:tcPr>
          <w:p>
            <w:pPr>
              <w:spacing w:after="0"/>
              <w:rPr>
                <w:sz w:val="15"/>
                <w:szCs w:val="15"/>
                <w:color w:val="auto"/>
              </w:rPr>
            </w:pPr>
          </w:p>
        </w:tc>
        <w:tc>
          <w:tcPr>
            <w:tcW w:w="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w w:val="96"/>
              </w:rPr>
              <w:t>140,250</w:t>
            </w:r>
          </w:p>
        </w:tc>
        <w:tc>
          <w:tcPr>
            <w:tcW w:w="320" w:type="dxa"/>
            <w:vAlign w:val="bottom"/>
          </w:tcPr>
          <w:p>
            <w:pPr>
              <w:jc w:val="right"/>
              <w:ind w:right="39"/>
              <w:spacing w:after="0" w:line="174" w:lineRule="exact"/>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Pr>
          <w:p>
            <w:pPr>
              <w:spacing w:after="0"/>
              <w:rPr>
                <w:sz w:val="15"/>
                <w:szCs w:val="15"/>
                <w:color w:val="auto"/>
              </w:rPr>
            </w:pPr>
          </w:p>
        </w:tc>
        <w:tc>
          <w:tcPr>
            <w:tcW w:w="7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rPr>
              <w:t>$1,570,389</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13,184(3)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rPr>
              <w:t>$2,233,823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2020(4)</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$267,626</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272,600(5)</w:t>
            </w:r>
          </w:p>
        </w:tc>
        <w:tc>
          <w:tcPr>
            <w:tcW w:w="86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$4,718,552</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11,400(6)</w:t>
            </w:r>
          </w:p>
        </w:tc>
        <w:tc>
          <w:tcPr>
            <w:tcW w:w="86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$5,270,178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5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Michael Celano</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2021</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$366,000</w:t>
            </w: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70,455(2)</w:t>
            </w:r>
          </w:p>
        </w:tc>
        <w:tc>
          <w:tcPr>
            <w:tcW w:w="86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  618,148</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11,152(7)</w:t>
            </w:r>
          </w:p>
        </w:tc>
        <w:tc>
          <w:tcPr>
            <w:tcW w:w="86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$1,065,755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6"/>
                <w:szCs w:val="16"/>
                <w:i w:val="1"/>
                <w:iCs w:val="1"/>
                <w:color w:val="auto"/>
              </w:rPr>
              <w:t>Chief Financial Officer and Secretary</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2020(8)</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$205,513</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83,438(5)</w:t>
            </w:r>
          </w:p>
        </w:tc>
        <w:tc>
          <w:tcPr>
            <w:tcW w:w="86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$1,497,121</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4,667(9)</w:t>
            </w:r>
          </w:p>
        </w:tc>
        <w:tc>
          <w:tcPr>
            <w:tcW w:w="86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$1,790,739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8" w:lineRule="exact"/>
        <w:rPr>
          <w:sz w:val="20"/>
          <w:szCs w:val="20"/>
          <w:color w:val="auto"/>
        </w:rPr>
      </w:pPr>
    </w:p>
    <w:p>
      <w:pPr>
        <w:ind w:left="660" w:right="580" w:hanging="544"/>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determined in accordance with the FASB ASC Topic 718. The assumptions made in these valuations are included in Note 8 of the Notes to the Consolidated Financial Statements included in our 2021 Annual Report.</w:t>
      </w:r>
    </w:p>
    <w:p>
      <w:pPr>
        <w:ind w:left="660" w:hanging="544"/>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paid in February 2022 based upon 2021 performance, as approved by our Compensation Committee or Board, as applicable.</w:t>
      </w:r>
    </w:p>
    <w:p>
      <w:pPr>
        <w:spacing w:after="0" w:line="9" w:lineRule="exact"/>
        <w:rPr>
          <w:rFonts w:ascii="Times New Roman" w:cs="Times New Roman" w:eastAsia="Times New Roman" w:hAnsi="Times New Roman"/>
          <w:sz w:val="18"/>
          <w:szCs w:val="18"/>
          <w:color w:val="auto"/>
        </w:rPr>
      </w:pPr>
    </w:p>
    <w:p>
      <w:pPr>
        <w:ind w:left="660" w:right="120" w:hanging="544"/>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$11,600 and the value of group term life benefits provided by the Company of $1,584.</w:t>
      </w:r>
    </w:p>
    <w:p>
      <w:pPr>
        <w:ind w:left="660" w:right="40" w:hanging="544"/>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Ben-Maimon has served as our Chief Executive Officer since May 28, 2020. The compensation reported in this table for her does not include compensation paid by Chondrial prior to that date.</w:t>
      </w:r>
    </w:p>
    <w:p>
      <w:pPr>
        <w:ind w:left="660" w:hanging="544"/>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paid in February 2021 based upon 2020 performance, as approved by our Compensation Committee or Board, as applicable.</w:t>
      </w:r>
    </w:p>
    <w:p>
      <w:pPr>
        <w:spacing w:after="0" w:line="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Company’s contribution to a 401(k) plan, a defined contribution plan.</w:t>
      </w:r>
    </w:p>
    <w:p>
      <w:pPr>
        <w:spacing w:after="0" w:line="9" w:lineRule="exact"/>
        <w:rPr>
          <w:rFonts w:ascii="Times New Roman" w:cs="Times New Roman" w:eastAsia="Times New Roman" w:hAnsi="Times New Roman"/>
          <w:sz w:val="18"/>
          <w:szCs w:val="18"/>
          <w:color w:val="auto"/>
        </w:rPr>
      </w:pPr>
    </w:p>
    <w:p>
      <w:pPr>
        <w:ind w:left="660" w:right="200" w:hanging="544"/>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$8,649 and the value of group term life benefits provided by the Company of $2,503.</w:t>
      </w:r>
    </w:p>
    <w:p>
      <w:pPr>
        <w:ind w:left="660" w:hanging="544"/>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Celano commenced employment with us on May 28, 2020.</w:t>
      </w:r>
    </w:p>
    <w:p>
      <w:pPr>
        <w:spacing w:after="0" w:line="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Company’s contribution to a 401(k) plan, a defined contribution plan.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of our named executive officers generally consists of base salary, annual cash bonus opportunities, long term incentive compensation in the form of equity awards and other benefits, as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base salary payable to each named executive officer is intended to provide a fixed component of compensation reflecting the executive’s skill set, experience, role, responsibilities, and contributions. For 2021, Dr. Ben-Maimon’s annual base salary rate was $510,000 and Mr. Celano’s annual base salary rate was $366,000. In January 2022, the Compensation Committee or Board, as applicable, increased Dr. Ben-Maimon’s annual base salary rate to $527,850 and Mr. Celano’s annual base salary rate to $377,900.</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22</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EXECUTIVE COMPENSATION </w:t>
      </w:r>
      <w:r>
        <w:rPr>
          <w:rFonts w:ascii="Times New Roman" w:cs="Times New Roman" w:eastAsia="Times New Roman" w:hAnsi="Times New Roman"/>
          <w:sz w:val="18"/>
          <w:szCs w:val="18"/>
          <w:b w:val="1"/>
          <w:bCs w:val="1"/>
          <w:i w:val="1"/>
          <w:iCs w:val="1"/>
          <w:color w:val="auto"/>
        </w:rPr>
        <w:t>(continued)</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Cash and Equity Bonus Opportunities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Each of our named executive officers’ performance-based cash bonus opportunity is expressed as a percentage of base salary that can be achieved by meeting predetermined corporate and individual performance objectives. Our Compensation Committee annually approves the Chief Financial Officer’s bonus payout for the year, while the Board annually approves, upon recommendation from the Compensation Committee, the Chief Executive Officer’s bonus payout for the year.</w:t>
      </w:r>
    </w:p>
    <w:p>
      <w:pPr>
        <w:spacing w:after="0" w:line="180"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The 2021 annual bonuses for Dr. Ben-Maimon and Mr. Celano were targeted at 50% and 35% of their respective base salaries. For 2021, they were eligible to earn their annual bonuses pursuant to the achievement of corporate and/or individual performance goals. These goals primarily included removing the FDA’s clinical hold on the Company’s CTI-1601 clinical program, expanding the clinical pipeline, scaling up manufacturing capabilities and completing capital raising transactions. Following a review of the corporate goals attained in 2021, our Compensation Committee approved, and, in the case of Dr. Ben-Maimon, our Compensation Committee recommended and our Board approved: (1) 2021 annual cash bonus payments to each of Dr. Ben-Maimon and Mr. Celano in an amount equal to 55% of their respective target bonus amounts, totaling $140,250 and $70,455, respectively, and</w:t>
      </w:r>
    </w:p>
    <w:p>
      <w:pPr>
        <w:spacing w:after="0" w:line="5" w:lineRule="exact"/>
        <w:rPr>
          <w:sz w:val="20"/>
          <w:szCs w:val="20"/>
          <w:color w:val="auto"/>
        </w:rPr>
      </w:pPr>
    </w:p>
    <w:p>
      <w:pPr>
        <w:ind w:left="120" w:right="40" w:hanging="4"/>
        <w:spacing w:after="0" w:line="253"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annual equity bonuses to each of Dr. Ben-Maimon and Mr. Celano in the amount of 182,000 and 80,000 options to purchase shares of the Company’s common stock, respectively. Each of the options will vest 25% on the first anniversary of the grant date, with the remaining 75% vesting in equal monthly installments on the last day of each of the 36 calendar months immediately following such date, subject to the grantee’s continued service through the applicable vesting dates.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equity-based incentive awards are designed to align our interests and the interests of our stockholders with those of our named executive officers. Our Board or Compensation Committee, as applicable, approves equity grants.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Stock option awards to our named executive officers generally vest 25% on the first anniversary of the grant date, with the remaining 75% vesting in equal monthly installments on the last day of each of the 36 calendar months immediately following the first anniversary of the grant date, subject generally to the named executive officer’s continuous service through the relevant vesting 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currently provide broad-based welfare benefits that are available to all our employees, including our named executive officers, including health, dental, life, vision and disability insurance.</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do not maintain any defined benefit pension plans or nonqualified deferred compensation plans. We do maintain a 401(k) plan and our named executive officers are eligible to participate in that plan on the same terms as our other employees generally.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PLEDGING AND HEDGING POLICIES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23</w:t>
      </w:r>
    </w:p>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EXECUTIVE COMPENSATION </w:t>
      </w:r>
      <w:r>
        <w:rPr>
          <w:rFonts w:ascii="Times New Roman" w:cs="Times New Roman" w:eastAsia="Times New Roman" w:hAnsi="Times New Roman"/>
          <w:sz w:val="18"/>
          <w:szCs w:val="18"/>
          <w:b w:val="1"/>
          <w:bCs w:val="1"/>
          <w:i w:val="1"/>
          <w:iCs w:val="1"/>
          <w:color w:val="auto"/>
        </w:rPr>
        <w:t>(continued)</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number of shares of common stock underlying outstanding plan awards held by each of our named executive officers as of December 31, 2021:</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Borders>
              <w:bottom w:val="single" w:sz="8" w:color="4DC1E4"/>
            </w:tcBorders>
            <w:shd w:val="clear" w:color="auto" w:fill="4DC1E4"/>
          </w:tcPr>
          <w:p>
            <w:pPr>
              <w:spacing w:after="0"/>
              <w:rPr>
                <w:sz w:val="13"/>
                <w:szCs w:val="13"/>
                <w:color w:val="auto"/>
              </w:rPr>
            </w:pPr>
          </w:p>
        </w:tc>
        <w:tc>
          <w:tcPr>
            <w:tcW w:w="3760" w:type="dxa"/>
            <w:vAlign w:val="bottom"/>
            <w:tcBorders>
              <w:bottom w:val="single" w:sz="8" w:color="4DC1E4"/>
            </w:tcBorders>
            <w:shd w:val="clear" w:color="auto" w:fill="4DC1E4"/>
          </w:tcPr>
          <w:p>
            <w:pPr>
              <w:spacing w:after="0"/>
              <w:rPr>
                <w:sz w:val="13"/>
                <w:szCs w:val="13"/>
                <w:color w:val="auto"/>
              </w:rPr>
            </w:pPr>
          </w:p>
        </w:tc>
        <w:tc>
          <w:tcPr>
            <w:tcW w:w="400" w:type="dxa"/>
            <w:vAlign w:val="bottom"/>
            <w:tcBorders>
              <w:bottom w:val="single" w:sz="8" w:color="4DC1E4"/>
            </w:tcBorders>
            <w:shd w:val="clear" w:color="auto" w:fill="4DC1E4"/>
          </w:tcPr>
          <w:p>
            <w:pPr>
              <w:spacing w:after="0"/>
              <w:rPr>
                <w:sz w:val="13"/>
                <w:szCs w:val="13"/>
                <w:color w:val="auto"/>
              </w:rPr>
            </w:pPr>
          </w:p>
        </w:tc>
        <w:tc>
          <w:tcPr>
            <w:tcW w:w="880" w:type="dxa"/>
            <w:vAlign w:val="bottom"/>
            <w:tcBorders>
              <w:bottom w:val="single" w:sz="8" w:color="auto"/>
            </w:tcBorders>
            <w:shd w:val="clear" w:color="auto" w:fill="4DC1E4"/>
          </w:tcPr>
          <w:p>
            <w:pPr>
              <w:spacing w:after="0"/>
              <w:rPr>
                <w:sz w:val="13"/>
                <w:szCs w:val="13"/>
                <w:color w:val="auto"/>
              </w:rPr>
            </w:pPr>
          </w:p>
        </w:tc>
        <w:tc>
          <w:tcPr>
            <w:tcW w:w="460" w:type="dxa"/>
            <w:vAlign w:val="bottom"/>
            <w:tcBorders>
              <w:bottom w:val="single" w:sz="8" w:color="auto"/>
            </w:tcBorders>
            <w:shd w:val="clear" w:color="auto" w:fill="4DC1E4"/>
          </w:tcPr>
          <w:p>
            <w:pPr>
              <w:spacing w:after="0"/>
              <w:rPr>
                <w:sz w:val="13"/>
                <w:szCs w:val="13"/>
                <w:color w:val="auto"/>
              </w:rPr>
            </w:pPr>
          </w:p>
        </w:tc>
        <w:tc>
          <w:tcPr>
            <w:tcW w:w="900" w:type="dxa"/>
            <w:vAlign w:val="bottom"/>
            <w:tcBorders>
              <w:bottom w:val="single" w:sz="8" w:color="auto"/>
            </w:tcBorders>
            <w:shd w:val="clear" w:color="auto" w:fill="4DC1E4"/>
          </w:tcPr>
          <w:p>
            <w:pPr>
              <w:spacing w:after="0"/>
              <w:rPr>
                <w:sz w:val="13"/>
                <w:szCs w:val="13"/>
                <w:color w:val="auto"/>
              </w:rPr>
            </w:pPr>
          </w:p>
        </w:tc>
        <w:tc>
          <w:tcPr>
            <w:tcW w:w="460" w:type="dxa"/>
            <w:vAlign w:val="bottom"/>
            <w:tcBorders>
              <w:bottom w:val="single" w:sz="8" w:color="auto"/>
            </w:tcBorders>
            <w:shd w:val="clear" w:color="auto" w:fill="4DC1E4"/>
          </w:tcPr>
          <w:p>
            <w:pPr>
              <w:spacing w:after="0"/>
              <w:rPr>
                <w:sz w:val="13"/>
                <w:szCs w:val="13"/>
                <w:color w:val="auto"/>
              </w:rPr>
            </w:pPr>
          </w:p>
        </w:tc>
        <w:tc>
          <w:tcPr>
            <w:tcW w:w="1480" w:type="dxa"/>
            <w:vAlign w:val="bottom"/>
            <w:tcBorders>
              <w:bottom w:val="single" w:sz="8" w:color="auto"/>
            </w:tcBorders>
            <w:gridSpan w:val="2"/>
            <w:shd w:val="clear" w:color="auto" w:fill="4DC1E4"/>
          </w:tcPr>
          <w:p>
            <w:pPr>
              <w:jc w:val="right"/>
              <w:ind w:right="460"/>
              <w:spacing w:after="0"/>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w:t>
            </w:r>
            <w:r>
              <w:rPr>
                <w:rFonts w:ascii="Times New Roman" w:cs="Times New Roman" w:eastAsia="Times New Roman" w:hAnsi="Times New Roman"/>
                <w:sz w:val="14"/>
                <w:szCs w:val="14"/>
                <w:b w:val="1"/>
                <w:bCs w:val="1"/>
                <w:color w:val="FFFFFF"/>
              </w:rPr>
              <w:t xml:space="preserve"> A</w:t>
            </w:r>
            <w:r>
              <w:rPr>
                <w:rFonts w:ascii="Times New Roman" w:cs="Times New Roman" w:eastAsia="Times New Roman" w:hAnsi="Times New Roman"/>
                <w:sz w:val="11"/>
                <w:szCs w:val="11"/>
                <w:b w:val="1"/>
                <w:bCs w:val="1"/>
                <w:color w:val="FFFFFF"/>
              </w:rPr>
              <w:t>WARD</w:t>
            </w:r>
          </w:p>
        </w:tc>
        <w:tc>
          <w:tcPr>
            <w:tcW w:w="220" w:type="dxa"/>
            <w:vAlign w:val="bottom"/>
            <w:tcBorders>
              <w:bottom w:val="single" w:sz="8" w:color="auto"/>
            </w:tcBorders>
            <w:shd w:val="clear" w:color="auto" w:fill="4DC1E4"/>
          </w:tcPr>
          <w:p>
            <w:pPr>
              <w:spacing w:after="0"/>
              <w:rPr>
                <w:sz w:val="13"/>
                <w:szCs w:val="13"/>
                <w:color w:val="auto"/>
              </w:rPr>
            </w:pPr>
          </w:p>
        </w:tc>
        <w:tc>
          <w:tcPr>
            <w:tcW w:w="160" w:type="dxa"/>
            <w:vAlign w:val="bottom"/>
            <w:tcBorders>
              <w:bottom w:val="single" w:sz="8" w:color="auto"/>
            </w:tcBorders>
            <w:shd w:val="clear" w:color="auto" w:fill="4DC1E4"/>
          </w:tcPr>
          <w:p>
            <w:pPr>
              <w:spacing w:after="0"/>
              <w:rPr>
                <w:sz w:val="13"/>
                <w:szCs w:val="13"/>
                <w:color w:val="auto"/>
              </w:rPr>
            </w:pPr>
          </w:p>
        </w:tc>
        <w:tc>
          <w:tcPr>
            <w:tcW w:w="480" w:type="dxa"/>
            <w:vAlign w:val="bottom"/>
            <w:tcBorders>
              <w:bottom w:val="single" w:sz="8" w:color="auto"/>
            </w:tcBorders>
            <w:shd w:val="clear" w:color="auto" w:fill="4DC1E4"/>
          </w:tcPr>
          <w:p>
            <w:pPr>
              <w:spacing w:after="0"/>
              <w:rPr>
                <w:sz w:val="13"/>
                <w:szCs w:val="13"/>
                <w:color w:val="auto"/>
              </w:rPr>
            </w:pPr>
          </w:p>
        </w:tc>
        <w:tc>
          <w:tcPr>
            <w:tcW w:w="460" w:type="dxa"/>
            <w:vAlign w:val="bottom"/>
            <w:tcBorders>
              <w:bottom w:val="single" w:sz="8" w:color="auto"/>
            </w:tcBorders>
            <w:shd w:val="clear" w:color="auto" w:fill="4DC1E4"/>
          </w:tcPr>
          <w:p>
            <w:pPr>
              <w:spacing w:after="0"/>
              <w:rPr>
                <w:sz w:val="13"/>
                <w:szCs w:val="13"/>
                <w:color w:val="auto"/>
              </w:rPr>
            </w:pPr>
          </w:p>
        </w:tc>
        <w:tc>
          <w:tcPr>
            <w:tcW w:w="920" w:type="dxa"/>
            <w:vAlign w:val="bottom"/>
            <w:tcBorders>
              <w:bottom w:val="single" w:sz="8" w:color="auto"/>
            </w:tcBorders>
            <w:shd w:val="clear" w:color="auto" w:fill="4DC1E4"/>
          </w:tcPr>
          <w:p>
            <w:pPr>
              <w:spacing w:after="0"/>
              <w:rPr>
                <w:sz w:val="13"/>
                <w:szCs w:val="13"/>
                <w:color w:val="auto"/>
              </w:rPr>
            </w:pPr>
          </w:p>
        </w:tc>
        <w:tc>
          <w:tcPr>
            <w:tcW w:w="60" w:type="dxa"/>
            <w:vAlign w:val="bottom"/>
            <w:tcBorders>
              <w:bottom w:val="single" w:sz="8" w:color="4DC1E4"/>
            </w:tcBorders>
            <w:shd w:val="clear" w:color="auto" w:fill="4DC1E4"/>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80" w:type="dxa"/>
            <w:vAlign w:val="bottom"/>
            <w:shd w:val="clear" w:color="auto" w:fill="4DC1E4"/>
          </w:tcPr>
          <w:p>
            <w:pPr>
              <w:spacing w:after="0"/>
              <w:rPr>
                <w:sz w:val="10"/>
                <w:szCs w:val="10"/>
                <w:color w:val="auto"/>
              </w:rPr>
            </w:pPr>
          </w:p>
        </w:tc>
        <w:tc>
          <w:tcPr>
            <w:tcW w:w="3760" w:type="dxa"/>
            <w:vAlign w:val="bottom"/>
            <w:shd w:val="clear" w:color="auto" w:fill="4DC1E4"/>
          </w:tcPr>
          <w:p>
            <w:pPr>
              <w:spacing w:after="0"/>
              <w:rPr>
                <w:sz w:val="10"/>
                <w:szCs w:val="10"/>
                <w:color w:val="auto"/>
              </w:rPr>
            </w:pPr>
          </w:p>
        </w:tc>
        <w:tc>
          <w:tcPr>
            <w:tcW w:w="400" w:type="dxa"/>
            <w:vAlign w:val="bottom"/>
            <w:shd w:val="clear" w:color="auto" w:fill="4DC1E4"/>
          </w:tcPr>
          <w:p>
            <w:pPr>
              <w:spacing w:after="0"/>
              <w:rPr>
                <w:sz w:val="10"/>
                <w:szCs w:val="10"/>
                <w:color w:val="auto"/>
              </w:rPr>
            </w:pPr>
          </w:p>
        </w:tc>
        <w:tc>
          <w:tcPr>
            <w:tcW w:w="880" w:type="dxa"/>
            <w:vAlign w:val="bottom"/>
            <w:shd w:val="clear" w:color="auto" w:fill="4DC1E4"/>
          </w:tcPr>
          <w:p>
            <w:pPr>
              <w:spacing w:after="0"/>
              <w:rPr>
                <w:sz w:val="10"/>
                <w:szCs w:val="10"/>
                <w:color w:val="auto"/>
              </w:rPr>
            </w:pPr>
          </w:p>
        </w:tc>
        <w:tc>
          <w:tcPr>
            <w:tcW w:w="460" w:type="dxa"/>
            <w:vAlign w:val="bottom"/>
            <w:shd w:val="clear" w:color="auto" w:fill="4DC1E4"/>
          </w:tcPr>
          <w:p>
            <w:pPr>
              <w:spacing w:after="0"/>
              <w:rPr>
                <w:sz w:val="10"/>
                <w:szCs w:val="10"/>
                <w:color w:val="auto"/>
              </w:rPr>
            </w:pPr>
          </w:p>
        </w:tc>
        <w:tc>
          <w:tcPr>
            <w:tcW w:w="1360" w:type="dxa"/>
            <w:vAlign w:val="bottom"/>
            <w:gridSpan w:val="2"/>
            <w:shd w:val="clear" w:color="auto" w:fill="4DC1E4"/>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FFFFFF"/>
              </w:rPr>
              <w:t>N</w:t>
            </w:r>
            <w:r>
              <w:rPr>
                <w:rFonts w:ascii="Times New Roman" w:cs="Times New Roman" w:eastAsia="Times New Roman" w:hAnsi="Times New Roman"/>
                <w:sz w:val="10"/>
                <w:szCs w:val="10"/>
                <w:b w:val="1"/>
                <w:bCs w:val="1"/>
                <w:color w:val="FFFFFF"/>
              </w:rPr>
              <w:t>UMBER OF</w:t>
            </w:r>
          </w:p>
        </w:tc>
        <w:tc>
          <w:tcPr>
            <w:tcW w:w="1480" w:type="dxa"/>
            <w:vAlign w:val="bottom"/>
            <w:gridSpan w:val="2"/>
            <w:shd w:val="clear" w:color="auto" w:fill="4DC1E4"/>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FFFFFF"/>
              </w:rPr>
              <w:t>N</w:t>
            </w:r>
            <w:r>
              <w:rPr>
                <w:rFonts w:ascii="Times New Roman" w:cs="Times New Roman" w:eastAsia="Times New Roman" w:hAnsi="Times New Roman"/>
                <w:sz w:val="10"/>
                <w:szCs w:val="10"/>
                <w:b w:val="1"/>
                <w:bCs w:val="1"/>
                <w:color w:val="FFFFFF"/>
              </w:rPr>
              <w:t>UMBER OF</w:t>
            </w:r>
          </w:p>
        </w:tc>
        <w:tc>
          <w:tcPr>
            <w:tcW w:w="220" w:type="dxa"/>
            <w:vAlign w:val="bottom"/>
            <w:shd w:val="clear" w:color="auto" w:fill="4DC1E4"/>
          </w:tcPr>
          <w:p>
            <w:pPr>
              <w:spacing w:after="0"/>
              <w:rPr>
                <w:sz w:val="10"/>
                <w:szCs w:val="10"/>
                <w:color w:val="auto"/>
              </w:rPr>
            </w:pPr>
          </w:p>
        </w:tc>
        <w:tc>
          <w:tcPr>
            <w:tcW w:w="160" w:type="dxa"/>
            <w:vAlign w:val="bottom"/>
            <w:shd w:val="clear" w:color="auto" w:fill="4DC1E4"/>
          </w:tcPr>
          <w:p>
            <w:pPr>
              <w:spacing w:after="0"/>
              <w:rPr>
                <w:sz w:val="10"/>
                <w:szCs w:val="10"/>
                <w:color w:val="auto"/>
              </w:rPr>
            </w:pPr>
          </w:p>
        </w:tc>
        <w:tc>
          <w:tcPr>
            <w:tcW w:w="480" w:type="dxa"/>
            <w:vAlign w:val="bottom"/>
            <w:shd w:val="clear" w:color="auto" w:fill="4DC1E4"/>
          </w:tcPr>
          <w:p>
            <w:pPr>
              <w:spacing w:after="0"/>
              <w:rPr>
                <w:sz w:val="10"/>
                <w:szCs w:val="10"/>
                <w:color w:val="auto"/>
              </w:rPr>
            </w:pPr>
          </w:p>
        </w:tc>
        <w:tc>
          <w:tcPr>
            <w:tcW w:w="460" w:type="dxa"/>
            <w:vAlign w:val="bottom"/>
            <w:shd w:val="clear" w:color="auto" w:fill="4DC1E4"/>
          </w:tcPr>
          <w:p>
            <w:pPr>
              <w:spacing w:after="0"/>
              <w:rPr>
                <w:sz w:val="10"/>
                <w:szCs w:val="10"/>
                <w:color w:val="auto"/>
              </w:rPr>
            </w:pPr>
          </w:p>
        </w:tc>
        <w:tc>
          <w:tcPr>
            <w:tcW w:w="920" w:type="dxa"/>
            <w:vAlign w:val="bottom"/>
            <w:shd w:val="clear" w:color="auto" w:fill="4DC1E4"/>
          </w:tcPr>
          <w:p>
            <w:pPr>
              <w:spacing w:after="0"/>
              <w:rPr>
                <w:sz w:val="10"/>
                <w:szCs w:val="10"/>
                <w:color w:val="auto"/>
              </w:rPr>
            </w:pPr>
          </w:p>
        </w:tc>
        <w:tc>
          <w:tcPr>
            <w:tcW w:w="60" w:type="dxa"/>
            <w:vAlign w:val="bottom"/>
            <w:shd w:val="clear" w:color="auto" w:fill="4DC1E4"/>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 w:type="dxa"/>
            <w:vAlign w:val="bottom"/>
            <w:shd w:val="clear" w:color="auto" w:fill="4DC1E4"/>
          </w:tcPr>
          <w:p>
            <w:pPr>
              <w:spacing w:after="0"/>
              <w:rPr>
                <w:sz w:val="12"/>
                <w:szCs w:val="12"/>
                <w:color w:val="auto"/>
              </w:rPr>
            </w:pPr>
          </w:p>
        </w:tc>
        <w:tc>
          <w:tcPr>
            <w:tcW w:w="3760" w:type="dxa"/>
            <w:vAlign w:val="bottom"/>
            <w:shd w:val="clear" w:color="auto" w:fill="4DC1E4"/>
          </w:tcPr>
          <w:p>
            <w:pPr>
              <w:spacing w:after="0"/>
              <w:rPr>
                <w:sz w:val="12"/>
                <w:szCs w:val="12"/>
                <w:color w:val="auto"/>
              </w:rPr>
            </w:pPr>
          </w:p>
        </w:tc>
        <w:tc>
          <w:tcPr>
            <w:tcW w:w="400" w:type="dxa"/>
            <w:vAlign w:val="bottom"/>
            <w:shd w:val="clear" w:color="auto" w:fill="4DC1E4"/>
          </w:tcPr>
          <w:p>
            <w:pPr>
              <w:spacing w:after="0"/>
              <w:rPr>
                <w:sz w:val="12"/>
                <w:szCs w:val="12"/>
                <w:color w:val="auto"/>
              </w:rPr>
            </w:pPr>
          </w:p>
        </w:tc>
        <w:tc>
          <w:tcPr>
            <w:tcW w:w="880" w:type="dxa"/>
            <w:vAlign w:val="bottom"/>
            <w:shd w:val="clear" w:color="auto" w:fill="4DC1E4"/>
          </w:tcPr>
          <w:p>
            <w:pPr>
              <w:spacing w:after="0"/>
              <w:rPr>
                <w:sz w:val="12"/>
                <w:szCs w:val="12"/>
                <w:color w:val="auto"/>
              </w:rPr>
            </w:pPr>
          </w:p>
        </w:tc>
        <w:tc>
          <w:tcPr>
            <w:tcW w:w="460" w:type="dxa"/>
            <w:vAlign w:val="bottom"/>
            <w:shd w:val="clear" w:color="auto" w:fill="4DC1E4"/>
          </w:tcPr>
          <w:p>
            <w:pPr>
              <w:spacing w:after="0"/>
              <w:rPr>
                <w:sz w:val="12"/>
                <w:szCs w:val="12"/>
                <w:color w:val="auto"/>
              </w:rPr>
            </w:pPr>
          </w:p>
        </w:tc>
        <w:tc>
          <w:tcPr>
            <w:tcW w:w="1360" w:type="dxa"/>
            <w:vAlign w:val="bottom"/>
            <w:gridSpan w:val="2"/>
            <w:shd w:val="clear" w:color="auto" w:fill="4DC1E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FFFFFF"/>
              </w:rPr>
              <w:t>S</w:t>
            </w:r>
            <w:r>
              <w:rPr>
                <w:rFonts w:ascii="Times New Roman" w:cs="Times New Roman" w:eastAsia="Times New Roman" w:hAnsi="Times New Roman"/>
                <w:sz w:val="11"/>
                <w:szCs w:val="11"/>
                <w:b w:val="1"/>
                <w:bCs w:val="1"/>
                <w:color w:val="FFFFFF"/>
              </w:rPr>
              <w:t>ECURITIES</w:t>
            </w:r>
          </w:p>
        </w:tc>
        <w:tc>
          <w:tcPr>
            <w:tcW w:w="1480" w:type="dxa"/>
            <w:vAlign w:val="bottom"/>
            <w:gridSpan w:val="2"/>
            <w:shd w:val="clear" w:color="auto" w:fill="4DC1E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FFFFFF"/>
              </w:rPr>
              <w:t>S</w:t>
            </w:r>
            <w:r>
              <w:rPr>
                <w:rFonts w:ascii="Times New Roman" w:cs="Times New Roman" w:eastAsia="Times New Roman" w:hAnsi="Times New Roman"/>
                <w:sz w:val="11"/>
                <w:szCs w:val="11"/>
                <w:b w:val="1"/>
                <w:bCs w:val="1"/>
                <w:color w:val="FFFFFF"/>
              </w:rPr>
              <w:t>ECURITIES</w:t>
            </w:r>
          </w:p>
        </w:tc>
        <w:tc>
          <w:tcPr>
            <w:tcW w:w="220" w:type="dxa"/>
            <w:vAlign w:val="bottom"/>
            <w:shd w:val="clear" w:color="auto" w:fill="4DC1E4"/>
          </w:tcPr>
          <w:p>
            <w:pPr>
              <w:spacing w:after="0"/>
              <w:rPr>
                <w:sz w:val="12"/>
                <w:szCs w:val="12"/>
                <w:color w:val="auto"/>
              </w:rPr>
            </w:pPr>
          </w:p>
        </w:tc>
        <w:tc>
          <w:tcPr>
            <w:tcW w:w="160" w:type="dxa"/>
            <w:vAlign w:val="bottom"/>
            <w:shd w:val="clear" w:color="auto" w:fill="4DC1E4"/>
          </w:tcPr>
          <w:p>
            <w:pPr>
              <w:spacing w:after="0"/>
              <w:rPr>
                <w:sz w:val="12"/>
                <w:szCs w:val="12"/>
                <w:color w:val="auto"/>
              </w:rPr>
            </w:pPr>
          </w:p>
        </w:tc>
        <w:tc>
          <w:tcPr>
            <w:tcW w:w="480" w:type="dxa"/>
            <w:vAlign w:val="bottom"/>
            <w:shd w:val="clear" w:color="auto" w:fill="4DC1E4"/>
          </w:tcPr>
          <w:p>
            <w:pPr>
              <w:spacing w:after="0"/>
              <w:rPr>
                <w:sz w:val="12"/>
                <w:szCs w:val="12"/>
                <w:color w:val="auto"/>
              </w:rPr>
            </w:pPr>
          </w:p>
        </w:tc>
        <w:tc>
          <w:tcPr>
            <w:tcW w:w="460" w:type="dxa"/>
            <w:vAlign w:val="bottom"/>
            <w:shd w:val="clear" w:color="auto" w:fill="4DC1E4"/>
          </w:tcPr>
          <w:p>
            <w:pPr>
              <w:spacing w:after="0"/>
              <w:rPr>
                <w:sz w:val="12"/>
                <w:szCs w:val="12"/>
                <w:color w:val="auto"/>
              </w:rPr>
            </w:pPr>
          </w:p>
        </w:tc>
        <w:tc>
          <w:tcPr>
            <w:tcW w:w="920" w:type="dxa"/>
            <w:vAlign w:val="bottom"/>
            <w:shd w:val="clear" w:color="auto" w:fill="4DC1E4"/>
          </w:tcPr>
          <w:p>
            <w:pPr>
              <w:spacing w:after="0"/>
              <w:rPr>
                <w:sz w:val="12"/>
                <w:szCs w:val="12"/>
                <w:color w:val="auto"/>
              </w:rPr>
            </w:pPr>
          </w:p>
        </w:tc>
        <w:tc>
          <w:tcPr>
            <w:tcW w:w="60" w:type="dxa"/>
            <w:vAlign w:val="bottom"/>
            <w:shd w:val="clear" w:color="auto" w:fill="4DC1E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shd w:val="clear" w:color="auto" w:fill="4DC1E4"/>
          </w:tcPr>
          <w:p>
            <w:pPr>
              <w:spacing w:after="0"/>
              <w:rPr>
                <w:sz w:val="12"/>
                <w:szCs w:val="12"/>
                <w:color w:val="auto"/>
              </w:rPr>
            </w:pPr>
          </w:p>
        </w:tc>
        <w:tc>
          <w:tcPr>
            <w:tcW w:w="3760" w:type="dxa"/>
            <w:vAlign w:val="bottom"/>
            <w:shd w:val="clear" w:color="auto" w:fill="4DC1E4"/>
          </w:tcPr>
          <w:p>
            <w:pPr>
              <w:spacing w:after="0"/>
              <w:rPr>
                <w:sz w:val="12"/>
                <w:szCs w:val="12"/>
                <w:color w:val="auto"/>
              </w:rPr>
            </w:pPr>
          </w:p>
        </w:tc>
        <w:tc>
          <w:tcPr>
            <w:tcW w:w="400" w:type="dxa"/>
            <w:vAlign w:val="bottom"/>
            <w:shd w:val="clear" w:color="auto" w:fill="4DC1E4"/>
          </w:tcPr>
          <w:p>
            <w:pPr>
              <w:spacing w:after="0"/>
              <w:rPr>
                <w:sz w:val="12"/>
                <w:szCs w:val="12"/>
                <w:color w:val="auto"/>
              </w:rPr>
            </w:pPr>
          </w:p>
        </w:tc>
        <w:tc>
          <w:tcPr>
            <w:tcW w:w="880" w:type="dxa"/>
            <w:vAlign w:val="bottom"/>
            <w:shd w:val="clear" w:color="auto" w:fill="4DC1E4"/>
          </w:tcPr>
          <w:p>
            <w:pPr>
              <w:spacing w:after="0"/>
              <w:rPr>
                <w:sz w:val="12"/>
                <w:szCs w:val="12"/>
                <w:color w:val="auto"/>
              </w:rPr>
            </w:pPr>
          </w:p>
        </w:tc>
        <w:tc>
          <w:tcPr>
            <w:tcW w:w="460" w:type="dxa"/>
            <w:vAlign w:val="bottom"/>
            <w:shd w:val="clear" w:color="auto" w:fill="4DC1E4"/>
          </w:tcPr>
          <w:p>
            <w:pPr>
              <w:spacing w:after="0"/>
              <w:rPr>
                <w:sz w:val="12"/>
                <w:szCs w:val="12"/>
                <w:color w:val="auto"/>
              </w:rPr>
            </w:pPr>
          </w:p>
        </w:tc>
        <w:tc>
          <w:tcPr>
            <w:tcW w:w="1360" w:type="dxa"/>
            <w:vAlign w:val="bottom"/>
            <w:gridSpan w:val="2"/>
            <w:shd w:val="clear" w:color="auto" w:fill="4DC1E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FFFFFF"/>
              </w:rPr>
              <w:t>U</w:t>
            </w:r>
            <w:r>
              <w:rPr>
                <w:rFonts w:ascii="Times New Roman" w:cs="Times New Roman" w:eastAsia="Times New Roman" w:hAnsi="Times New Roman"/>
                <w:sz w:val="11"/>
                <w:szCs w:val="11"/>
                <w:b w:val="1"/>
                <w:bCs w:val="1"/>
                <w:color w:val="FFFFFF"/>
              </w:rPr>
              <w:t>NDERLYING</w:t>
            </w:r>
          </w:p>
        </w:tc>
        <w:tc>
          <w:tcPr>
            <w:tcW w:w="1480" w:type="dxa"/>
            <w:vAlign w:val="bottom"/>
            <w:gridSpan w:val="2"/>
            <w:shd w:val="clear" w:color="auto" w:fill="4DC1E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FFFFFF"/>
              </w:rPr>
              <w:t>U</w:t>
            </w:r>
            <w:r>
              <w:rPr>
                <w:rFonts w:ascii="Times New Roman" w:cs="Times New Roman" w:eastAsia="Times New Roman" w:hAnsi="Times New Roman"/>
                <w:sz w:val="11"/>
                <w:szCs w:val="11"/>
                <w:b w:val="1"/>
                <w:bCs w:val="1"/>
                <w:color w:val="FFFFFF"/>
              </w:rPr>
              <w:t>NDERLYING</w:t>
            </w:r>
          </w:p>
        </w:tc>
        <w:tc>
          <w:tcPr>
            <w:tcW w:w="220" w:type="dxa"/>
            <w:vAlign w:val="bottom"/>
            <w:shd w:val="clear" w:color="auto" w:fill="4DC1E4"/>
          </w:tcPr>
          <w:p>
            <w:pPr>
              <w:spacing w:after="0"/>
              <w:rPr>
                <w:sz w:val="12"/>
                <w:szCs w:val="12"/>
                <w:color w:val="auto"/>
              </w:rPr>
            </w:pPr>
          </w:p>
        </w:tc>
        <w:tc>
          <w:tcPr>
            <w:tcW w:w="1100" w:type="dxa"/>
            <w:vAlign w:val="bottom"/>
            <w:gridSpan w:val="3"/>
            <w:vMerge w:val="restart"/>
            <w:shd w:val="clear" w:color="auto" w:fill="4DC1E4"/>
          </w:tcPr>
          <w:p>
            <w:pPr>
              <w:jc w:val="right"/>
              <w:ind w:right="540"/>
              <w:spacing w:after="0"/>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w:t>
            </w:r>
          </w:p>
        </w:tc>
        <w:tc>
          <w:tcPr>
            <w:tcW w:w="980" w:type="dxa"/>
            <w:vAlign w:val="bottom"/>
            <w:gridSpan w:val="2"/>
            <w:vMerge w:val="restart"/>
            <w:shd w:val="clear" w:color="auto" w:fill="4DC1E4"/>
          </w:tcPr>
          <w:p>
            <w:pPr>
              <w:jc w:val="center"/>
              <w:ind w:right="60"/>
              <w:spacing w:after="0"/>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w:t>
            </w:r>
          </w:p>
        </w:tc>
        <w:tc>
          <w:tcPr>
            <w:tcW w:w="0" w:type="dxa"/>
            <w:vAlign w:val="bottom"/>
          </w:tcPr>
          <w:p>
            <w:pPr>
              <w:spacing w:after="0"/>
              <w:rPr>
                <w:sz w:val="1"/>
                <w:szCs w:val="1"/>
                <w:color w:val="auto"/>
              </w:rPr>
            </w:pPr>
          </w:p>
        </w:tc>
      </w:tr>
      <w:tr>
        <w:trPr>
          <w:trHeight w:val="148"/>
        </w:trPr>
        <w:tc>
          <w:tcPr>
            <w:tcW w:w="380" w:type="dxa"/>
            <w:vAlign w:val="bottom"/>
            <w:shd w:val="clear" w:color="auto" w:fill="4DC1E4"/>
          </w:tcPr>
          <w:p>
            <w:pPr>
              <w:spacing w:after="0"/>
              <w:rPr>
                <w:sz w:val="12"/>
                <w:szCs w:val="12"/>
                <w:color w:val="auto"/>
              </w:rPr>
            </w:pPr>
          </w:p>
        </w:tc>
        <w:tc>
          <w:tcPr>
            <w:tcW w:w="3760" w:type="dxa"/>
            <w:vAlign w:val="bottom"/>
            <w:shd w:val="clear" w:color="auto" w:fill="4DC1E4"/>
          </w:tcPr>
          <w:p>
            <w:pPr>
              <w:spacing w:after="0"/>
              <w:rPr>
                <w:sz w:val="12"/>
                <w:szCs w:val="12"/>
                <w:color w:val="auto"/>
              </w:rPr>
            </w:pPr>
          </w:p>
        </w:tc>
        <w:tc>
          <w:tcPr>
            <w:tcW w:w="400" w:type="dxa"/>
            <w:vAlign w:val="bottom"/>
            <w:shd w:val="clear" w:color="auto" w:fill="4DC1E4"/>
          </w:tcPr>
          <w:p>
            <w:pPr>
              <w:spacing w:after="0"/>
              <w:rPr>
                <w:sz w:val="12"/>
                <w:szCs w:val="12"/>
                <w:color w:val="auto"/>
              </w:rPr>
            </w:pPr>
          </w:p>
        </w:tc>
        <w:tc>
          <w:tcPr>
            <w:tcW w:w="1340" w:type="dxa"/>
            <w:vAlign w:val="bottom"/>
            <w:gridSpan w:val="2"/>
            <w:vMerge w:val="restart"/>
            <w:shd w:val="clear" w:color="auto" w:fill="4DC1E4"/>
          </w:tcPr>
          <w:p>
            <w:pPr>
              <w:jc w:val="right"/>
              <w:ind w:right="680"/>
              <w:spacing w:after="0"/>
              <w:rPr>
                <w:sz w:val="20"/>
                <w:szCs w:val="20"/>
                <w:color w:val="auto"/>
              </w:rPr>
            </w:pPr>
            <w:r>
              <w:rPr>
                <w:rFonts w:ascii="Times New Roman" w:cs="Times New Roman" w:eastAsia="Times New Roman" w:hAnsi="Times New Roman"/>
                <w:sz w:val="14"/>
                <w:szCs w:val="14"/>
                <w:b w:val="1"/>
                <w:bCs w:val="1"/>
                <w:color w:val="FFFFFF"/>
              </w:rPr>
              <w:t>G</w:t>
            </w:r>
            <w:r>
              <w:rPr>
                <w:rFonts w:ascii="Times New Roman" w:cs="Times New Roman" w:eastAsia="Times New Roman" w:hAnsi="Times New Roman"/>
                <w:sz w:val="11"/>
                <w:szCs w:val="11"/>
                <w:b w:val="1"/>
                <w:bCs w:val="1"/>
                <w:color w:val="FFFFFF"/>
              </w:rPr>
              <w:t>RANT</w:t>
            </w:r>
          </w:p>
        </w:tc>
        <w:tc>
          <w:tcPr>
            <w:tcW w:w="1360" w:type="dxa"/>
            <w:vAlign w:val="bottom"/>
            <w:gridSpan w:val="2"/>
            <w:shd w:val="clear" w:color="auto" w:fill="4DC1E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FFFFFF"/>
              </w:rPr>
              <w:t>U</w:t>
            </w:r>
            <w:r>
              <w:rPr>
                <w:rFonts w:ascii="Times New Roman" w:cs="Times New Roman" w:eastAsia="Times New Roman" w:hAnsi="Times New Roman"/>
                <w:sz w:val="11"/>
                <w:szCs w:val="11"/>
                <w:b w:val="1"/>
                <w:bCs w:val="1"/>
                <w:color w:val="FFFFFF"/>
              </w:rPr>
              <w:t>NEXERCISED</w:t>
            </w:r>
          </w:p>
        </w:tc>
        <w:tc>
          <w:tcPr>
            <w:tcW w:w="1480" w:type="dxa"/>
            <w:vAlign w:val="bottom"/>
            <w:gridSpan w:val="2"/>
            <w:shd w:val="clear" w:color="auto" w:fill="4DC1E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FFFFFF"/>
              </w:rPr>
              <w:t>U</w:t>
            </w:r>
            <w:r>
              <w:rPr>
                <w:rFonts w:ascii="Times New Roman" w:cs="Times New Roman" w:eastAsia="Times New Roman" w:hAnsi="Times New Roman"/>
                <w:sz w:val="11"/>
                <w:szCs w:val="11"/>
                <w:b w:val="1"/>
                <w:bCs w:val="1"/>
                <w:color w:val="FFFFFF"/>
              </w:rPr>
              <w:t>NEXERCISED</w:t>
            </w:r>
          </w:p>
        </w:tc>
        <w:tc>
          <w:tcPr>
            <w:tcW w:w="220" w:type="dxa"/>
            <w:vAlign w:val="bottom"/>
            <w:shd w:val="clear" w:color="auto" w:fill="4DC1E4"/>
          </w:tcPr>
          <w:p>
            <w:pPr>
              <w:spacing w:after="0"/>
              <w:rPr>
                <w:sz w:val="12"/>
                <w:szCs w:val="12"/>
                <w:color w:val="auto"/>
              </w:rPr>
            </w:pPr>
          </w:p>
        </w:tc>
        <w:tc>
          <w:tcPr>
            <w:tcW w:w="1100" w:type="dxa"/>
            <w:vAlign w:val="bottom"/>
            <w:gridSpan w:val="3"/>
            <w:vMerge w:val="continue"/>
            <w:shd w:val="clear" w:color="auto" w:fill="4DC1E4"/>
          </w:tcPr>
          <w:p>
            <w:pPr>
              <w:spacing w:after="0"/>
              <w:rPr>
                <w:sz w:val="12"/>
                <w:szCs w:val="12"/>
                <w:color w:val="auto"/>
              </w:rPr>
            </w:pPr>
          </w:p>
        </w:tc>
        <w:tc>
          <w:tcPr>
            <w:tcW w:w="980" w:type="dxa"/>
            <w:vAlign w:val="bottom"/>
            <w:gridSpan w:val="2"/>
            <w:vMerge w:val="continue"/>
            <w:shd w:val="clear" w:color="auto" w:fill="4DC1E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shd w:val="clear" w:color="auto" w:fill="4DC1E4"/>
          </w:tcPr>
          <w:p>
            <w:pPr>
              <w:spacing w:after="0"/>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AME</w:t>
            </w:r>
          </w:p>
        </w:tc>
        <w:tc>
          <w:tcPr>
            <w:tcW w:w="3760" w:type="dxa"/>
            <w:vAlign w:val="bottom"/>
            <w:vMerge w:val="restart"/>
            <w:shd w:val="clear" w:color="auto" w:fill="4DC1E4"/>
          </w:tcPr>
          <w:p>
            <w:pPr>
              <w:spacing w:after="0"/>
              <w:rPr>
                <w:sz w:val="12"/>
                <w:szCs w:val="12"/>
                <w:color w:val="auto"/>
              </w:rPr>
            </w:pPr>
          </w:p>
        </w:tc>
        <w:tc>
          <w:tcPr>
            <w:tcW w:w="400" w:type="dxa"/>
            <w:vAlign w:val="bottom"/>
            <w:shd w:val="clear" w:color="auto" w:fill="4DC1E4"/>
          </w:tcPr>
          <w:p>
            <w:pPr>
              <w:spacing w:after="0"/>
              <w:rPr>
                <w:sz w:val="12"/>
                <w:szCs w:val="12"/>
                <w:color w:val="auto"/>
              </w:rPr>
            </w:pPr>
          </w:p>
        </w:tc>
        <w:tc>
          <w:tcPr>
            <w:tcW w:w="1340" w:type="dxa"/>
            <w:vAlign w:val="bottom"/>
            <w:gridSpan w:val="2"/>
            <w:vMerge w:val="continue"/>
            <w:shd w:val="clear" w:color="auto" w:fill="4DC1E4"/>
          </w:tcPr>
          <w:p>
            <w:pPr>
              <w:spacing w:after="0"/>
              <w:rPr>
                <w:sz w:val="12"/>
                <w:szCs w:val="12"/>
                <w:color w:val="auto"/>
              </w:rPr>
            </w:pPr>
          </w:p>
        </w:tc>
        <w:tc>
          <w:tcPr>
            <w:tcW w:w="1360" w:type="dxa"/>
            <w:vAlign w:val="bottom"/>
            <w:gridSpan w:val="2"/>
            <w:shd w:val="clear" w:color="auto" w:fill="4DC1E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PTIONS</w:t>
            </w:r>
            <w:r>
              <w:rPr>
                <w:rFonts w:ascii="Times New Roman" w:cs="Times New Roman" w:eastAsia="Times New Roman" w:hAnsi="Times New Roman"/>
                <w:sz w:val="14"/>
                <w:szCs w:val="14"/>
                <w:b w:val="1"/>
                <w:bCs w:val="1"/>
                <w:color w:val="FFFFFF"/>
              </w:rPr>
              <w:t xml:space="preserve"> (#)</w:t>
            </w:r>
          </w:p>
        </w:tc>
        <w:tc>
          <w:tcPr>
            <w:tcW w:w="1480" w:type="dxa"/>
            <w:vAlign w:val="bottom"/>
            <w:gridSpan w:val="2"/>
            <w:shd w:val="clear" w:color="auto" w:fill="4DC1E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PTIONS</w:t>
            </w:r>
            <w:r>
              <w:rPr>
                <w:rFonts w:ascii="Times New Roman" w:cs="Times New Roman" w:eastAsia="Times New Roman" w:hAnsi="Times New Roman"/>
                <w:sz w:val="14"/>
                <w:szCs w:val="14"/>
                <w:b w:val="1"/>
                <w:bCs w:val="1"/>
                <w:color w:val="FFFFFF"/>
              </w:rPr>
              <w:t xml:space="preserve"> (#)</w:t>
            </w:r>
          </w:p>
        </w:tc>
        <w:tc>
          <w:tcPr>
            <w:tcW w:w="220" w:type="dxa"/>
            <w:vAlign w:val="bottom"/>
            <w:shd w:val="clear" w:color="auto" w:fill="4DC1E4"/>
          </w:tcPr>
          <w:p>
            <w:pPr>
              <w:spacing w:after="0"/>
              <w:rPr>
                <w:sz w:val="12"/>
                <w:szCs w:val="12"/>
                <w:color w:val="auto"/>
              </w:rPr>
            </w:pPr>
          </w:p>
        </w:tc>
        <w:tc>
          <w:tcPr>
            <w:tcW w:w="1100" w:type="dxa"/>
            <w:vAlign w:val="bottom"/>
            <w:gridSpan w:val="3"/>
            <w:shd w:val="clear" w:color="auto" w:fill="4DC1E4"/>
          </w:tcPr>
          <w:p>
            <w:pPr>
              <w:spacing w:after="0" w:line="149" w:lineRule="exact"/>
              <w:rPr>
                <w:sz w:val="20"/>
                <w:szCs w:val="20"/>
                <w:color w:val="auto"/>
              </w:rPr>
            </w:pPr>
            <w:r>
              <w:rPr>
                <w:rFonts w:ascii="Times New Roman" w:cs="Times New Roman" w:eastAsia="Times New Roman" w:hAnsi="Times New Roman"/>
                <w:sz w:val="14"/>
                <w:szCs w:val="14"/>
                <w:b w:val="1"/>
                <w:bCs w:val="1"/>
                <w:color w:val="FFFFFF"/>
              </w:rPr>
              <w:t>E</w:t>
            </w:r>
            <w:r>
              <w:rPr>
                <w:rFonts w:ascii="Times New Roman" w:cs="Times New Roman" w:eastAsia="Times New Roman" w:hAnsi="Times New Roman"/>
                <w:sz w:val="11"/>
                <w:szCs w:val="11"/>
                <w:b w:val="1"/>
                <w:bCs w:val="1"/>
                <w:color w:val="FFFFFF"/>
              </w:rPr>
              <w:t>XERCISE</w:t>
            </w:r>
          </w:p>
        </w:tc>
        <w:tc>
          <w:tcPr>
            <w:tcW w:w="980" w:type="dxa"/>
            <w:vAlign w:val="bottom"/>
            <w:gridSpan w:val="2"/>
            <w:shd w:val="clear" w:color="auto" w:fill="4DC1E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FFFFFF"/>
              </w:rPr>
              <w:t>E</w:t>
            </w:r>
            <w:r>
              <w:rPr>
                <w:rFonts w:ascii="Times New Roman" w:cs="Times New Roman" w:eastAsia="Times New Roman" w:hAnsi="Times New Roman"/>
                <w:sz w:val="11"/>
                <w:szCs w:val="11"/>
                <w:b w:val="1"/>
                <w:bCs w:val="1"/>
                <w:color w:val="FFFFFF"/>
              </w:rPr>
              <w:t>XPIRATION</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shd w:val="clear" w:color="auto" w:fill="4DC1E4"/>
          </w:tcPr>
          <w:p>
            <w:pPr>
              <w:spacing w:after="0"/>
              <w:rPr>
                <w:sz w:val="15"/>
                <w:szCs w:val="15"/>
                <w:color w:val="auto"/>
              </w:rPr>
            </w:pPr>
          </w:p>
        </w:tc>
        <w:tc>
          <w:tcPr>
            <w:tcW w:w="3760" w:type="dxa"/>
            <w:vAlign w:val="bottom"/>
            <w:tcBorders>
              <w:bottom w:val="single" w:sz="8" w:color="4DC1E4"/>
            </w:tcBorders>
            <w:vMerge w:val="continue"/>
            <w:shd w:val="clear" w:color="auto" w:fill="4DC1E4"/>
          </w:tcPr>
          <w:p>
            <w:pPr>
              <w:spacing w:after="0"/>
              <w:rPr>
                <w:sz w:val="15"/>
                <w:szCs w:val="15"/>
                <w:color w:val="auto"/>
              </w:rPr>
            </w:pPr>
          </w:p>
        </w:tc>
        <w:tc>
          <w:tcPr>
            <w:tcW w:w="400" w:type="dxa"/>
            <w:vAlign w:val="bottom"/>
            <w:tcBorders>
              <w:bottom w:val="single" w:sz="8" w:color="4DC1E4"/>
            </w:tcBorders>
            <w:shd w:val="clear" w:color="auto" w:fill="4DC1E4"/>
          </w:tcPr>
          <w:p>
            <w:pPr>
              <w:spacing w:after="0"/>
              <w:rPr>
                <w:sz w:val="15"/>
                <w:szCs w:val="15"/>
                <w:color w:val="auto"/>
              </w:rPr>
            </w:pPr>
          </w:p>
        </w:tc>
        <w:tc>
          <w:tcPr>
            <w:tcW w:w="1340" w:type="dxa"/>
            <w:vAlign w:val="bottom"/>
            <w:tcBorders>
              <w:bottom w:val="single" w:sz="8" w:color="4DC1E4"/>
            </w:tcBorders>
            <w:gridSpan w:val="2"/>
            <w:shd w:val="clear" w:color="auto" w:fill="4DC1E4"/>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FFFFFF"/>
              </w:rPr>
              <w:t>D</w:t>
            </w:r>
            <w:r>
              <w:rPr>
                <w:rFonts w:ascii="Times New Roman" w:cs="Times New Roman" w:eastAsia="Times New Roman" w:hAnsi="Times New Roman"/>
                <w:sz w:val="11"/>
                <w:szCs w:val="11"/>
                <w:b w:val="1"/>
                <w:bCs w:val="1"/>
                <w:color w:val="FFFFFF"/>
              </w:rPr>
              <w:t>ATE</w:t>
            </w:r>
          </w:p>
        </w:tc>
        <w:tc>
          <w:tcPr>
            <w:tcW w:w="1360" w:type="dxa"/>
            <w:vAlign w:val="bottom"/>
            <w:tcBorders>
              <w:bottom w:val="single" w:sz="8" w:color="4DC1E4"/>
            </w:tcBorders>
            <w:gridSpan w:val="2"/>
            <w:shd w:val="clear" w:color="auto" w:fill="4DC1E4"/>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FFFFFF"/>
              </w:rPr>
              <w:t>E</w:t>
            </w:r>
            <w:r>
              <w:rPr>
                <w:rFonts w:ascii="Times New Roman" w:cs="Times New Roman" w:eastAsia="Times New Roman" w:hAnsi="Times New Roman"/>
                <w:sz w:val="11"/>
                <w:szCs w:val="11"/>
                <w:b w:val="1"/>
                <w:bCs w:val="1"/>
                <w:color w:val="FFFFFF"/>
              </w:rPr>
              <w:t>XERCISABLE</w:t>
            </w:r>
          </w:p>
        </w:tc>
        <w:tc>
          <w:tcPr>
            <w:tcW w:w="1480" w:type="dxa"/>
            <w:vAlign w:val="bottom"/>
            <w:tcBorders>
              <w:bottom w:val="single" w:sz="8" w:color="4DC1E4"/>
            </w:tcBorders>
            <w:gridSpan w:val="2"/>
            <w:shd w:val="clear" w:color="auto" w:fill="4DC1E4"/>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FFFFFF"/>
              </w:rPr>
              <w:t>U</w:t>
            </w:r>
            <w:r>
              <w:rPr>
                <w:rFonts w:ascii="Times New Roman" w:cs="Times New Roman" w:eastAsia="Times New Roman" w:hAnsi="Times New Roman"/>
                <w:sz w:val="11"/>
                <w:szCs w:val="11"/>
                <w:b w:val="1"/>
                <w:bCs w:val="1"/>
                <w:color w:val="FFFFFF"/>
              </w:rPr>
              <w:t>NEXERCISABLE</w:t>
            </w:r>
            <w:r>
              <w:rPr>
                <w:rFonts w:ascii="Times New Roman" w:cs="Times New Roman" w:eastAsia="Times New Roman" w:hAnsi="Times New Roman"/>
                <w:sz w:val="14"/>
                <w:szCs w:val="14"/>
                <w:b w:val="1"/>
                <w:bCs w:val="1"/>
                <w:color w:val="FFFFFF"/>
              </w:rPr>
              <w:t xml:space="preserve"> (1)</w:t>
            </w:r>
          </w:p>
        </w:tc>
        <w:tc>
          <w:tcPr>
            <w:tcW w:w="220" w:type="dxa"/>
            <w:vAlign w:val="bottom"/>
            <w:tcBorders>
              <w:bottom w:val="single" w:sz="8" w:color="4DC1E4"/>
            </w:tcBorders>
            <w:shd w:val="clear" w:color="auto" w:fill="4DC1E4"/>
          </w:tcPr>
          <w:p>
            <w:pPr>
              <w:spacing w:after="0"/>
              <w:rPr>
                <w:sz w:val="15"/>
                <w:szCs w:val="15"/>
                <w:color w:val="auto"/>
              </w:rPr>
            </w:pPr>
          </w:p>
        </w:tc>
        <w:tc>
          <w:tcPr>
            <w:tcW w:w="1100" w:type="dxa"/>
            <w:vAlign w:val="bottom"/>
            <w:tcBorders>
              <w:bottom w:val="single" w:sz="8" w:color="4DC1E4"/>
            </w:tcBorders>
            <w:gridSpan w:val="3"/>
            <w:shd w:val="clear" w:color="auto" w:fill="4DC1E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FFFFFF"/>
              </w:rPr>
              <w:t>P</w:t>
            </w:r>
            <w:r>
              <w:rPr>
                <w:rFonts w:ascii="Times New Roman" w:cs="Times New Roman" w:eastAsia="Times New Roman" w:hAnsi="Times New Roman"/>
                <w:sz w:val="11"/>
                <w:szCs w:val="11"/>
                <w:b w:val="1"/>
                <w:bCs w:val="1"/>
                <w:color w:val="FFFFFF"/>
              </w:rPr>
              <w:t>RICE</w:t>
            </w:r>
            <w:r>
              <w:rPr>
                <w:rFonts w:ascii="Times New Roman" w:cs="Times New Roman" w:eastAsia="Times New Roman" w:hAnsi="Times New Roman"/>
                <w:sz w:val="14"/>
                <w:szCs w:val="14"/>
                <w:b w:val="1"/>
                <w:bCs w:val="1"/>
                <w:color w:val="FFFFFF"/>
              </w:rPr>
              <w:t xml:space="preserve"> ($)</w:t>
            </w:r>
          </w:p>
        </w:tc>
        <w:tc>
          <w:tcPr>
            <w:tcW w:w="980" w:type="dxa"/>
            <w:vAlign w:val="bottom"/>
            <w:tcBorders>
              <w:bottom w:val="single" w:sz="8" w:color="4DC1E4"/>
            </w:tcBorders>
            <w:gridSpan w:val="2"/>
            <w:shd w:val="clear" w:color="auto" w:fill="4DC1E4"/>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FFFFFF"/>
              </w:rPr>
              <w:t>D</w:t>
            </w:r>
            <w:r>
              <w:rPr>
                <w:rFonts w:ascii="Times New Roman" w:cs="Times New Roman" w:eastAsia="Times New Roman" w:hAnsi="Times New Roman"/>
                <w:sz w:val="11"/>
                <w:szCs w:val="11"/>
                <w:b w:val="1"/>
                <w:bCs w:val="1"/>
                <w:color w:val="FFFFFF"/>
              </w:rPr>
              <w:t>ATE</w:t>
            </w:r>
          </w:p>
        </w:tc>
        <w:tc>
          <w:tcPr>
            <w:tcW w:w="0" w:type="dxa"/>
            <w:vAlign w:val="bottom"/>
          </w:tcPr>
          <w:p>
            <w:pPr>
              <w:spacing w:after="0"/>
              <w:rPr>
                <w:sz w:val="1"/>
                <w:szCs w:val="1"/>
                <w:color w:val="auto"/>
              </w:rPr>
            </w:pPr>
          </w:p>
        </w:tc>
      </w:tr>
      <w:tr>
        <w:trPr>
          <w:trHeight w:val="185"/>
        </w:trPr>
        <w:tc>
          <w:tcPr>
            <w:tcW w:w="41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Carole S. Ben-Maimon</w:t>
            </w:r>
          </w:p>
        </w:tc>
        <w:tc>
          <w:tcPr>
            <w:tcW w:w="400" w:type="dxa"/>
            <w:vAlign w:val="bottom"/>
          </w:tcPr>
          <w:p>
            <w:pPr>
              <w:spacing w:after="0"/>
              <w:rPr>
                <w:sz w:val="16"/>
                <w:szCs w:val="16"/>
                <w:color w:val="auto"/>
              </w:rPr>
            </w:pPr>
          </w:p>
        </w:tc>
        <w:tc>
          <w:tcPr>
            <w:tcW w:w="8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04/10/2017</w:t>
            </w:r>
          </w:p>
        </w:tc>
        <w:tc>
          <w:tcPr>
            <w:tcW w:w="460" w:type="dxa"/>
            <w:vAlign w:val="bottom"/>
          </w:tcPr>
          <w:p>
            <w:pPr>
              <w:spacing w:after="0"/>
              <w:rPr>
                <w:sz w:val="16"/>
                <w:szCs w:val="16"/>
                <w:color w:val="auto"/>
              </w:rPr>
            </w:pPr>
          </w:p>
        </w:tc>
        <w:tc>
          <w:tcPr>
            <w:tcW w:w="9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133,140</w:t>
            </w:r>
          </w:p>
        </w:tc>
        <w:tc>
          <w:tcPr>
            <w:tcW w:w="460" w:type="dxa"/>
            <w:vAlign w:val="bottom"/>
          </w:tcPr>
          <w:p>
            <w:pPr>
              <w:spacing w:after="0"/>
              <w:rPr>
                <w:sz w:val="16"/>
                <w:szCs w:val="16"/>
                <w:color w:val="auto"/>
              </w:rPr>
            </w:pPr>
          </w:p>
        </w:tc>
        <w:tc>
          <w:tcPr>
            <w:tcW w:w="12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11.73</w:t>
            </w:r>
          </w:p>
        </w:tc>
        <w:tc>
          <w:tcPr>
            <w:tcW w:w="460" w:type="dxa"/>
            <w:vAlign w:val="bottom"/>
          </w:tcPr>
          <w:p>
            <w:pPr>
              <w:spacing w:after="0"/>
              <w:rPr>
                <w:sz w:val="16"/>
                <w:szCs w:val="16"/>
                <w:color w:val="auto"/>
              </w:rPr>
            </w:pPr>
          </w:p>
        </w:tc>
        <w:tc>
          <w:tcPr>
            <w:tcW w:w="9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04/10/2027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05/28/2019</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39,666</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21,753</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11.73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5/27/2029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09/29/2020</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145,704</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265,696</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11.90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7/16/2030</w:t>
            </w:r>
          </w:p>
        </w:tc>
        <w:tc>
          <w:tcPr>
            <w:tcW w:w="0" w:type="dxa"/>
            <w:vAlign w:val="bottom"/>
          </w:tcPr>
          <w:p>
            <w:pPr>
              <w:spacing w:after="0"/>
              <w:rPr>
                <w:sz w:val="1"/>
                <w:szCs w:val="1"/>
                <w:color w:val="auto"/>
              </w:rPr>
            </w:pPr>
          </w:p>
        </w:tc>
      </w:tr>
      <w:tr>
        <w:trPr>
          <w:trHeight w:val="216"/>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Michael Celano</w:t>
            </w:r>
          </w:p>
        </w:tc>
        <w:tc>
          <w:tcPr>
            <w:tcW w:w="17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1/19/2021</w:t>
            </w:r>
          </w:p>
        </w:tc>
        <w:tc>
          <w:tcPr>
            <w:tcW w:w="1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106,700</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19.61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1/19/2031</w:t>
            </w:r>
          </w:p>
        </w:tc>
        <w:tc>
          <w:tcPr>
            <w:tcW w:w="0" w:type="dxa"/>
            <w:vAlign w:val="bottom"/>
          </w:tcPr>
          <w:p>
            <w:pPr>
              <w:spacing w:after="0"/>
              <w:rPr>
                <w:sz w:val="1"/>
                <w:szCs w:val="1"/>
                <w:color w:val="auto"/>
              </w:rPr>
            </w:pPr>
          </w:p>
        </w:tc>
      </w:tr>
      <w:tr>
        <w:trPr>
          <w:trHeight w:val="216"/>
        </w:trPr>
        <w:tc>
          <w:tcPr>
            <w:tcW w:w="4140" w:type="dxa"/>
            <w:vAlign w:val="bottom"/>
            <w:gridSpan w:val="2"/>
            <w:vMerge w:val="continue"/>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05/28/2020</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23,939</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36,540</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11.88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5/27/2030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09/29/2020</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29,785</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54,315</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11.90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7/16/2030</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7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1/19/2021</w:t>
            </w:r>
          </w:p>
        </w:tc>
        <w:tc>
          <w:tcPr>
            <w:tcW w:w="1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42,000</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19.61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660" w:right="80" w:hanging="544"/>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each generally vest as follows: 25% on the first anniversary of the grant date, with the remaining 75% vesting in equal monthly installments over the following 36 calendar months, subject to the optionee’s continued service through the relevant vesting date (and in the case of Mr. Celano’s May 28, 2020 award, subject to accelerated vesting upon certain termination events).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w:t>
      </w:r>
    </w:p>
    <w:p>
      <w:pPr>
        <w:spacing w:after="0" w:line="113"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Carole S. Ben-Maimon, M.D. </w:t>
      </w:r>
      <w:r>
        <w:rPr>
          <w:rFonts w:ascii="Times New Roman" w:cs="Times New Roman" w:eastAsia="Times New Roman" w:hAnsi="Times New Roman"/>
          <w:sz w:val="18"/>
          <w:szCs w:val="18"/>
          <w:color w:val="auto"/>
        </w:rPr>
        <w:t>We entered into an employment agreement with Dr. Ben-Maimon, as our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Executive Officer, on July 31, 2020 to supersede her employment agreement with Chondrial, dated December 1, 2016, and to otherwise establish the terms and conditions of Dr. Ben-Maimon’s employment by the Company. Pursuant to the terms of this agreement, Dr. Ben-Maimon’s initial annual base salary was $470,000 and her target annual bonus opportunity was, and remains at, not less than 50% of her base salary.</w:t>
      </w:r>
    </w:p>
    <w:p>
      <w:pPr>
        <w:spacing w:after="0" w:line="176" w:lineRule="exact"/>
        <w:rPr>
          <w:sz w:val="20"/>
          <w:szCs w:val="20"/>
          <w:color w:val="auto"/>
        </w:rPr>
      </w:pPr>
    </w:p>
    <w:p>
      <w:pPr>
        <w:ind w:left="120" w:right="1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Employment Agreement with Michael Celano</w:t>
      </w:r>
      <w:r>
        <w:rPr>
          <w:rFonts w:ascii="Times New Roman" w:cs="Times New Roman" w:eastAsia="Times New Roman" w:hAnsi="Times New Roman"/>
          <w:sz w:val="18"/>
          <w:szCs w:val="18"/>
          <w:color w:val="auto"/>
        </w:rPr>
        <w:t>. We entered into an employment agreement with Mr. Celano, as our Chief Financial Officer,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1, 2020. Mr. Celano’s period of employment with the Company commenced on May 28, 2020. Pursuant to the terms of this agreement,</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Mr. Celano’s initial annual base salary was $350,000 and his target annual bonus opportunity is not less than 35% of his base salary. The Compensation Committee increased this bonus opportunity percentage to 40% of base salary effective January 1, 2022. In connection with his hiring, on May 28, 2020, Mr. Celano received a stock option grant in respect of 60,479 shares of our common stock (the “Initial Award”), as further described in the table above entitled “Outstanding Equity Awards at Fiscal Year-End.”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Confidential Information and Invention Agreement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of Dr. Ben-Maimon and Mr. Celano have also entered into a standard form agreement with respect to confidentiality of the Company’s proprietary information and assignment of inventions. Among other things, this agreement obligates each of them to refrain from disclosing any of the Company’s proprietary information and to assign to the Company inventions conceived or developed during the course of employment. Such agreement also provides that during the period of such officer’s employment and for one year thereafter, they will not compete with the Company and will not solicit the Company’s employees, contractors, lenders, partners or suppliers.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24</w:t>
      </w:r>
    </w:p>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EXECUTIVE COMPENSATION </w:t>
      </w:r>
      <w:r>
        <w:rPr>
          <w:rFonts w:ascii="Times New Roman" w:cs="Times New Roman" w:eastAsia="Times New Roman" w:hAnsi="Times New Roman"/>
          <w:sz w:val="18"/>
          <w:szCs w:val="18"/>
          <w:b w:val="1"/>
          <w:bCs w:val="1"/>
          <w:i w:val="1"/>
          <w:iCs w:val="1"/>
          <w:color w:val="auto"/>
        </w:rPr>
        <w:t>(continued)</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Ben-Maimon and Celano Severance Rights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Each of Dr. Ben-Maimon’s and Mr. Celano’s employment agreement provides that, in the event the executive’s employment with the Company ceases for any reason, he or she will be entitled to receive any accrued, unpaid base salary and reimbursement for expenses incurred by the executive, but not yet reimbursed, prior to the date of termination, in accordance with our expense reimbursement policies (the “Accrued Rights”).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the executive’s employment is terminated without cause or they resign with good reason, then in addition to the Accrued Rights, such executive will be entitled to receive:</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unpaid bonus for the immediately preceding calendar year (the “Prior Year Bonus”);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severance payments for a period of twelve months, in the case of Dr. Ben-Maimon, and nine months, in the case of Mr. Celano, with each payment equal to one-twelfth of their then in effect base salary;</w:t>
      </w:r>
    </w:p>
    <w:p>
      <w:pPr>
        <w:spacing w:after="0" w:line="67" w:lineRule="exact"/>
        <w:rPr>
          <w:rFonts w:ascii="Times New Roman" w:cs="Times New Roman" w:eastAsia="Times New Roman" w:hAnsi="Times New Roman"/>
          <w:sz w:val="18"/>
          <w:szCs w:val="18"/>
          <w:color w:val="auto"/>
        </w:rPr>
      </w:pPr>
    </w:p>
    <w:p>
      <w:pPr>
        <w:ind w:left="1080" w:right="500" w:hanging="424"/>
        <w:spacing w:after="0" w:line="312" w:lineRule="auto"/>
        <w:tabs>
          <w:tab w:leader="none" w:pos="10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waiver or reimbursement of the premiums for continuation of group health coverage under the Consolidated Omnibus Budget Reconciliation Act (“COBRA”) for twelve months, in the case of Dr. Ben-Maimon, and nine, months, in the case of Mr. Celano;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Celano, accelerated vesting of any portion of his Initial Award that then remains outstanding and otherwise unvested.</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However, if the executive’s employment is terminated without cause or the executive resigns with good reason within one year following a change in control, then in lieu of the severance payments and benefits described above, he or she would instead receive:</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Year Bonus;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severance payments for eighteen months, in the case of Dr. Ben-Maimon, and twelve months, in the case of Mr. Celano, with each payment equal to one-twelfth the sum of the executive’s then in effect base salary and then in effect target annual bonus;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reimbursement of the premiums for continuation of their group health coverage under COBRA for eighteen months, in the case of Dr. Ben-Maimon, and twelve months, in the case of Mr. Celano;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Celano, accelerated vesting of any portion of his Initial Award that then remains outstanding and otherwise unvested.</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each case, the severance payments are conditioned on the executive’s execution and delivery of a general release of claims against the Company and its affiliates in a form prescribed by the Company and on such release becoming irrevocable within 30 days following the executive’s cessation of employment.</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25</w:t>
      </w:r>
    </w:p>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6"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Since January 1, 2020,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We have entered or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entered into various employment-related agreements with our executive officers that, among other things, provide for compensatory and certain change in control benefits. For a description of these agreements and arrangements with our named executive officers, see the section titled “Executive Compensation — Employment Agreements.”</w:t>
      </w:r>
    </w:p>
    <w:p>
      <w:pPr>
        <w:spacing w:after="0" w:line="17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We have also granted stock options to our executive officers and directors. For a description of these stock options, see the sections titled “Director Compensation” and “Executive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Our Board has adopted a written Related Party Transaction Policy that governs the review and approval of related party transactions. The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 All of the transactions described under “Certain Relationships and Related Party Transactions” in this Proxy Statement occurred prior to or concurrently with the adoption of the Related Party Transaction Policy and as such, these transactions were not subject to the approval and review procedures set forth in the Related Party Transaction Policy. However, these transactions were reviewed and approved by our Board.</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26</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is a summary of the shares available for grant under the Company’s equity incentive plans as of December 31, 2021:</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shd w:val="clear" w:color="auto" w:fill="4DC1E4"/>
          </w:tcPr>
          <w:p>
            <w:pPr>
              <w:spacing w:after="0"/>
              <w:rPr>
                <w:sz w:val="13"/>
                <w:szCs w:val="13"/>
                <w:color w:val="auto"/>
              </w:rPr>
            </w:pPr>
          </w:p>
        </w:tc>
        <w:tc>
          <w:tcPr>
            <w:tcW w:w="2080" w:type="dxa"/>
            <w:vAlign w:val="bottom"/>
            <w:shd w:val="clear" w:color="auto" w:fill="4DC1E4"/>
          </w:tcPr>
          <w:p>
            <w:pPr>
              <w:spacing w:after="0"/>
              <w:rPr>
                <w:sz w:val="13"/>
                <w:szCs w:val="13"/>
                <w:color w:val="auto"/>
              </w:rPr>
            </w:pPr>
          </w:p>
        </w:tc>
        <w:tc>
          <w:tcPr>
            <w:tcW w:w="1060" w:type="dxa"/>
            <w:vAlign w:val="bottom"/>
            <w:shd w:val="clear" w:color="auto" w:fill="4DC1E4"/>
          </w:tcPr>
          <w:p>
            <w:pPr>
              <w:spacing w:after="0"/>
              <w:rPr>
                <w:sz w:val="13"/>
                <w:szCs w:val="13"/>
                <w:color w:val="auto"/>
              </w:rPr>
            </w:pPr>
          </w:p>
        </w:tc>
        <w:tc>
          <w:tcPr>
            <w:tcW w:w="2340" w:type="dxa"/>
            <w:vAlign w:val="bottom"/>
            <w:gridSpan w:val="4"/>
            <w:shd w:val="clear" w:color="auto" w:fill="4DC1E4"/>
          </w:tcPr>
          <w:p>
            <w:pPr>
              <w:jc w:val="center"/>
              <w:ind w:right="1060"/>
              <w:spacing w:after="0"/>
              <w:rPr>
                <w:sz w:val="20"/>
                <w:szCs w:val="20"/>
                <w:color w:val="auto"/>
              </w:rPr>
            </w:pPr>
            <w:r>
              <w:rPr>
                <w:rFonts w:ascii="Times New Roman" w:cs="Times New Roman" w:eastAsia="Times New Roman" w:hAnsi="Times New Roman"/>
                <w:sz w:val="14"/>
                <w:szCs w:val="14"/>
                <w:b w:val="1"/>
                <w:bCs w:val="1"/>
                <w:color w:val="FFFFFF"/>
              </w:rPr>
              <w:t>Number of securities</w:t>
            </w:r>
          </w:p>
        </w:tc>
        <w:tc>
          <w:tcPr>
            <w:tcW w:w="2280" w:type="dxa"/>
            <w:vAlign w:val="bottom"/>
            <w:gridSpan w:val="4"/>
            <w:vMerge w:val="restart"/>
            <w:shd w:val="clear" w:color="auto" w:fill="4DC1E4"/>
          </w:tcPr>
          <w:p>
            <w:pPr>
              <w:jc w:val="center"/>
              <w:ind w:right="1080"/>
              <w:spacing w:after="0"/>
              <w:rPr>
                <w:sz w:val="20"/>
                <w:szCs w:val="20"/>
                <w:color w:val="auto"/>
              </w:rPr>
            </w:pPr>
            <w:r>
              <w:rPr>
                <w:rFonts w:ascii="Times New Roman" w:cs="Times New Roman" w:eastAsia="Times New Roman" w:hAnsi="Times New Roman"/>
                <w:sz w:val="14"/>
                <w:szCs w:val="14"/>
                <w:b w:val="1"/>
                <w:bCs w:val="1"/>
                <w:color w:val="FFFFFF"/>
              </w:rPr>
              <w:t>Weighted-average</w:t>
            </w:r>
          </w:p>
        </w:tc>
        <w:tc>
          <w:tcPr>
            <w:tcW w:w="2040" w:type="dxa"/>
            <w:vAlign w:val="bottom"/>
            <w:gridSpan w:val="3"/>
            <w:shd w:val="clear" w:color="auto" w:fill="4DC1E4"/>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Number of securities remaining</w:t>
            </w:r>
          </w:p>
        </w:tc>
        <w:tc>
          <w:tcPr>
            <w:tcW w:w="0" w:type="dxa"/>
            <w:vAlign w:val="bottom"/>
          </w:tcPr>
          <w:p>
            <w:pPr>
              <w:spacing w:after="0"/>
              <w:rPr>
                <w:sz w:val="1"/>
                <w:szCs w:val="1"/>
                <w:color w:val="auto"/>
              </w:rPr>
            </w:pPr>
          </w:p>
        </w:tc>
      </w:tr>
      <w:tr>
        <w:trPr>
          <w:trHeight w:val="148"/>
        </w:trPr>
        <w:tc>
          <w:tcPr>
            <w:tcW w:w="1220" w:type="dxa"/>
            <w:vAlign w:val="bottom"/>
            <w:shd w:val="clear" w:color="auto" w:fill="4DC1E4"/>
          </w:tcPr>
          <w:p>
            <w:pPr>
              <w:spacing w:after="0"/>
              <w:rPr>
                <w:sz w:val="12"/>
                <w:szCs w:val="12"/>
                <w:color w:val="auto"/>
              </w:rPr>
            </w:pPr>
          </w:p>
        </w:tc>
        <w:tc>
          <w:tcPr>
            <w:tcW w:w="2080" w:type="dxa"/>
            <w:vAlign w:val="bottom"/>
            <w:shd w:val="clear" w:color="auto" w:fill="4DC1E4"/>
          </w:tcPr>
          <w:p>
            <w:pPr>
              <w:spacing w:after="0"/>
              <w:rPr>
                <w:sz w:val="12"/>
                <w:szCs w:val="12"/>
                <w:color w:val="auto"/>
              </w:rPr>
            </w:pPr>
          </w:p>
        </w:tc>
        <w:tc>
          <w:tcPr>
            <w:tcW w:w="1060" w:type="dxa"/>
            <w:vAlign w:val="bottom"/>
            <w:shd w:val="clear" w:color="auto" w:fill="4DC1E4"/>
          </w:tcPr>
          <w:p>
            <w:pPr>
              <w:spacing w:after="0"/>
              <w:rPr>
                <w:sz w:val="12"/>
                <w:szCs w:val="12"/>
                <w:color w:val="auto"/>
              </w:rPr>
            </w:pPr>
          </w:p>
        </w:tc>
        <w:tc>
          <w:tcPr>
            <w:tcW w:w="2340" w:type="dxa"/>
            <w:vAlign w:val="bottom"/>
            <w:gridSpan w:val="4"/>
            <w:shd w:val="clear" w:color="auto" w:fill="4DC1E4"/>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FFFFFF"/>
              </w:rPr>
              <w:t>to be issued upon</w:t>
            </w:r>
          </w:p>
        </w:tc>
        <w:tc>
          <w:tcPr>
            <w:tcW w:w="2280" w:type="dxa"/>
            <w:vAlign w:val="bottom"/>
            <w:gridSpan w:val="4"/>
            <w:vMerge w:val="continue"/>
            <w:shd w:val="clear" w:color="auto" w:fill="4DC1E4"/>
          </w:tcPr>
          <w:p>
            <w:pPr>
              <w:spacing w:after="0"/>
              <w:rPr>
                <w:sz w:val="12"/>
                <w:szCs w:val="12"/>
                <w:color w:val="auto"/>
              </w:rPr>
            </w:pPr>
          </w:p>
        </w:tc>
        <w:tc>
          <w:tcPr>
            <w:tcW w:w="2040" w:type="dxa"/>
            <w:vAlign w:val="bottom"/>
            <w:gridSpan w:val="3"/>
            <w:shd w:val="clear" w:color="auto" w:fill="4DC1E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FFFFFF"/>
              </w:rPr>
              <w:t>available for future issuance</w:t>
            </w:r>
          </w:p>
        </w:tc>
        <w:tc>
          <w:tcPr>
            <w:tcW w:w="0" w:type="dxa"/>
            <w:vAlign w:val="bottom"/>
          </w:tcPr>
          <w:p>
            <w:pPr>
              <w:spacing w:after="0"/>
              <w:rPr>
                <w:sz w:val="1"/>
                <w:szCs w:val="1"/>
                <w:color w:val="auto"/>
              </w:rPr>
            </w:pPr>
          </w:p>
        </w:tc>
      </w:tr>
      <w:tr>
        <w:trPr>
          <w:trHeight w:val="148"/>
        </w:trPr>
        <w:tc>
          <w:tcPr>
            <w:tcW w:w="1220" w:type="dxa"/>
            <w:vAlign w:val="bottom"/>
            <w:shd w:val="clear" w:color="auto" w:fill="4DC1E4"/>
          </w:tcPr>
          <w:p>
            <w:pPr>
              <w:spacing w:after="0"/>
              <w:rPr>
                <w:sz w:val="12"/>
                <w:szCs w:val="12"/>
                <w:color w:val="auto"/>
              </w:rPr>
            </w:pPr>
          </w:p>
        </w:tc>
        <w:tc>
          <w:tcPr>
            <w:tcW w:w="2080" w:type="dxa"/>
            <w:vAlign w:val="bottom"/>
            <w:shd w:val="clear" w:color="auto" w:fill="4DC1E4"/>
          </w:tcPr>
          <w:p>
            <w:pPr>
              <w:spacing w:after="0"/>
              <w:rPr>
                <w:sz w:val="12"/>
                <w:szCs w:val="12"/>
                <w:color w:val="auto"/>
              </w:rPr>
            </w:pPr>
          </w:p>
        </w:tc>
        <w:tc>
          <w:tcPr>
            <w:tcW w:w="1060" w:type="dxa"/>
            <w:vAlign w:val="bottom"/>
            <w:shd w:val="clear" w:color="auto" w:fill="4DC1E4"/>
          </w:tcPr>
          <w:p>
            <w:pPr>
              <w:spacing w:after="0"/>
              <w:rPr>
                <w:sz w:val="12"/>
                <w:szCs w:val="12"/>
                <w:color w:val="auto"/>
              </w:rPr>
            </w:pPr>
          </w:p>
        </w:tc>
        <w:tc>
          <w:tcPr>
            <w:tcW w:w="2340" w:type="dxa"/>
            <w:vAlign w:val="bottom"/>
            <w:gridSpan w:val="4"/>
            <w:shd w:val="clear" w:color="auto" w:fill="4DC1E4"/>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FFFFFF"/>
              </w:rPr>
              <w:t>exercise of</w:t>
            </w:r>
          </w:p>
        </w:tc>
        <w:tc>
          <w:tcPr>
            <w:tcW w:w="2280" w:type="dxa"/>
            <w:vAlign w:val="bottom"/>
            <w:gridSpan w:val="4"/>
            <w:shd w:val="clear" w:color="auto" w:fill="4DC1E4"/>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FFFFFF"/>
              </w:rPr>
              <w:t>exercise price of</w:t>
            </w:r>
          </w:p>
        </w:tc>
        <w:tc>
          <w:tcPr>
            <w:tcW w:w="2040" w:type="dxa"/>
            <w:vAlign w:val="bottom"/>
            <w:gridSpan w:val="3"/>
            <w:shd w:val="clear" w:color="auto" w:fill="4DC1E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FFFFFF"/>
              </w:rPr>
              <w:t>under equity compensation plans</w:t>
            </w:r>
          </w:p>
        </w:tc>
        <w:tc>
          <w:tcPr>
            <w:tcW w:w="0" w:type="dxa"/>
            <w:vAlign w:val="bottom"/>
          </w:tcPr>
          <w:p>
            <w:pPr>
              <w:spacing w:after="0"/>
              <w:rPr>
                <w:sz w:val="1"/>
                <w:szCs w:val="1"/>
                <w:color w:val="auto"/>
              </w:rPr>
            </w:pPr>
          </w:p>
        </w:tc>
      </w:tr>
      <w:tr>
        <w:trPr>
          <w:trHeight w:val="148"/>
        </w:trPr>
        <w:tc>
          <w:tcPr>
            <w:tcW w:w="1220" w:type="dxa"/>
            <w:vAlign w:val="bottom"/>
            <w:shd w:val="clear" w:color="auto" w:fill="4DC1E4"/>
          </w:tcPr>
          <w:p>
            <w:pPr>
              <w:spacing w:after="0"/>
              <w:rPr>
                <w:sz w:val="12"/>
                <w:szCs w:val="12"/>
                <w:color w:val="auto"/>
              </w:rPr>
            </w:pPr>
          </w:p>
        </w:tc>
        <w:tc>
          <w:tcPr>
            <w:tcW w:w="2080" w:type="dxa"/>
            <w:vAlign w:val="bottom"/>
            <w:shd w:val="clear" w:color="auto" w:fill="4DC1E4"/>
          </w:tcPr>
          <w:p>
            <w:pPr>
              <w:spacing w:after="0"/>
              <w:rPr>
                <w:sz w:val="12"/>
                <w:szCs w:val="12"/>
                <w:color w:val="auto"/>
              </w:rPr>
            </w:pPr>
          </w:p>
        </w:tc>
        <w:tc>
          <w:tcPr>
            <w:tcW w:w="1060" w:type="dxa"/>
            <w:vAlign w:val="bottom"/>
            <w:shd w:val="clear" w:color="auto" w:fill="4DC1E4"/>
          </w:tcPr>
          <w:p>
            <w:pPr>
              <w:spacing w:after="0"/>
              <w:rPr>
                <w:sz w:val="12"/>
                <w:szCs w:val="12"/>
                <w:color w:val="auto"/>
              </w:rPr>
            </w:pPr>
          </w:p>
        </w:tc>
        <w:tc>
          <w:tcPr>
            <w:tcW w:w="2340" w:type="dxa"/>
            <w:vAlign w:val="bottom"/>
            <w:gridSpan w:val="4"/>
            <w:shd w:val="clear" w:color="auto" w:fill="4DC1E4"/>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FFFFFF"/>
              </w:rPr>
              <w:t>outstanding options</w:t>
            </w:r>
          </w:p>
        </w:tc>
        <w:tc>
          <w:tcPr>
            <w:tcW w:w="2280" w:type="dxa"/>
            <w:vAlign w:val="bottom"/>
            <w:gridSpan w:val="4"/>
            <w:shd w:val="clear" w:color="auto" w:fill="4DC1E4"/>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FFFFFF"/>
              </w:rPr>
              <w:t>outstanding options</w:t>
            </w:r>
          </w:p>
        </w:tc>
        <w:tc>
          <w:tcPr>
            <w:tcW w:w="2040" w:type="dxa"/>
            <w:vAlign w:val="bottom"/>
            <w:gridSpan w:val="3"/>
            <w:shd w:val="clear" w:color="auto" w:fill="4DC1E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FFFFFF"/>
              </w:rPr>
              <w:t>(excluding securities</w:t>
            </w:r>
          </w:p>
        </w:tc>
        <w:tc>
          <w:tcPr>
            <w:tcW w:w="0" w:type="dxa"/>
            <w:vAlign w:val="bottom"/>
          </w:tcPr>
          <w:p>
            <w:pPr>
              <w:spacing w:after="0"/>
              <w:rPr>
                <w:sz w:val="1"/>
                <w:szCs w:val="1"/>
                <w:color w:val="auto"/>
              </w:rPr>
            </w:pPr>
          </w:p>
        </w:tc>
      </w:tr>
      <w:tr>
        <w:trPr>
          <w:trHeight w:val="214"/>
        </w:trPr>
        <w:tc>
          <w:tcPr>
            <w:tcW w:w="3300" w:type="dxa"/>
            <w:vAlign w:val="bottom"/>
            <w:gridSpan w:val="2"/>
            <w:shd w:val="clear" w:color="auto" w:fill="4DC1E4"/>
          </w:tcPr>
          <w:p>
            <w:pPr>
              <w:ind w:left="40"/>
              <w:spacing w:after="0"/>
              <w:rPr>
                <w:sz w:val="20"/>
                <w:szCs w:val="20"/>
                <w:color w:val="auto"/>
              </w:rPr>
            </w:pPr>
            <w:r>
              <w:rPr>
                <w:rFonts w:ascii="Times New Roman" w:cs="Times New Roman" w:eastAsia="Times New Roman" w:hAnsi="Times New Roman"/>
                <w:sz w:val="14"/>
                <w:szCs w:val="14"/>
                <w:b w:val="1"/>
                <w:bCs w:val="1"/>
                <w:color w:val="FFFFFF"/>
              </w:rPr>
              <w:t>Plan Category</w:t>
            </w:r>
          </w:p>
        </w:tc>
        <w:tc>
          <w:tcPr>
            <w:tcW w:w="1060" w:type="dxa"/>
            <w:vAlign w:val="bottom"/>
            <w:shd w:val="clear" w:color="auto" w:fill="4DC1E4"/>
          </w:tcPr>
          <w:p>
            <w:pPr>
              <w:spacing w:after="0"/>
              <w:rPr>
                <w:sz w:val="18"/>
                <w:szCs w:val="18"/>
                <w:color w:val="auto"/>
              </w:rPr>
            </w:pPr>
          </w:p>
        </w:tc>
        <w:tc>
          <w:tcPr>
            <w:tcW w:w="2340" w:type="dxa"/>
            <w:vAlign w:val="bottom"/>
            <w:gridSpan w:val="4"/>
            <w:shd w:val="clear" w:color="auto" w:fill="4DC1E4"/>
          </w:tcPr>
          <w:p>
            <w:pPr>
              <w:jc w:val="center"/>
              <w:ind w:right="1060"/>
              <w:spacing w:after="0"/>
              <w:rPr>
                <w:sz w:val="20"/>
                <w:szCs w:val="20"/>
                <w:color w:val="auto"/>
              </w:rPr>
            </w:pPr>
            <w:r>
              <w:rPr>
                <w:rFonts w:ascii="Times New Roman" w:cs="Times New Roman" w:eastAsia="Times New Roman" w:hAnsi="Times New Roman"/>
                <w:sz w:val="14"/>
                <w:szCs w:val="14"/>
                <w:b w:val="1"/>
                <w:bCs w:val="1"/>
                <w:color w:val="FFFFFF"/>
              </w:rPr>
              <w:t>and other rights</w:t>
            </w:r>
          </w:p>
        </w:tc>
        <w:tc>
          <w:tcPr>
            <w:tcW w:w="2280" w:type="dxa"/>
            <w:vAlign w:val="bottom"/>
            <w:gridSpan w:val="4"/>
            <w:shd w:val="clear" w:color="auto" w:fill="4DC1E4"/>
          </w:tcPr>
          <w:p>
            <w:pPr>
              <w:jc w:val="center"/>
              <w:ind w:right="1080"/>
              <w:spacing w:after="0"/>
              <w:rPr>
                <w:sz w:val="20"/>
                <w:szCs w:val="20"/>
                <w:color w:val="auto"/>
              </w:rPr>
            </w:pPr>
            <w:r>
              <w:rPr>
                <w:rFonts w:ascii="Times New Roman" w:cs="Times New Roman" w:eastAsia="Times New Roman" w:hAnsi="Times New Roman"/>
                <w:sz w:val="14"/>
                <w:szCs w:val="14"/>
                <w:b w:val="1"/>
                <w:bCs w:val="1"/>
                <w:color w:val="FFFFFF"/>
              </w:rPr>
              <w:t>and other rights</w:t>
            </w:r>
          </w:p>
        </w:tc>
        <w:tc>
          <w:tcPr>
            <w:tcW w:w="2040" w:type="dxa"/>
            <w:vAlign w:val="bottom"/>
            <w:gridSpan w:val="3"/>
            <w:shd w:val="clear" w:color="auto" w:fill="4DC1E4"/>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reflected in column (a))</w:t>
            </w:r>
          </w:p>
        </w:tc>
        <w:tc>
          <w:tcPr>
            <w:tcW w:w="0" w:type="dxa"/>
            <w:vAlign w:val="bottom"/>
          </w:tcPr>
          <w:p>
            <w:pPr>
              <w:spacing w:after="0"/>
              <w:rPr>
                <w:sz w:val="1"/>
                <w:szCs w:val="1"/>
                <w:color w:val="auto"/>
              </w:rPr>
            </w:pPr>
          </w:p>
        </w:tc>
      </w:tr>
      <w:tr>
        <w:trPr>
          <w:trHeight w:val="148"/>
        </w:trPr>
        <w:tc>
          <w:tcPr>
            <w:tcW w:w="3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60" w:type="dxa"/>
            <w:vAlign w:val="bottom"/>
            <w:gridSpan w:val="3"/>
          </w:tcPr>
          <w:p>
            <w:pPr>
              <w:jc w:val="center"/>
              <w:ind w:right="1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480" w:type="dxa"/>
            <w:vAlign w:val="bottom"/>
          </w:tcPr>
          <w:p>
            <w:pPr>
              <w:spacing w:after="0"/>
              <w:rPr>
                <w:sz w:val="12"/>
                <w:szCs w:val="12"/>
                <w:color w:val="auto"/>
              </w:rPr>
            </w:pPr>
          </w:p>
        </w:tc>
        <w:tc>
          <w:tcPr>
            <w:tcW w:w="1800" w:type="dxa"/>
            <w:vAlign w:val="bottom"/>
            <w:gridSpan w:val="3"/>
          </w:tcPr>
          <w:p>
            <w:pPr>
              <w:jc w:val="center"/>
              <w:ind w:right="15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840" w:type="dxa"/>
            <w:vAlign w:val="bottom"/>
          </w:tcPr>
          <w:p>
            <w:pPr>
              <w:spacing w:after="0"/>
              <w:rPr>
                <w:sz w:val="12"/>
                <w:szCs w:val="12"/>
                <w:color w:val="auto"/>
              </w:rPr>
            </w:pPr>
          </w:p>
        </w:tc>
        <w:tc>
          <w:tcPr>
            <w:tcW w:w="120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78"/>
        </w:trPr>
        <w:tc>
          <w:tcPr>
            <w:tcW w:w="330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2,523,305</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$18.88</w:t>
            </w:r>
          </w:p>
        </w:tc>
        <w:tc>
          <w:tcPr>
            <w:tcW w:w="1080" w:type="dxa"/>
            <w:vAlign w:val="bottom"/>
          </w:tcPr>
          <w:p>
            <w:pPr>
              <w:spacing w:after="0"/>
              <w:rPr>
                <w:sz w:val="18"/>
                <w:szCs w:val="18"/>
                <w:color w:val="auto"/>
              </w:rPr>
            </w:pPr>
          </w:p>
        </w:tc>
        <w:tc>
          <w:tcPr>
            <w:tcW w:w="2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993,419 (1) (2)</w:t>
            </w:r>
          </w:p>
        </w:tc>
        <w:tc>
          <w:tcPr>
            <w:tcW w:w="0" w:type="dxa"/>
            <w:vAlign w:val="bottom"/>
          </w:tcPr>
          <w:p>
            <w:pPr>
              <w:spacing w:after="0"/>
              <w:rPr>
                <w:sz w:val="1"/>
                <w:szCs w:val="1"/>
                <w:color w:val="auto"/>
              </w:rPr>
            </w:pPr>
          </w:p>
        </w:tc>
      </w:tr>
      <w:tr>
        <w:trPr>
          <w:trHeight w:val="216"/>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2,523,305</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993,419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60" w:hanging="424"/>
        <w:spacing w:after="0" w:line="255"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shares available for issuance under the Company’s 2020 Equity Incentive Plan (the “2020 Plan”). The 2020 Plan contains an “evergreen” provision, pursuant to which, on January 1, 2021 and each anniversary of such date thereafter, the maximum number of shares reserved for issuance under the plan is increased by a number equal to the lesser of (i) 4% of the shares issued and outstanding on December 31 of the preceding year and (ii) a smaller number of shares of common stock as determined by the Board.</w:t>
      </w:r>
    </w:p>
    <w:p>
      <w:pPr>
        <w:spacing w:after="0" w:line="2" w:lineRule="exact"/>
        <w:rPr>
          <w:rFonts w:ascii="Times New Roman" w:cs="Times New Roman" w:eastAsia="Times New Roman" w:hAnsi="Times New Roman"/>
          <w:sz w:val="18"/>
          <w:szCs w:val="18"/>
          <w:color w:val="auto"/>
        </w:rPr>
      </w:pPr>
    </w:p>
    <w:p>
      <w:pPr>
        <w:ind w:left="540" w:right="220" w:hanging="424"/>
        <w:spacing w:after="0" w:line="255"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2022, 708,418 shares were added to the 2020 Plan in accordance with the evergreen feature described above, increasing the maximum number of shares of the Company’s common stock that may be issued under the 2020 Plan to 1,701,837 shares. This increase is not reflected in the table above.</w:t>
      </w:r>
    </w:p>
    <w:p>
      <w:pPr>
        <w:spacing w:after="0" w:line="18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Other information with respect to this item is set forth in this Proxy Statement under the headings “Security Ownership of Certain Beneficial Owners and Management,” “Executive Compensation,” and “Director Compensation,” and is incorporated herein by reference.</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27</w:t>
      </w:r>
    </w:p>
    <w:p>
      <w:pPr>
        <w:sectPr>
          <w:pgSz w:w="11900" w:h="16838" w:orient="portrait"/>
          <w:cols w:equalWidth="0" w:num="1">
            <w:col w:w="1114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1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as of April 4, 2022 by (a) each person known by us to be the beneficial owner of more than 5% of the outstanding shares of common stock, (b) each named executive officer identified in the “Summary Compensation Table” above, (c) each director and nominee for director, and (d) all executive officers and directors as a group.</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percentage of common stock outstanding is based on 17,710,450 shares of our common stock outstanding as of April 4, 2022. For purposes of the table below, and in accordance with the rules of the SEC, we deem shares of common stock subject to options, warrants or other derivative securities of the Company that are currently exercisable or exercisable within sixty days of April 4, 2022 to be outstanding and to be beneficially owned by the person holding such securities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Larimar Therapeutics, Inc., Three Bala Plaza East, Suite 506, Bala Cynwyd, PA 19004.</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40" w:type="dxa"/>
            <w:vAlign w:val="bottom"/>
            <w:gridSpan w:val="2"/>
            <w:vMerge w:val="restart"/>
            <w:shd w:val="clear" w:color="auto" w:fill="4DC1E4"/>
          </w:tcPr>
          <w:p>
            <w:pPr>
              <w:ind w:left="40"/>
              <w:spacing w:after="0"/>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AME OF</w:t>
            </w:r>
            <w:r>
              <w:rPr>
                <w:rFonts w:ascii="Times New Roman" w:cs="Times New Roman" w:eastAsia="Times New Roman" w:hAnsi="Times New Roman"/>
                <w:sz w:val="14"/>
                <w:szCs w:val="14"/>
                <w:b w:val="1"/>
                <w:bCs w:val="1"/>
                <w:color w:val="FFFFFF"/>
              </w:rPr>
              <w:t xml:space="preserve"> B</w:t>
            </w:r>
            <w:r>
              <w:rPr>
                <w:rFonts w:ascii="Times New Roman" w:cs="Times New Roman" w:eastAsia="Times New Roman" w:hAnsi="Times New Roman"/>
                <w:sz w:val="11"/>
                <w:szCs w:val="11"/>
                <w:b w:val="1"/>
                <w:bCs w:val="1"/>
                <w:color w:val="FFFFFF"/>
              </w:rPr>
              <w:t>ENEFICIAL</w:t>
            </w:r>
            <w:r>
              <w:rPr>
                <w:rFonts w:ascii="Times New Roman" w:cs="Times New Roman" w:eastAsia="Times New Roman" w:hAnsi="Times New Roman"/>
                <w:sz w:val="14"/>
                <w:szCs w:val="14"/>
                <w:b w:val="1"/>
                <w:bCs w:val="1"/>
                <w:color w:val="FFFFFF"/>
              </w:rPr>
              <w:t xml:space="preserve"> O</w:t>
            </w:r>
            <w:r>
              <w:rPr>
                <w:rFonts w:ascii="Times New Roman" w:cs="Times New Roman" w:eastAsia="Times New Roman" w:hAnsi="Times New Roman"/>
                <w:sz w:val="11"/>
                <w:szCs w:val="11"/>
                <w:b w:val="1"/>
                <w:bCs w:val="1"/>
                <w:color w:val="FFFFFF"/>
              </w:rPr>
              <w:t>WNER</w:t>
            </w:r>
          </w:p>
        </w:tc>
        <w:tc>
          <w:tcPr>
            <w:tcW w:w="800" w:type="dxa"/>
            <w:vAlign w:val="bottom"/>
            <w:shd w:val="clear" w:color="auto" w:fill="4DC1E4"/>
          </w:tcPr>
          <w:p>
            <w:pPr>
              <w:spacing w:after="0"/>
              <w:rPr>
                <w:sz w:val="13"/>
                <w:szCs w:val="13"/>
                <w:color w:val="auto"/>
              </w:rPr>
            </w:pPr>
          </w:p>
        </w:tc>
        <w:tc>
          <w:tcPr>
            <w:tcW w:w="3180" w:type="dxa"/>
            <w:vAlign w:val="bottom"/>
            <w:gridSpan w:val="4"/>
            <w:shd w:val="clear" w:color="auto" w:fill="4DC1E4"/>
          </w:tcPr>
          <w:p>
            <w:pPr>
              <w:jc w:val="right"/>
              <w:ind w:right="700"/>
              <w:spacing w:after="0"/>
              <w:rPr>
                <w:sz w:val="20"/>
                <w:szCs w:val="20"/>
                <w:color w:val="auto"/>
              </w:rPr>
            </w:pPr>
            <w:r>
              <w:rPr>
                <w:rFonts w:ascii="Times New Roman" w:cs="Times New Roman" w:eastAsia="Times New Roman" w:hAnsi="Times New Roman"/>
                <w:sz w:val="14"/>
                <w:szCs w:val="14"/>
                <w:b w:val="1"/>
                <w:bCs w:val="1"/>
                <w:color w:val="FFFFFF"/>
              </w:rPr>
              <w:t>S</w:t>
            </w:r>
            <w:r>
              <w:rPr>
                <w:rFonts w:ascii="Times New Roman" w:cs="Times New Roman" w:eastAsia="Times New Roman" w:hAnsi="Times New Roman"/>
                <w:sz w:val="11"/>
                <w:szCs w:val="11"/>
                <w:b w:val="1"/>
                <w:bCs w:val="1"/>
                <w:color w:val="FFFFFF"/>
              </w:rPr>
              <w:t>HARES</w:t>
            </w:r>
            <w:r>
              <w:rPr>
                <w:rFonts w:ascii="Times New Roman" w:cs="Times New Roman" w:eastAsia="Times New Roman" w:hAnsi="Times New Roman"/>
                <w:sz w:val="14"/>
                <w:szCs w:val="14"/>
                <w:b w:val="1"/>
                <w:bCs w:val="1"/>
                <w:color w:val="FFFFFF"/>
              </w:rPr>
              <w:t xml:space="preserve"> B</w:t>
            </w:r>
            <w:r>
              <w:rPr>
                <w:rFonts w:ascii="Times New Roman" w:cs="Times New Roman" w:eastAsia="Times New Roman" w:hAnsi="Times New Roman"/>
                <w:sz w:val="11"/>
                <w:szCs w:val="11"/>
                <w:b w:val="1"/>
                <w:bCs w:val="1"/>
                <w:color w:val="FFFFFF"/>
              </w:rPr>
              <w:t>ENEFICIALLY</w:t>
            </w:r>
            <w:r>
              <w:rPr>
                <w:rFonts w:ascii="Times New Roman" w:cs="Times New Roman" w:eastAsia="Times New Roman" w:hAnsi="Times New Roman"/>
                <w:sz w:val="14"/>
                <w:szCs w:val="14"/>
                <w:b w:val="1"/>
                <w:bCs w:val="1"/>
                <w:color w:val="FFFFFF"/>
              </w:rPr>
              <w:t xml:space="preserve"> O</w:t>
            </w:r>
            <w:r>
              <w:rPr>
                <w:rFonts w:ascii="Times New Roman" w:cs="Times New Roman" w:eastAsia="Times New Roman" w:hAnsi="Times New Roman"/>
                <w:sz w:val="11"/>
                <w:szCs w:val="11"/>
                <w:b w:val="1"/>
                <w:bCs w:val="1"/>
                <w:color w:val="FFFFFF"/>
              </w:rPr>
              <w:t>WNED</w:t>
            </w:r>
          </w:p>
        </w:tc>
        <w:tc>
          <w:tcPr>
            <w:tcW w:w="0" w:type="dxa"/>
            <w:vAlign w:val="bottom"/>
          </w:tcPr>
          <w:p>
            <w:pPr>
              <w:spacing w:after="0"/>
              <w:rPr>
                <w:sz w:val="1"/>
                <w:szCs w:val="1"/>
                <w:color w:val="auto"/>
              </w:rPr>
            </w:pPr>
          </w:p>
        </w:tc>
      </w:tr>
      <w:tr>
        <w:trPr>
          <w:trHeight w:val="129"/>
        </w:trPr>
        <w:tc>
          <w:tcPr>
            <w:tcW w:w="6140" w:type="dxa"/>
            <w:vAlign w:val="bottom"/>
            <w:tcBorders>
              <w:top w:val="single" w:sz="8" w:color="4DC1E4"/>
            </w:tcBorders>
            <w:gridSpan w:val="2"/>
            <w:vMerge w:val="continue"/>
            <w:shd w:val="clear" w:color="auto" w:fill="4DC1E4"/>
          </w:tcPr>
          <w:p>
            <w:pPr>
              <w:spacing w:after="0"/>
              <w:rPr>
                <w:sz w:val="11"/>
                <w:szCs w:val="11"/>
                <w:color w:val="auto"/>
              </w:rPr>
            </w:pPr>
          </w:p>
        </w:tc>
        <w:tc>
          <w:tcPr>
            <w:tcW w:w="800" w:type="dxa"/>
            <w:vAlign w:val="bottom"/>
            <w:tcBorders>
              <w:top w:val="single" w:sz="8" w:color="4DC1E4"/>
            </w:tcBorders>
            <w:shd w:val="clear" w:color="auto" w:fill="4DC1E4"/>
          </w:tcPr>
          <w:p>
            <w:pPr>
              <w:spacing w:after="0"/>
              <w:rPr>
                <w:sz w:val="11"/>
                <w:szCs w:val="11"/>
                <w:color w:val="auto"/>
              </w:rPr>
            </w:pPr>
          </w:p>
        </w:tc>
        <w:tc>
          <w:tcPr>
            <w:tcW w:w="2140" w:type="dxa"/>
            <w:vAlign w:val="bottom"/>
            <w:tcBorders>
              <w:top w:val="single" w:sz="8" w:color="auto"/>
            </w:tcBorders>
            <w:gridSpan w:val="2"/>
            <w:shd w:val="clear" w:color="auto" w:fill="4DC1E4"/>
          </w:tcPr>
          <w:p>
            <w:pPr>
              <w:jc w:val="right"/>
              <w:ind w:right="860"/>
              <w:spacing w:after="0" w:line="129" w:lineRule="exact"/>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UMBER OF</w:t>
            </w:r>
            <w:r>
              <w:rPr>
                <w:rFonts w:ascii="Times New Roman" w:cs="Times New Roman" w:eastAsia="Times New Roman" w:hAnsi="Times New Roman"/>
                <w:sz w:val="14"/>
                <w:szCs w:val="14"/>
                <w:b w:val="1"/>
                <w:bCs w:val="1"/>
                <w:color w:val="FFFFFF"/>
              </w:rPr>
              <w:t xml:space="preserve"> S</w:t>
            </w:r>
            <w:r>
              <w:rPr>
                <w:rFonts w:ascii="Times New Roman" w:cs="Times New Roman" w:eastAsia="Times New Roman" w:hAnsi="Times New Roman"/>
                <w:sz w:val="11"/>
                <w:szCs w:val="11"/>
                <w:b w:val="1"/>
                <w:bCs w:val="1"/>
                <w:color w:val="FFFFFF"/>
              </w:rPr>
              <w:t>HARES</w:t>
            </w:r>
          </w:p>
        </w:tc>
        <w:tc>
          <w:tcPr>
            <w:tcW w:w="840" w:type="dxa"/>
            <w:vAlign w:val="bottom"/>
            <w:tcBorders>
              <w:top w:val="single" w:sz="8" w:color="auto"/>
            </w:tcBorders>
            <w:shd w:val="clear" w:color="auto" w:fill="4DC1E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FFFFFF"/>
              </w:rPr>
              <w:t>P</w:t>
            </w:r>
            <w:r>
              <w:rPr>
                <w:rFonts w:ascii="Times New Roman" w:cs="Times New Roman" w:eastAsia="Times New Roman" w:hAnsi="Times New Roman"/>
                <w:sz w:val="11"/>
                <w:szCs w:val="11"/>
                <w:b w:val="1"/>
                <w:bCs w:val="1"/>
                <w:color w:val="FFFFFF"/>
              </w:rPr>
              <w:t>ERCENTAGE</w:t>
            </w:r>
          </w:p>
        </w:tc>
        <w:tc>
          <w:tcPr>
            <w:tcW w:w="200" w:type="dxa"/>
            <w:vAlign w:val="bottom"/>
            <w:tcBorders>
              <w:top w:val="single" w:sz="8" w:color="4DC1E4"/>
            </w:tcBorders>
            <w:shd w:val="clear" w:color="auto" w:fill="4DC1E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4200" w:type="dxa"/>
            <w:vAlign w:val="bottom"/>
            <w:shd w:val="clear" w:color="auto" w:fill="4DC1E4"/>
          </w:tcPr>
          <w:p>
            <w:pPr>
              <w:spacing w:after="0" w:line="20" w:lineRule="exact"/>
              <w:rPr>
                <w:sz w:val="1"/>
                <w:szCs w:val="1"/>
                <w:color w:val="auto"/>
              </w:rPr>
            </w:pPr>
          </w:p>
        </w:tc>
        <w:tc>
          <w:tcPr>
            <w:tcW w:w="800" w:type="dxa"/>
            <w:vAlign w:val="bottom"/>
            <w:shd w:val="clear" w:color="auto" w:fill="4DC1E4"/>
          </w:tcPr>
          <w:p>
            <w:pPr>
              <w:spacing w:after="0" w:line="20" w:lineRule="exact"/>
              <w:rPr>
                <w:sz w:val="1"/>
                <w:szCs w:val="1"/>
                <w:color w:val="auto"/>
              </w:rPr>
            </w:pPr>
          </w:p>
        </w:tc>
        <w:tc>
          <w:tcPr>
            <w:tcW w:w="1280" w:type="dxa"/>
            <w:vAlign w:val="bottom"/>
            <w:tcBorders>
              <w:bottom w:val="single" w:sz="8" w:color="auto"/>
            </w:tcBorders>
            <w:shd w:val="clear" w:color="auto" w:fill="4DC1E4"/>
          </w:tcPr>
          <w:p>
            <w:pPr>
              <w:spacing w:after="0" w:line="20" w:lineRule="exact"/>
              <w:rPr>
                <w:sz w:val="1"/>
                <w:szCs w:val="1"/>
                <w:color w:val="auto"/>
              </w:rPr>
            </w:pPr>
          </w:p>
        </w:tc>
        <w:tc>
          <w:tcPr>
            <w:tcW w:w="860" w:type="dxa"/>
            <w:vAlign w:val="bottom"/>
            <w:shd w:val="clear" w:color="auto" w:fill="4DC1E4"/>
          </w:tcPr>
          <w:p>
            <w:pPr>
              <w:spacing w:after="0" w:line="20" w:lineRule="exact"/>
              <w:rPr>
                <w:sz w:val="1"/>
                <w:szCs w:val="1"/>
                <w:color w:val="auto"/>
              </w:rPr>
            </w:pPr>
          </w:p>
        </w:tc>
        <w:tc>
          <w:tcPr>
            <w:tcW w:w="840" w:type="dxa"/>
            <w:vAlign w:val="bottom"/>
            <w:tcBorders>
              <w:bottom w:val="single" w:sz="8" w:color="auto"/>
            </w:tcBorders>
            <w:shd w:val="clear" w:color="auto" w:fill="4DC1E4"/>
          </w:tcPr>
          <w:p>
            <w:pPr>
              <w:spacing w:after="0" w:line="20" w:lineRule="exact"/>
              <w:rPr>
                <w:sz w:val="1"/>
                <w:szCs w:val="1"/>
                <w:color w:val="auto"/>
              </w:rPr>
            </w:pPr>
          </w:p>
        </w:tc>
        <w:tc>
          <w:tcPr>
            <w:tcW w:w="200" w:type="dxa"/>
            <w:vAlign w:val="bottom"/>
            <w:shd w:val="clear" w:color="auto" w:fill="4DC1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Entities affiliated with Deerfield Management (1)</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5,848,693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32.99%</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Entities affiliated with CHI Advisors (2)</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1,515,148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Entities affiliated with Vivo Capital (3)</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399,830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 Capital (4)</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1,334,610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Opaleye Management (5)</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943,702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Carole S. Ben-Maimon, M.D. (6)</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428,411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Celano (7)</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82,784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Peter Barrett, Ph.D. (8)</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323,906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Thomas O. Daniel, M.D. (9)</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29,615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Frank E. Thomas (10)</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26,678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Jonathan Leff (11)</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Thomas E. Hamilton (12)</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311,297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324"/>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Joseph Truitt (13)</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18,444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 persons) (14)</w:t>
            </w:r>
          </w:p>
        </w:tc>
        <w:tc>
          <w:tcPr>
            <w:tcW w:w="2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1,221,135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360" w:hanging="424"/>
        <w:spacing w:after="0" w:line="253"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jointly filed with the SEC on July 2, 2021 by Deerfield Private Design Fund III, L.P., Deerfield Healthcare Innovations Fund, L.P., Deerfield Private Design Fund IV, L.P., Deerfield Mgmt III, L.P., Deerfield Mgmt HIF, L.P., Deerfield Mgmt IV, L.P., Deerfield Management Company, L.P. and James E. Flynn reflecting information as of June 30, 2021, consists of (a) 1,943,406 shares held by Deerfield Private Design Fund III, L.P., (b) 1,943,420 shares held by Deerfield Healthcare Innovations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28</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SECURITY OWNERSHIP OF CERTAIN BENEFICIAL OWNERS AND MANAGEMENT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540" w:right="60"/>
        <w:spacing w:after="0" w:line="251" w:lineRule="auto"/>
        <w:rPr>
          <w:sz w:val="20"/>
          <w:szCs w:val="20"/>
          <w:color w:val="auto"/>
        </w:rPr>
      </w:pPr>
      <w:r>
        <w:rPr>
          <w:rFonts w:ascii="Times New Roman" w:cs="Times New Roman" w:eastAsia="Times New Roman" w:hAnsi="Times New Roman"/>
          <w:sz w:val="18"/>
          <w:szCs w:val="18"/>
          <w:color w:val="auto"/>
        </w:rPr>
        <w:t>Fund, L.P., (c) 1,943,423 shares held by Deerfield Private Design Fund IV, L.P., (d) 1,943,406 shares held by Deerfield Mgmt III, L.P., (e) 1,943,420 shares held by Deerfield Mgmt HIF, L.P., (f) 1,943,423 shares held by Deerfield Mgmt IV, L.P., (g) 5,836,243 shares held by Deerfield Management Company, L.P., (h) 5,830,263 shares held by James E. Flynn and (i) 18,444 shares of common stock issuable upon the exercise of an equal number of options that are currently exercisable or will be exercisable within 60 days of April 4, 2022 held by Jonathan Leff for the benefit, and the direction, of Deerfield Management Company L.P. Deerfield Mgmt IV, L.P. is the general partner of Deerfield Private Design Fund IV, L.P. Deerfield Mgmt HIF, L.P. is the general partner of Deerfield Healthcare Innovations Fund, L.P. Deerfield Mgmt III, L.P. is the general partner of Deerfield Private Design Fund III, L.P. (collectively with Deerfield Healthcare Innovations Fund, L.P. and Deerfield Private Design Fund IV, L.P., the “Deerfield Funds”). Deerfield Management Company, L.P. is the investment manager of the Deerfield Funds. Mr. James E. Flynn is the sole member of the general partner of each of Deerfield Mgmt IV, L.P., Deerfield Mgmt HIF, L.P., Deerfield Mgmt III, L.P. and Deerfield Management Company, L.P. Deerfield Mgmt IV, L.P., Deerfield Management Company, L.P. and Mr. James E. Flynn may be deemed to beneficially own the securities held by Deerfield Private Design Fund IV, L.P. Deerfield Mgmt HIF, L.P., Deerfield Management Company, L.P. and Mr. James E. Flynn may be deemed to beneficially own the securities held by Deerfield Healthcare Innovations Fund, L.P. Deerfield Mgmt III, L.P., Deerfield Management Company, L.P. and Mr. James E. Flynn may be deemed to beneficially own the securities held by Deerfield Private Design Fund III, L.P. The address of each of Deerfield Private Design Fund IV, L.P, Deerfield Healthcare Innovations Fund, L.P. and Deerfield Private Design Fund III, L.P. is c/o Deerfield Management Company, L.P., 345 Park Avenue South, 12th Floor, New York, New York 10010.</w:t>
      </w:r>
    </w:p>
    <w:p>
      <w:pPr>
        <w:spacing w:after="0" w:line="11" w:lineRule="exact"/>
        <w:rPr>
          <w:sz w:val="20"/>
          <w:szCs w:val="20"/>
          <w:color w:val="auto"/>
        </w:rPr>
      </w:pPr>
    </w:p>
    <w:p>
      <w:pPr>
        <w:ind w:left="540" w:right="2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11, 2022 by CHI Advisors LLC reflecting information as of December 31, 2021, consists of (a) 563,391 shares held by Cowen Healthcare Investments II LP, (b) 875,752 shares held by Cowen Healthcare Investments III LP, (c) 42,482 shares held by CHI EF II LP, and (d) 33,523 shares held by CHI EF III LP. CHI Advisors LLC is the investment manager of Cowen Healthcare Investments II LP, Cowen Healthcare Investments III LP, CHI EF, II LP and CHI EF III LP and has voting and investment power with respect to the securities held by each of the respective entities. Beneficial ownership reported does not include an aggregate of 628,403 shares of common stock that Cowen Healthcare Investments II LP, Cowen Healthcare Investments III, L.P., CHI EF II LP and CHI EF III LP (each, a “Warrant Holder”) have the right to acquire through Pre-Funded Warrants that were issued in the Private Placement, subject to the Ownership Cap (as defined below). Under the terms of the Pre-Funded Warrants, each Warrant Holder is prohibited from exercising such warrant if exercise would cause the number of shares then owned by the Warrant Holders and their affiliates to exceed 9.99% of the total number of shares of the Company’s common stock then outstanding (the “Ownership Cap”). Accordingly, the Warrant Holders and CHI Advisors LLC disclaim beneficial ownership of the shares of common stock issuable upon exercise of the Pre-Funded Warrant to the extent that upon such exercise the number of shares beneficially owned by the Warrant Holders and their affiliates, in the aggregate, would exceed the Ownership Cap. The business address for each of Cowen Healthcare Investments II LP, Cowen Healthcare Investments III LP, CHI EF II LP and CHI EF III LP is c/o CHI Advisors LLC, 599 Lexington Avenue, 19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w:t>
      </w:r>
    </w:p>
    <w:p>
      <w:pPr>
        <w:spacing w:after="0" w:line="5"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jointly filed with the SEC on February 11, 2022 by Vivo Capital IX, LLC and Vivo Opportunity, LLC reflecting information as of December 31, 2021, consists of (a) 326,888 shares held by Vivo Opportunity Fund Holdings, L.P. and (b) 72,942 shares held by Vivo Capital Fund IX, L.P. Vivo Opportunity, LLC is the general partner of Vivo Opportunity Fund Holdings, L.P. The voting members of Vivo Opportunity, LLC are Gaurav Aggarwal, Hongbo Lu, Kevin Dai, Frank Kung and Michael Chang, none of whom has individual voting or investment power with respect to the shares of common stock held by Vivo Opportunity Fund Holdings, L.P. and each of whom disclaims beneficial ownership of such shares except to the extent of his pecuniary interests therein. Vivo Capital IX, LLC is the general partner of Vivo Capital Fund IX, L.P. The voting members of Vivo Capital IX, LLC are Frank Kung, Edgar Engleman, Shan Fu, Hongbo Lu, Mahendra Shah, Jack Nielsen and Michael Chang, none of</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29</w:t>
      </w:r>
    </w:p>
    <w:p>
      <w:pPr>
        <w:sectPr>
          <w:pgSz w:w="11900" w:h="16838" w:orient="portrait"/>
          <w:cols w:equalWidth="0" w:num="1">
            <w:col w:w="11140"/>
          </w:cols>
          <w:pgMar w:left="32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SECURITY OWNERSHIP OF CERTAIN BENEFICIAL OWNERS AND MANAGEMENT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540" w:right="140"/>
        <w:spacing w:after="0" w:line="272" w:lineRule="auto"/>
        <w:rPr>
          <w:sz w:val="20"/>
          <w:szCs w:val="20"/>
          <w:color w:val="auto"/>
        </w:rPr>
      </w:pPr>
      <w:r>
        <w:rPr>
          <w:rFonts w:ascii="Times New Roman" w:cs="Times New Roman" w:eastAsia="Times New Roman" w:hAnsi="Times New Roman"/>
          <w:sz w:val="17"/>
          <w:szCs w:val="17"/>
          <w:color w:val="auto"/>
        </w:rPr>
        <w:t>whom has individual voting or investment power with respect to the shares of common stock held by Vivo Capital Fund IX, L.P. and each of whom disclaims beneficial ownership of such shares except to the extent of his pecuniary interests therein. The business address for each of Vivo Opportunity Fund Holdings, L.P. and Vivo Capital Fund IX, L.P. is c/o Vivo Capital LLC, 192 Lytton Avenue, Palo Alto, California 94301.</w:t>
      </w:r>
    </w:p>
    <w:p>
      <w:pPr>
        <w:spacing w:after="0" w:line="2" w:lineRule="exact"/>
        <w:rPr>
          <w:sz w:val="20"/>
          <w:szCs w:val="20"/>
          <w:color w:val="auto"/>
        </w:rPr>
      </w:pPr>
    </w:p>
    <w:p>
      <w:pPr>
        <w:ind w:left="540" w:right="160" w:hanging="424"/>
        <w:spacing w:after="0" w:line="265" w:lineRule="auto"/>
        <w:tabs>
          <w:tab w:leader="none" w:pos="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a joint Schedule 13G/A filed with the SEC on February 14, 2022 by RA Capital Management, L.P. (“RA Capital”) and RA Capital Healthcare Fund, L.P. (“RA Healthcare Fund”) reflecting information as of December 31, 2021, consists of 1,334,610 shares. RA Capital is the investment adviser of the RA Healthcare Fund. The general partner of RA Capital is RA Capital Management GP, LLC of which Peter Kolchinsky, Ph.D. and Rajeev Shah are the managing members. RA Capital Healthcare Fund GP, LLC is the general partner of RA Healthcare Fund. RA Healthcare Fund has delegated to RA Capital voting and investment power over the shares held by RA Healthcare Fund. The business address for RA Healthcare Fund is c/o RA Capital Management, L.P., 200 Berkeley Street, 18</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Floor, Boston, Massachusetts 02116.</w:t>
      </w:r>
    </w:p>
    <w:p>
      <w:pPr>
        <w:ind w:left="540" w:right="16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18, 2022 by Opaleye, L.P. (“Opaleye Fund”) reflecting information as of February 15, 2022, consists of (a) 895,000 shares held by Opaleye Fund and (b) 48,702 held by a separate managed account (“Managed Account”). Opaleye Management, Inc. (“Opaleye Investment Manager”) serves as investment manager of the Opaleye Fund and as a portfolio manager for the Managed Account. James Silverman is the President of the Opaleye Investment Manager. Accordingly, the Opaleye Investment Manager and Mr. Silverman may be deemed to beneficially own the 943,702 shares owned by the Opaleye Fund and the Managed Account. The Opaleye Investment Manager and Mr. Silverman share voting and dispositive power over the 943,702 shares they may be deemed to beneficially own with the Opaleye Fund and the Managed Account. The business address of each of Opaleye Fund and Opaleye Investment Manager is One Boston Place, 26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Boston, Massachusetts 02108.</w:t>
      </w:r>
    </w:p>
    <w:p>
      <w:pPr>
        <w:spacing w:after="0" w:line="3"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25,083 shares directly beneficially owned by Dr. Ben-Maimon and (ii) 403,328 shares of common stock issuable upon the exercise of an equal number of options that are currently exercisable or will be exercisable within 60 days of April 4, 2022.</w:t>
      </w:r>
    </w:p>
    <w:p>
      <w:pPr>
        <w:ind w:left="540" w:right="46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82,784 shares of common stock issuable upon the exercise of an equal number of options that are currently exercisable or will be exercisable within 60 days of April 4, 2022.</w:t>
      </w:r>
    </w:p>
    <w:p>
      <w:pPr>
        <w:ind w:left="540" w:right="20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833 shares directly beneficially owned by Dr. Barrett, (ii) 30,891 shares of common stock issuable upon the exercise of an equal number of options that are currently exercisable or will be exercisable within 60 days of April 4, 2022 and (iii) 292,182 shares of common stock directly held by Atlas Venture Fund VII, L.P.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 Dr. Barrett’s business address is 400 Technology Square, Cambridge, MA 02139.</w:t>
      </w:r>
    </w:p>
    <w:p>
      <w:pPr>
        <w:spacing w:after="0" w:line="1"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1,621 shares directly beneficially owned by Dr. Daniel and (ii) 27,994 shares of common stock issuable upon the exercise of an equal number of options that are currently exercisable or will be exercisable within 60 days of April 4, 2022.</w:t>
      </w:r>
    </w:p>
    <w:p>
      <w:pPr>
        <w:ind w:left="540" w:right="46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26,678 shares of common stock issuable upon the exercise of an equal number of options that are currently exercisable or will be exercisable within 60 days of April 4, 2022.</w:t>
      </w:r>
    </w:p>
    <w:p>
      <w:pPr>
        <w:ind w:left="540" w:right="1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Leff disclaims beneficial ownership of the shares referred to in footnote 1 above, including 18,444 shares of common stock issuable upon the exercise of an equal number of options that are currently exercisable or will be exercisable within 60 days of April 4, 2022 that Mr. Leff, our director, holds for the benefit, and the direction, of Deerfield Management Company.</w:t>
      </w:r>
    </w:p>
    <w:p>
      <w:pPr>
        <w:spacing w:after="0" w:line="1"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133,420 shares directly beneficially owned by Thomas E. Hamilton, (ii) 18,444 shares of common stock issuable upon the exercise of an equal number of options that are currently exercisable or will be exercisable within 60 days of April 4, 2022 and (iii) 159,433 shares directly held by FA Life Sciences, Inc. Thomas E. Hamilton disclaims beneficial ownership of the shares held by FA Life Sciences, Inc. except to the extent of his pecuniary interest therein.</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30</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SECURITY OWNERSHIP OF CERTAIN BENEFICIAL OWNERS AND MANAGEMENT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540" w:right="460" w:hanging="424"/>
        <w:spacing w:after="0" w:line="261"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18,444 shares of common stock issuable upon the exercise of an equal number of options that are currently exercisable or will be exercisable within 60 days of April 4, 2022.</w:t>
      </w:r>
    </w:p>
    <w:p>
      <w:pPr>
        <w:ind w:left="540" w:right="20" w:hanging="424"/>
        <w:spacing w:after="0" w:line="26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612,572 shares of common stock and (ii) 608,563 shares of common stock issuable upon the exercise of an equal number of options that are currently exercisable or will be exercisable within 60 days of April 4, 2022.</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Section 16 of the Exchange Act requires the Company’s directors, certain officers, and beneficial owners of more than ten percent of the Company’s common stock to file reports with the SEC indicating their holdings of and transactions in the Company’s equity securities and to provide copies of such reports to the Company. Based solely on a review of such reports and written representations from the Company’s reporting persons, the Company believes that all Section 16 filing requirements were fulfilled on a timely basis, except that each of Peter Barrett, Ph.D., Thomas O. Daniel, M.D., Thomas E. Hamilton, Jonathan Leff, Frank E. Thomas and Joseph Truitt filed one late Form 4 with respect to an equity grant, each of which was filed late due to an administrative error.</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31</w:t>
      </w:r>
    </w:p>
    <w:p>
      <w:pPr>
        <w:sectPr>
          <w:pgSz w:w="11900" w:h="16838" w:orient="portrait"/>
          <w:cols w:equalWidth="0" w:num="1">
            <w:col w:w="11140"/>
          </w:cols>
          <w:pgMar w:left="32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ITEMS TO BE VOTED ON</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1: ELECTION OF CLASS II DIRECTOR FOR A THREE-YEAR TERM EXPIRING IN 2025</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At the Annual Meeting, our stockholders will vote on the election of the Class II director nominee named in this Proxy Statement as a director, to serve until our 2025 Annual Meeting of Stockholders and until his successor is elected and qualified. Our Board has unanimously nominated Thomas E. Hamilton for election to our Board at the Annual Meeting.</w:t>
      </w:r>
    </w:p>
    <w:p>
      <w:pPr>
        <w:spacing w:after="0" w:line="176"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nominee has agreed to be named and to serve, and we expect him to be able to serve if elected. If Mr. Hamilton is unable to serve, the Nominating and Corporate Governance Committee will recommend to our Board a replacement nominee. The Board may then designate the other nominee to stand for election. If you voted for Mr. Hamilton, your vote will be cast for his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140335</wp:posOffset>
            </wp:positionV>
            <wp:extent cx="7012305" cy="6261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2305" cy="62611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 xml:space="preserve">OUR BOARD UNANIMOUSLY RECOMMENDS STOCKHOLDERS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ELECTION OF THOMAS E.</w:t>
      </w:r>
    </w:p>
    <w:p>
      <w:pPr>
        <w:spacing w:after="0" w:line="31"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HAMILTON.</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32</w:t>
      </w:r>
    </w:p>
    <w:p>
      <w:pPr>
        <w:sectPr>
          <w:pgSz w:w="11900" w:h="16838" w:orient="portrait"/>
          <w:cols w:equalWidth="0" w:num="1">
            <w:col w:w="11140"/>
          </w:cols>
          <w:pgMar w:left="32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ITEMS TO BE VOTED ON </w:t>
      </w:r>
      <w:r>
        <w:rPr>
          <w:rFonts w:ascii="Times New Roman" w:cs="Times New Roman" w:eastAsia="Times New Roman" w:hAnsi="Times New Roman"/>
          <w:sz w:val="18"/>
          <w:szCs w:val="18"/>
          <w:b w:val="1"/>
          <w:bCs w:val="1"/>
          <w:i w:val="1"/>
          <w:iCs w:val="1"/>
          <w:color w:val="auto"/>
        </w:rPr>
        <w:t>(continued)</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2: APPROVAL, ON AN ADVISORY BASIS, OF THE COMPENSATION OF OUR NAMED EXECUTIVE OFFICERS IN 2021</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offering our stockholders an opportunity to cast an advisory vote to approve the compensation of our named executive officers, as disclosed in this Proxy Statement, pursuant to Section 14A of the Exchange Act, which was put in place by the Dodd-Frank Wall Street Reform and Consumer Protection Act of 2010. This proposal, commonly known as “say-on-pay,” gives our stockholders the opportunity to express their views on our named executive officers’ compensation. The vote is advisory, and, therefore, it is not binding on the Board, the Compensation Committee, or the Company. Nevertheless, the Compensation Committee will consider the outcome of the vote when considering future executive compensation decisions. We currently intend to conduct this advisory vote annually.</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our named executive officers who are critical to our success. Our Board believes that our executive compensation program is well tailored to retain and motivate key executives while recognizing the need to align our executive compensation program with the interests of our stockholders and our “pay-for-performance” philosophy. Our Compensation Committee continually reviews the compensation programs for our named executive officers to ensure they achieve the desired goals of aligning our executive compensation structure with our stockholders’ interests and current market practices.</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encourage our stockholders to read the “Summary Compensation Table” and other related compensation tables and narrative disclosures, which describe the 2021 compensation of our named executive officers.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the compensation of our named executive officers as described herein. This vote is not intended to address any specific item of compensation, but rather the overall compensation of our named executive officers and our executive compensation philosophy, programs, and practices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140335</wp:posOffset>
            </wp:positionV>
            <wp:extent cx="7012305" cy="6261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2305" cy="62611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940"/>
        <w:spacing w:after="0" w:line="317" w:lineRule="auto"/>
        <w:rPr>
          <w:sz w:val="20"/>
          <w:szCs w:val="20"/>
          <w:color w:val="auto"/>
        </w:rPr>
      </w:pPr>
      <w:r>
        <w:rPr>
          <w:rFonts w:ascii="Times New Roman" w:cs="Times New Roman" w:eastAsia="Times New Roman" w:hAnsi="Times New Roman"/>
          <w:sz w:val="17"/>
          <w:szCs w:val="17"/>
          <w:color w:val="auto"/>
        </w:rPr>
        <w:t xml:space="preserve">OUR BOARD UNANIMOUSLY RECOMMENDS STOCKHOLDERS VOTE </w:t>
      </w:r>
      <w:r>
        <w:rPr>
          <w:rFonts w:ascii="Times New Roman" w:cs="Times New Roman" w:eastAsia="Times New Roman" w:hAnsi="Times New Roman"/>
          <w:sz w:val="17"/>
          <w:szCs w:val="17"/>
          <w:b w:val="1"/>
          <w:bCs w:val="1"/>
          <w:color w:val="538135"/>
        </w:rPr>
        <w:t>FOR</w:t>
      </w:r>
      <w:r>
        <w:rPr>
          <w:rFonts w:ascii="Times New Roman" w:cs="Times New Roman" w:eastAsia="Times New Roman" w:hAnsi="Times New Roman"/>
          <w:sz w:val="17"/>
          <w:szCs w:val="17"/>
          <w:color w:val="auto"/>
        </w:rPr>
        <w:t xml:space="preserve"> THE APPROVAL OF, ON AN ADVISORY BASIS, THE COMPENSATION OF OUR NAMED EXECUTIVE OFFICERS IN 2021 AT THE ANNUAL MEETING.</w:t>
      </w: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33</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ITEMS TO BE VOTED ON </w:t>
      </w:r>
      <w:r>
        <w:rPr>
          <w:rFonts w:ascii="Times New Roman" w:cs="Times New Roman" w:eastAsia="Times New Roman" w:hAnsi="Times New Roman"/>
          <w:sz w:val="18"/>
          <w:szCs w:val="18"/>
          <w:b w:val="1"/>
          <w:bCs w:val="1"/>
          <w:i w:val="1"/>
          <w:iCs w:val="1"/>
          <w:color w:val="auto"/>
        </w:rPr>
        <w:t>(continued)</w:t>
      </w:r>
    </w:p>
    <w:p>
      <w:pPr>
        <w:spacing w:after="0" w:line="21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PROPOSAL 3: RATIFICATION OF APPOINTMENT OF PRICEWATERHOUSECOOPERS LLP AS OUR INDEPENDENT REGISTERED PUBLIC ACCOUNTING FIRM FOR THE 2022 FISCAL YEAR</w:t>
      </w:r>
    </w:p>
    <w:p>
      <w:pPr>
        <w:spacing w:after="0" w:line="5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appointed and engaged PwC to serve as our independent registered public accounting firm to audit the consolidated financial statements of the Company and our subsidiary for the 2022 fiscal year, and to perform audit-related services. PwC has served as our independent registered public accounting firm since 2014.</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Stockholders are hereby asked to ratify the Audit Committee’s appointment of PwC as our independent registered public accounting firm for the 2022 fiscal year.</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auditors. Although stockholder ratification of the appointment of PwC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PwC, the Audit Committee will reconsider its selection and whether to engage an alternative independent registered public accounting firm, but may ultimately determine to retain PwC as our independent registered public accounting firm.</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PwC are expected to virtually attend the Annual Meeting where they will be available to respond to appropriate questions and, if they desire, to make a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131445</wp:posOffset>
            </wp:positionV>
            <wp:extent cx="7012305" cy="7632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2305" cy="7632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040"/>
        <w:spacing w:after="0" w:line="268" w:lineRule="auto"/>
        <w:rPr>
          <w:sz w:val="20"/>
          <w:szCs w:val="20"/>
          <w:color w:val="auto"/>
        </w:rPr>
      </w:pPr>
      <w:r>
        <w:rPr>
          <w:rFonts w:ascii="Times New Roman" w:cs="Times New Roman" w:eastAsia="Times New Roman" w:hAnsi="Times New Roman"/>
          <w:sz w:val="18"/>
          <w:szCs w:val="18"/>
          <w:color w:val="auto"/>
        </w:rPr>
        <w:t xml:space="preserve">THE BOARD UNANIMOUSLY RECOMMENDS A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RATIFICATION OF PRICEWATERHOUSECOOPERS LLP AS INDEPENDENT REGISTERED PUBLIC ACCOUNTING FIRM FOR THE COMPANY FOR THE FISCAL YEAR ENDING DECEMBER 31, 2022.</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34</w:t>
      </w:r>
    </w:p>
    <w:p>
      <w:pPr>
        <w:sectPr>
          <w:pgSz w:w="11900" w:h="16838" w:orient="portrait"/>
          <w:cols w:equalWidth="0" w:num="1">
            <w:col w:w="11140"/>
          </w:cols>
          <w:pgMar w:left="32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SUBMISSION OF STOCKHOLDER PROPOSALS FOR NEXT YEAR’S ANNUAL MEETING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Stockholders intending to present a proposal to be considered for inclusion in the proxy statement for our 2023 Annual Meeting of Stockholders must submit a proposal that is received at our principal executive offices no later than December 13, 2022, which is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first anniversary we released this Proxy Statement to our stockholders for the 2022 Annual Meeting of Stockholders. If we change the date of the 2023 Annual Meeting of Stockholders by more than 30 days from the anniversary of this year’s Annual Meeting, stockholder proposals must be received no later than the close of business on the tenth day following the day on which public announcement of the date of the meeting was first made in order to be considered for inclusion in our proxy statement. Proposals must be sent via registered, certified, or express mail (or other means that allows the stockholder to determine when the proposal was received by the Secretary) to our Secretary at Larimar Therapeutics, Inc., Three Bala Plaza East, Suite 506, Bala Cynwyd, PA 19004. Proposals must contain the information required under our Bylaws, a copy of which is available upon request to our Secretary, and must comply with the SEC’s regulations regarding the inclusion of stockholder proposals in Company-sponsored proxy materials.</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or nominate a director for election at our 2023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and no later than the close of business on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first anniversary of the preceding year’s Annual Meeting. Accordingly, for our 2023 Annual Meeting of Stockholders, our Secretary must receive the proposal or nomination no earlier than January 10, 2023 and no later than the close of business on February 9, 2023. However, if we change the date of the 2023 Annual Meeting of Stockholders by more than 30 days before or 60 days after the anniversary of this year’s Annual Meeting, stockholder proposals must be received no later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TO THE BOARD</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Secretary, Larimar Therapeutics, Inc., Three Bala Plaza East, Suite 506, Bala Cynwyd, PA 19004.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35</w:t>
      </w:r>
    </w:p>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7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OTHER INFORMATION </w:t>
      </w:r>
      <w:r>
        <w:rPr>
          <w:rFonts w:ascii="Times New Roman" w:cs="Times New Roman" w:eastAsia="Times New Roman" w:hAnsi="Times New Roman"/>
          <w:sz w:val="18"/>
          <w:szCs w:val="18"/>
          <w:b w:val="1"/>
          <w:bCs w:val="1"/>
          <w:i w:val="1"/>
          <w:iCs w:val="1"/>
          <w:color w:val="auto"/>
        </w:rPr>
        <w:t>(continued)</w:t>
      </w:r>
    </w:p>
    <w:p>
      <w:pPr>
        <w:spacing w:after="0" w:line="21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Stockholders who share a single address may receive only one copy of this Proxy Statement and the 2021 Annual Report, unless we have received contrary instructions from the impacted stockholders. This practice, known as “householding,” is designed to reduce our printing and postage costs and the environmental impact of the Annual Meeting. Stockholders who participate in householding will continue to receive separate proxy cards if they received a paper copy of proxy materials in the mail. We agree to deliver promptly, upon written or oral request, a separate copy of the proxy materials to any stockholder at a shared address to which a single copy of these documents were delivered. If your household received only a single set of our proxy materials and you would like a separate copy, please contact our Chief Financial Officer by calling (844) 511-9056 or in writing to Chief Financial Officer, Larimar Therapeutics, Inc., Three Bala Plaza East, Suite 506, Bala Cynwyd, PA 19004. If your household received multiple copies of our proxy materials and you would, in the future, prefer to receive only a single copy, please contact our Chief Financial Officer at the address or phone number listed above. Stockholders who hold shares in street name may contact their brokerage firm, bank, or other nominee to request information about householding.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MATERIALS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2021 Annual Report, including the consolidated financial statements, has been filed with the SEC and provides additional information about us, which is incorporated by reference herein. It is available on the Internet at </w:t>
      </w:r>
      <w:r>
        <w:rPr>
          <w:rFonts w:ascii="Times New Roman" w:cs="Times New Roman" w:eastAsia="Times New Roman" w:hAnsi="Times New Roman"/>
          <w:sz w:val="18"/>
          <w:szCs w:val="18"/>
          <w:u w:val="single" w:color="auto"/>
          <w:color w:val="auto"/>
        </w:rPr>
        <w:t>www.larimartx.com</w:t>
      </w:r>
      <w:r>
        <w:rPr>
          <w:rFonts w:ascii="Times New Roman" w:cs="Times New Roman" w:eastAsia="Times New Roman" w:hAnsi="Times New Roman"/>
          <w:sz w:val="18"/>
          <w:szCs w:val="18"/>
          <w:color w:val="auto"/>
        </w:rPr>
        <w:t xml:space="preserve"> and is available in paper form (other than exhibits thereto) by first class mail or other equally prompt means to beneficial owners of our common stock, without charge, upon written request to Chief Financial Officer, Larimar Therapeutics, Inc., Three Bala Plaza East, Suite 506, Bala Cynwyd, PA 19004 or at (844) 511-9056. In addition, it is available to beneficial holders of our common stock at </w:t>
      </w:r>
      <w:r>
        <w:rPr>
          <w:rFonts w:ascii="Times New Roman" w:cs="Times New Roman" w:eastAsia="Times New Roman" w:hAnsi="Times New Roman"/>
          <w:sz w:val="18"/>
          <w:szCs w:val="18"/>
          <w:u w:val="single" w:color="auto"/>
          <w:color w:val="auto"/>
        </w:rPr>
        <w:t>http://www.edocumentview.com/LRMR</w:t>
      </w:r>
      <w:r>
        <w:rPr>
          <w:rFonts w:ascii="Times New Roman" w:cs="Times New Roman" w:eastAsia="Times New Roman" w:hAnsi="Times New Roman"/>
          <w:sz w:val="18"/>
          <w:szCs w:val="18"/>
          <w:color w:val="auto"/>
        </w:rPr>
        <w:t xml:space="preserve"> and to record holders of our common stock at </w:t>
      </w:r>
      <w:r>
        <w:rPr>
          <w:rFonts w:ascii="Times New Roman" w:cs="Times New Roman" w:eastAsia="Times New Roman" w:hAnsi="Times New Roman"/>
          <w:sz w:val="18"/>
          <w:szCs w:val="18"/>
          <w:u w:val="single" w:color="auto"/>
          <w:color w:val="auto"/>
        </w:rPr>
        <w:t>http://www.envisionreports.com/LRMR</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2022 Proxy Statement | 36</w:t>
      </w:r>
    </w:p>
    <w:p>
      <w:pPr>
        <w:sectPr>
          <w:pgSz w:w="11900" w:h="16838" w:orient="portrait"/>
          <w:cols w:equalWidth="0" w:num="1">
            <w:col w:w="11140"/>
          </w:cols>
          <w:pgMar w:left="320" w:top="455" w:right="439" w:bottom="1440" w:gutter="0" w:footer="0" w:header="0"/>
        </w:sectPr>
      </w:pPr>
    </w:p>
    <w:bookmarkStart w:id="46" w:name="page47"/>
    <w:bookmarkEnd w:id="4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7" w:name="page48"/>
    <w:bookmarkEnd w:id="4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lvl w:ilvl="1">
      <w:lvlJc w:val="left"/>
      <w:lvlText w:val="•"/>
      <w:numFmt w:val="bullet"/>
      <w:start w:val="1"/>
    </w:lvl>
  </w:abstractNum>
  <w:abstractNum w:abstractNumId="7">
    <w:nsid w:val="4E6AFB66"/>
    <w:multiLevelType w:val="hybridMultilevel"/>
    <w:lvl w:ilvl="0">
      <w:lvlJc w:val="left"/>
      <w:lvlText w:val="•"/>
      <w:numFmt w:val="bullet"/>
      <w:start w:val="1"/>
    </w:lvl>
    <w:lvl w:ilvl="1">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2"/>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2"/>
    </w:lvl>
  </w:abstractNum>
  <w:abstractNum w:abstractNumId="23">
    <w:nsid w:val="8EDBDAB"/>
    <w:multiLevelType w:val="hybridMultilevel"/>
    <w:lvl w:ilvl="0">
      <w:lvlJc w:val="left"/>
      <w:lvlText w:val="%1)"/>
      <w:numFmt w:val="decimal"/>
      <w:start w:val="4"/>
    </w:lvl>
  </w:abstractNum>
  <w:abstractNum w:abstractNumId="24">
    <w:nsid w:val="79838CB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2022-04-12T05:15:01Z</dcterms:created>
  <dcterms:modified xsi:type="dcterms:W3CDTF">2022-04-12T05:15:01Z</dcterms:modified>
</cp:coreProperties>
</file>