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36298dpre14a.htm"/>
        <w:bookmarkStart w:id="1" w:name="ksd636298dpre14a"/>
        <w:bookmarkEnd w:id="0"/>
        <w:bookmarkEnd w:id="1"/>
        <w:r>
          <w:rPr>
            <w:rStyle w:val="InternetLink"/>
          </w:rPr>
          <w:t>Table of Contents</w:t>
        </w:r>
      </w:hyperlink>
    </w:p>
    <w:p>
      <w:pPr>
        <w:pStyle w:val="TextBody"/>
        <w:bidi w:val="0"/>
        <w:spacing w:before="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0" w:after="0"/>
        <w:jc w:val="center"/>
        <w:rPr>
          <w:rFonts w:ascii="Times New Roman" w:hAnsi="Times New Roman"/>
          <w:b/>
          <w:sz w:val="28"/>
        </w:rPr>
      </w:pPr>
      <w:r>
        <w:rPr>
          <w:rFonts w:ascii="Times New Roman" w:hAnsi="Times New Roman"/>
          <w:b/>
          <w:sz w:val="28"/>
        </w:rPr>
        <w:t xml:space="preserve">Washington, D.C. 20549 </w:t>
      </w:r>
    </w:p>
    <w:p>
      <w:pPr>
        <w:pStyle w:val="TextBody"/>
        <w:bidi w:val="0"/>
        <w:spacing w:before="200" w:after="0"/>
        <w:jc w:val="center"/>
        <w:rPr>
          <w:rFonts w:ascii="Times New Roman" w:hAnsi="Times New Roman"/>
          <w:b/>
          <w:sz w:val="32"/>
        </w:rPr>
      </w:pPr>
      <w:r>
        <w:rPr>
          <w:rFonts w:ascii="Times New Roman" w:hAnsi="Times New Roman"/>
          <w:b/>
          <w:sz w:val="32"/>
        </w:rPr>
        <w:t xml:space="preserve">SCHEDULE 14A </w:t>
      </w:r>
    </w:p>
    <w:p>
      <w:pPr>
        <w:pStyle w:val="TextBody"/>
        <w:bidi w:val="0"/>
        <w:spacing w:before="200" w:after="0"/>
        <w:jc w:val="center"/>
        <w:rPr>
          <w:rFonts w:ascii="Times New Roman" w:hAnsi="Times New Roman"/>
          <w:sz w:val="20"/>
        </w:rPr>
      </w:pPr>
      <w:r>
        <w:rPr>
          <w:rFonts w:ascii="Times New Roman" w:hAnsi="Times New Roman"/>
          <w:sz w:val="20"/>
        </w:rPr>
        <w:t xml:space="preserve">Proxy Statement Pursuant to Section 14(a) of the 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18"/>
        </w:rPr>
      </w:pPr>
      <w:r>
        <w:rPr>
          <w:rFonts w:ascii="Times New Roman" w:hAnsi="Times New Roman"/>
          <w:sz w:val="18"/>
        </w:rPr>
        <w:t xml:space="preserve">Filed by the Registrant ☒ </w:t>
      </w:r>
    </w:p>
    <w:p>
      <w:pPr>
        <w:pStyle w:val="TextBody"/>
        <w:bidi w:val="0"/>
        <w:spacing w:before="0" w:after="0"/>
        <w:jc w:val="left"/>
        <w:rPr>
          <w:rFonts w:ascii="Times New Roman" w:hAnsi="Times New Roman"/>
          <w:sz w:val="18"/>
        </w:rPr>
      </w:pPr>
      <w:r>
        <w:rPr>
          <w:rFonts w:ascii="Times New Roman" w:hAnsi="Times New Roman"/>
          <w:sz w:val="18"/>
        </w:rPr>
        <w:t xml:space="preserve">Filed by a party other than the Registrant ☐ </w:t>
      </w:r>
    </w:p>
    <w:p>
      <w:pPr>
        <w:pStyle w:val="TextBody"/>
        <w:bidi w:val="0"/>
        <w:spacing w:before="200" w:after="0"/>
        <w:jc w:val="left"/>
        <w:rPr>
          <w:rFonts w:ascii="Times New Roman" w:hAnsi="Times New Roman"/>
          <w:sz w:val="18"/>
        </w:rPr>
      </w:pPr>
      <w:r>
        <w:rPr>
          <w:rFonts w:ascii="Times New Roman" w:hAnsi="Times New Roman"/>
          <w:sz w:val="18"/>
        </w:rPr>
        <w:t xml:space="preserve">Check the appropriate box: </w:t>
      </w:r>
    </w:p>
    <w:tbl>
      <w:tblPr>
        <w:tblW w:w="5000" w:type="pct"/>
        <w:jc w:val="center"/>
        <w:tblInd w:w="0" w:type="dxa"/>
        <w:tblLayout w:type="fixed"/>
        <w:tblCellMar>
          <w:top w:w="0" w:type="dxa"/>
          <w:left w:w="0" w:type="dxa"/>
          <w:bottom w:w="0" w:type="dxa"/>
          <w:right w:w="0" w:type="dxa"/>
        </w:tblCellMar>
      </w:tblPr>
      <w:tblGrid>
        <w:gridCol w:w="407"/>
        <w:gridCol w:w="101"/>
        <w:gridCol w:w="9697"/>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Preliminary Proxy Statement</w:t>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b/>
              </w:rPr>
            </w:pPr>
            <w:r>
              <w:rPr>
                <w:b/>
              </w:rPr>
              <w:t>Confidential, for Use of the Commission Only (as permitted by Rule 14a-6(e)(2))</w:t>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Definitive Proxy Statement</w:t>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Definitive Additional Materials</w:t>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Soliciting Material under §240.14a-12</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96850" cy="736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6850" cy="736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6"/>
        </w:rPr>
      </w:pPr>
      <w:r>
        <w:rPr>
          <w:rFonts w:ascii="Times New Roman" w:hAnsi="Times New Roman"/>
          <w:b/>
          <w:sz w:val="26"/>
        </w:rPr>
        <w:t xml:space="preserve">Larimar Therapeutics, Inc. </w:t>
      </w:r>
    </w:p>
    <w:p>
      <w:pPr>
        <w:pStyle w:val="TextBody"/>
        <w:bidi w:val="0"/>
        <w:spacing w:before="0" w:after="0"/>
        <w:jc w:val="center"/>
        <w:rPr>
          <w:rFonts w:ascii="Times New Roman" w:hAnsi="Times New Roman"/>
          <w:b/>
          <w:sz w:val="18"/>
        </w:rPr>
      </w:pPr>
      <w:r>
        <w:rPr>
          <w:rFonts w:ascii="Times New Roman" w:hAnsi="Times New Roman"/>
          <w:b/>
          <w:sz w:val="18"/>
        </w:rPr>
        <w:t xml:space="preserve">(Name of Registrant as Specified in Its Charter) </w:t>
      </w:r>
    </w:p>
    <w:p>
      <w:pPr>
        <w:pStyle w:val="TextBody"/>
        <w:bidi w:val="0"/>
        <w:spacing w:before="240" w:after="0"/>
        <w:jc w:val="center"/>
        <w:rPr>
          <w:rFonts w:ascii="Times New Roman" w:hAnsi="Times New Roman"/>
          <w:b/>
          <w:sz w:val="18"/>
        </w:rPr>
      </w:pPr>
      <w:r>
        <w:rPr>
          <w:rFonts w:ascii="Times New Roman" w:hAnsi="Times New Roman"/>
          <w:b/>
          <w:sz w:val="18"/>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tbl>
      <w:tblPr>
        <w:tblW w:w="5000" w:type="pct"/>
        <w:jc w:val="center"/>
        <w:tblInd w:w="0" w:type="dxa"/>
        <w:tblLayout w:type="fixed"/>
        <w:tblCellMar>
          <w:top w:w="0" w:type="dxa"/>
          <w:left w:w="0" w:type="dxa"/>
          <w:bottom w:w="0" w:type="dxa"/>
          <w:right w:w="0" w:type="dxa"/>
        </w:tblCellMar>
      </w:tblPr>
      <w:tblGrid>
        <w:gridCol w:w="407"/>
        <w:gridCol w:w="101"/>
        <w:gridCol w:w="9697"/>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No fee required</w:t>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Fee paid previously with preliminary materials</w:t>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Fee computed on table in exhibit required by Item 25(b) per Exchange Act Rules 14a-6(i)(1) and 0-11</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COPY SUBJECT TO COMPLETION DATED APRIL 12, 2024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In accordance with Rule 14a-6(d) under Regulation 14A, please be advised that Larimar Therapeutics, Inc. intends to release definitive copies of this Proxy Statement to security holders on or about April 29, 2024. </w:t>
      </w:r>
    </w:p>
    <w:p>
      <w:pPr>
        <w:pStyle w:val="TextBody"/>
        <w:bidi w:val="0"/>
        <w:spacing w:before="0" w:after="0"/>
        <w:jc w:val="left"/>
        <w:rPr/>
      </w:pPr>
      <w:r>
        <w:rPr/>
        <w:t> </w:t>
      </w:r>
    </w:p>
    <w:p>
      <w:pPr>
        <w:pStyle w:val="TextBody"/>
        <w:bidi w:val="0"/>
        <w:spacing w:before="0" w:after="0"/>
        <w:jc w:val="center"/>
        <w:rPr/>
      </w:pPr>
      <w:r>
        <w:rPr/>
        <w:drawing>
          <wp:inline distT="0" distB="0" distL="0" distR="0">
            <wp:extent cx="196850" cy="736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6850" cy="73660"/>
                    </a:xfrm>
                    <a:prstGeom prst="rect">
                      <a:avLst/>
                    </a:prstGeom>
                  </pic:spPr>
                </pic:pic>
              </a:graphicData>
            </a:graphic>
          </wp:inline>
        </w:drawing>
      </w:r>
      <w:r>
        <w:rPr/>
        <w:t xml:space="preserve"> </w:t>
      </w:r>
    </w:p>
    <w:p>
      <w:pPr>
        <w:pStyle w:val="TextBody"/>
        <w:bidi w:val="0"/>
        <w:spacing w:before="200" w:after="0"/>
        <w:jc w:val="center"/>
        <w:rPr>
          <w:rFonts w:ascii="Times New Roman" w:hAnsi="Times New Roman"/>
          <w:b/>
          <w:sz w:val="20"/>
        </w:rPr>
      </w:pPr>
      <w:r>
        <w:rPr>
          <w:rFonts w:ascii="Times New Roman" w:hAnsi="Times New Roman"/>
          <w:b/>
          <w:sz w:val="20"/>
        </w:rPr>
        <w:t xml:space="preserve">Three Bala Plaza East, Suite 506 </w:t>
      </w:r>
    </w:p>
    <w:p>
      <w:pPr>
        <w:pStyle w:val="TextBody"/>
        <w:bidi w:val="0"/>
        <w:spacing w:before="0" w:after="0"/>
        <w:jc w:val="center"/>
        <w:rPr>
          <w:rFonts w:ascii="Times New Roman" w:hAnsi="Times New Roman"/>
          <w:b/>
          <w:sz w:val="20"/>
        </w:rPr>
      </w:pPr>
      <w:r>
        <w:rPr>
          <w:rFonts w:ascii="Times New Roman" w:hAnsi="Times New Roman"/>
          <w:b/>
          <w:sz w:val="20"/>
        </w:rPr>
        <w:t xml:space="preserve">Bala Cynwyd, PA 19004 </w:t>
      </w:r>
    </w:p>
    <w:p>
      <w:pPr>
        <w:pStyle w:val="TextBody"/>
        <w:bidi w:val="0"/>
        <w:spacing w:before="200" w:after="0"/>
        <w:jc w:val="center"/>
        <w:rPr>
          <w:rFonts w:ascii="Times New Roman" w:hAnsi="Times New Roman"/>
          <w:b/>
          <w:sz w:val="20"/>
        </w:rPr>
      </w:pPr>
      <w:r>
        <w:rPr>
          <w:rFonts w:ascii="Times New Roman" w:hAnsi="Times New Roman"/>
          <w:b/>
          <w:sz w:val="20"/>
        </w:rPr>
        <w:t xml:space="preserve">2024 ANNUAL MEETING OF STOCKHOLDERS </w:t>
      </w:r>
    </w:p>
    <w:p>
      <w:pPr>
        <w:pStyle w:val="TextBody"/>
        <w:bidi w:val="0"/>
        <w:spacing w:before="200" w:after="0"/>
        <w:jc w:val="center"/>
        <w:rPr>
          <w:rFonts w:ascii="Times New Roman" w:hAnsi="Times New Roman"/>
          <w:b/>
          <w:sz w:val="20"/>
        </w:rPr>
      </w:pPr>
      <w:r>
        <w:rPr>
          <w:rFonts w:ascii="Times New Roman" w:hAnsi="Times New Roman"/>
          <w:b/>
          <w:sz w:val="20"/>
        </w:rPr>
        <w:t xml:space="preserve">To be Held on May 29, 2024 </w:t>
      </w:r>
    </w:p>
    <w:p>
      <w:pPr>
        <w:pStyle w:val="TextBody"/>
        <w:bidi w:val="0"/>
        <w:spacing w:before="200" w:after="0"/>
        <w:jc w:val="left"/>
        <w:rPr>
          <w:rFonts w:ascii="Times New Roman" w:hAnsi="Times New Roman"/>
          <w:sz w:val="20"/>
        </w:rPr>
      </w:pPr>
      <w:r>
        <w:rPr>
          <w:rFonts w:ascii="Times New Roman" w:hAnsi="Times New Roman"/>
          <w:sz w:val="20"/>
        </w:rPr>
        <w:t xml:space="preserve">April 29, 2024 </w:t>
      </w:r>
    </w:p>
    <w:p>
      <w:pPr>
        <w:pStyle w:val="TextBody"/>
        <w:bidi w:val="0"/>
        <w:spacing w:before="200" w:after="0"/>
        <w:jc w:val="left"/>
        <w:rPr>
          <w:rFonts w:ascii="Times New Roman" w:hAnsi="Times New Roman"/>
          <w:sz w:val="20"/>
        </w:rPr>
      </w:pPr>
      <w:r>
        <w:rPr>
          <w:rFonts w:ascii="Times New Roman" w:hAnsi="Times New Roman"/>
          <w:sz w:val="20"/>
        </w:rPr>
        <w:t xml:space="preserve">Dear Stockholders: </w:t>
      </w:r>
    </w:p>
    <w:p>
      <w:pPr>
        <w:pStyle w:val="TextBody"/>
        <w:bidi w:val="0"/>
        <w:spacing w:before="200" w:after="0"/>
        <w:jc w:val="both"/>
        <w:rPr>
          <w:rFonts w:ascii="Times New Roman" w:hAnsi="Times New Roman"/>
          <w:sz w:val="20"/>
        </w:rPr>
      </w:pPr>
      <w:r>
        <w:rPr>
          <w:rFonts w:ascii="Times New Roman" w:hAnsi="Times New Roman"/>
          <w:sz w:val="20"/>
        </w:rPr>
        <w:t xml:space="preserve">We are pleased to invite you to attend the 2024 Annual Meeting of Stockholders of Larimar Therapeutics, Inc. (the Annual Meeting), which will be held at 11:00 a.m., Eastern Time, on Wednesday, May 29, 2024. The Annual Meeting will be held in a virtual meeting format only. Stockholders will not be able to attend the Annual Meeting physically. We believe that the virtual meeting format enables stockholders to attend and participate from any location around the world at no cost, provides for cost savings to Larimar Therapeutics, Inc. (the Company) and reduces the environmental impact of our Annual Meeting. The Annual Meeting can be accessed via the Internet at: </w:t>
      </w:r>
      <w:r>
        <w:rPr>
          <w:rFonts w:ascii="Times New Roman" w:hAnsi="Times New Roman"/>
          <w:sz w:val="20"/>
          <w:u w:val="single"/>
        </w:rPr>
        <w:t>meetnow.global/MN99LW9</w:t>
      </w:r>
      <w:r>
        <w:rPr>
          <w:rFonts w:ascii="Times New Roman" w:hAnsi="Times New Roman"/>
          <w:sz w:val="20"/>
        </w:rPr>
        <w:t xml:space="preserve">. </w:t>
      </w:r>
    </w:p>
    <w:p>
      <w:pPr>
        <w:pStyle w:val="TextBody"/>
        <w:bidi w:val="0"/>
        <w:spacing w:before="200" w:after="0"/>
        <w:jc w:val="both"/>
        <w:rPr>
          <w:rFonts w:ascii="Times New Roman" w:hAnsi="Times New Roman"/>
          <w:sz w:val="20"/>
        </w:rPr>
      </w:pPr>
      <w:r>
        <w:rPr>
          <w:rFonts w:ascii="Times New Roman" w:hAnsi="Times New Roman"/>
          <w:sz w:val="20"/>
        </w:rPr>
        <w:t xml:space="preserve">Details regarding the business to be conducted at the Annual Meeting are more fully described in the accompanying Notice of 2024 Annual Meeting of Stockholders (the Notice) and 2024 Annual Meeting Proxy Statement (the Proxy Statement). Other than the proposals described in the Proxy Statement, the Board of Directors is not aware of any other matters to be presented for a vote at the Annual Meeting. </w:t>
      </w:r>
    </w:p>
    <w:p>
      <w:pPr>
        <w:pStyle w:val="TextBody"/>
        <w:bidi w:val="0"/>
        <w:spacing w:before="200" w:after="0"/>
        <w:jc w:val="both"/>
        <w:rPr>
          <w:rFonts w:ascii="Times New Roman" w:hAnsi="Times New Roman"/>
          <w:sz w:val="20"/>
        </w:rPr>
      </w:pPr>
      <w:r>
        <w:rPr>
          <w:rFonts w:ascii="Times New Roman" w:hAnsi="Times New Roman"/>
          <w:b/>
          <w:sz w:val="20"/>
        </w:rPr>
        <w:t>Your vote is important</w:t>
      </w:r>
      <w:r>
        <w:rPr>
          <w:rFonts w:ascii="Times New Roman" w:hAnsi="Times New Roman"/>
          <w:sz w:val="20"/>
        </w:rPr>
        <w:t xml:space="preserve">. Whether or not you plan to virtually attend the Annual Meeting, we encourage you to vote as soon as possible to ensure that your shares are represented. Information about voting methods is set forth in the accompanying Notice and Proxy Statement. </w:t>
      </w:r>
    </w:p>
    <w:p>
      <w:pPr>
        <w:pStyle w:val="TextBody"/>
        <w:bidi w:val="0"/>
        <w:spacing w:before="200" w:after="0"/>
        <w:jc w:val="both"/>
        <w:rPr>
          <w:rFonts w:ascii="Times New Roman" w:hAnsi="Times New Roman"/>
          <w:sz w:val="20"/>
        </w:rPr>
      </w:pPr>
      <w:r>
        <w:rPr>
          <w:rFonts w:ascii="Times New Roman" w:hAnsi="Times New Roman"/>
          <w:sz w:val="20"/>
        </w:rPr>
        <w:t xml:space="preserve">If you have any questions with respect to voting, please call our Chief Financial Officer and Secretary, Michael Celano, at 484-414-2715. </w:t>
      </w:r>
    </w:p>
    <w:p>
      <w:pPr>
        <w:pStyle w:val="TextBody"/>
        <w:bidi w:val="0"/>
        <w:spacing w:before="200" w:after="0"/>
        <w:jc w:val="both"/>
        <w:rPr>
          <w:rFonts w:ascii="Times New Roman" w:hAnsi="Times New Roman"/>
          <w:sz w:val="20"/>
        </w:rPr>
      </w:pPr>
      <w:r>
        <w:rPr>
          <w:rFonts w:ascii="Times New Roman" w:hAnsi="Times New Roman"/>
          <w:sz w:val="20"/>
        </w:rPr>
        <w:t xml:space="preserve">Thank you for your continued confidence in our Company. We look forward to your participation at the meeting. </w:t>
      </w:r>
    </w:p>
    <w:p>
      <w:pPr>
        <w:pStyle w:val="TextBody"/>
        <w:bidi w:val="0"/>
        <w:spacing w:before="0" w:after="0"/>
        <w:jc w:val="both"/>
        <w:rPr>
          <w:rFonts w:ascii="Times New Roman" w:hAnsi="Times New Roman"/>
          <w:sz w:val="20"/>
        </w:rPr>
      </w:pPr>
      <w:r>
        <w:rPr>
          <w:rFonts w:ascii="Times New Roman" w:hAnsi="Times New Roman"/>
          <w:sz w:val="20"/>
        </w:rPr>
        <w:t xml:space="preserve">Sincerely,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7"/>
        <w:gridCol w:w="1652"/>
        <w:gridCol w:w="120"/>
        <w:gridCol w:w="4857"/>
      </w:tblGrid>
      <w:tr>
        <w:trPr/>
        <w:tc>
          <w:tcPr>
            <w:tcW w:w="346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57" w:type="dxa"/>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bidi w:val="0"/>
              <w:spacing w:before="0" w:after="0"/>
              <w:jc w:val="both"/>
              <w:rPr/>
            </w:pPr>
            <w:r>
              <w:rPr/>
              <w:drawing>
                <wp:inline distT="0" distB="0" distL="0" distR="0">
                  <wp:extent cx="107950" cy="31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7950" cy="31750"/>
                          </a:xfrm>
                          <a:prstGeom prst="rect">
                            <a:avLst/>
                          </a:prstGeom>
                        </pic:spPr>
                      </pic:pic>
                    </a:graphicData>
                  </a:graphic>
                </wp:inline>
              </w:drawing>
            </w:r>
            <w:r>
              <w:rPr/>
              <w:t xml:space="preserve"> </w:t>
            </w:r>
          </w:p>
        </w:tc>
        <w:tc>
          <w:tcPr>
            <w:tcW w:w="107" w:type="dxa"/>
            <w:tcBorders/>
            <w:vAlign w:val="bottom"/>
          </w:tcPr>
          <w:p>
            <w:pPr>
              <w:pStyle w:val="TableContents"/>
              <w:bidi w:val="0"/>
              <w:spacing w:before="0" w:after="283"/>
              <w:jc w:val="left"/>
              <w:rPr/>
            </w:pPr>
            <w:r>
              <w:rPr/>
              <w:t> </w:t>
            </w:r>
          </w:p>
        </w:tc>
        <w:tc>
          <w:tcPr>
            <w:tcW w:w="1652"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4857" w:type="dxa"/>
            <w:tcBorders/>
            <w:vAlign w:val="bottom"/>
          </w:tcPr>
          <w:p>
            <w:pPr>
              <w:pStyle w:val="TableContents"/>
              <w:bidi w:val="0"/>
              <w:spacing w:before="0" w:after="0"/>
              <w:jc w:val="left"/>
              <w:rPr/>
            </w:pPr>
            <w:r>
              <w:rPr/>
              <w:drawing>
                <wp:inline distT="0" distB="0" distL="0" distR="0">
                  <wp:extent cx="193040" cy="412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3040" cy="41275"/>
                          </a:xfrm>
                          <a:prstGeom prst="rect">
                            <a:avLst/>
                          </a:prstGeom>
                        </pic:spPr>
                      </pic:pic>
                    </a:graphicData>
                  </a:graphic>
                </wp:inline>
              </w:drawing>
            </w:r>
            <w:r>
              <w:rPr/>
              <w:t xml:space="preserve"> </w:t>
            </w:r>
          </w:p>
        </w:tc>
      </w:tr>
      <w:tr>
        <w:trPr>
          <w:trHeight w:val="480" w:hRule="atLeast"/>
        </w:trPr>
        <w:tc>
          <w:tcPr>
            <w:tcW w:w="3469" w:type="dxa"/>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4977"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Joseph Truitt</w:t>
            </w:r>
          </w:p>
        </w:tc>
        <w:tc>
          <w:tcPr>
            <w:tcW w:w="107" w:type="dxa"/>
            <w:tcBorders/>
            <w:vAlign w:val="bottom"/>
          </w:tcPr>
          <w:p>
            <w:pPr>
              <w:pStyle w:val="TableContents"/>
              <w:bidi w:val="0"/>
              <w:spacing w:before="0" w:after="283"/>
              <w:jc w:val="left"/>
              <w:rPr/>
            </w:pPr>
            <w:r>
              <w:rPr/>
              <w:t> </w:t>
            </w:r>
          </w:p>
        </w:tc>
        <w:tc>
          <w:tcPr>
            <w:tcW w:w="165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Carole S. Ben-Maimon, M.D.</w:t>
            </w:r>
          </w:p>
        </w:tc>
      </w:tr>
      <w:tr>
        <w:trPr>
          <w:trHeight w:val="120" w:hRule="atLeast"/>
        </w:trPr>
        <w:tc>
          <w:tcPr>
            <w:tcW w:w="3469" w:type="dxa"/>
            <w:tcBorders/>
            <w:vAlign w:val="center"/>
          </w:tcPr>
          <w:p>
            <w:pPr>
              <w:pStyle w:val="TableContents"/>
              <w:bidi w:val="0"/>
              <w:spacing w:before="0" w:after="283"/>
              <w:jc w:val="left"/>
              <w:rPr>
                <w:sz w:val="4"/>
                <w:szCs w:val="4"/>
              </w:rPr>
            </w:pPr>
            <w:r>
              <w:rPr>
                <w:sz w:val="4"/>
                <w:szCs w:val="4"/>
              </w:rPr>
            </w:r>
          </w:p>
        </w:tc>
        <w:tc>
          <w:tcPr>
            <w:tcW w:w="1759" w:type="dxa"/>
            <w:gridSpan w:val="2"/>
            <w:tcBorders/>
            <w:vAlign w:val="center"/>
          </w:tcPr>
          <w:p>
            <w:pPr>
              <w:pStyle w:val="TableContents"/>
              <w:bidi w:val="0"/>
              <w:spacing w:before="0" w:after="283"/>
              <w:jc w:val="left"/>
              <w:rPr>
                <w:sz w:val="4"/>
                <w:szCs w:val="4"/>
              </w:rPr>
            </w:pPr>
            <w:r>
              <w:rPr>
                <w:sz w:val="4"/>
                <w:szCs w:val="4"/>
              </w:rPr>
            </w:r>
          </w:p>
        </w:tc>
        <w:tc>
          <w:tcPr>
            <w:tcW w:w="4977" w:type="dxa"/>
            <w:gridSpan w:val="2"/>
            <w:tcBorders/>
            <w:vAlign w:val="center"/>
          </w:tcPr>
          <w:p>
            <w:pPr>
              <w:pStyle w:val="TableContents"/>
              <w:bidi w:val="0"/>
              <w:spacing w:before="0" w:after="283"/>
              <w:jc w:val="left"/>
              <w:rPr>
                <w:sz w:val="4"/>
                <w:szCs w:val="4"/>
              </w:rPr>
            </w:pPr>
            <w:r>
              <w:rPr>
                <w:sz w:val="4"/>
                <w:szCs w:val="4"/>
              </w:rPr>
            </w:r>
          </w:p>
        </w:tc>
      </w:tr>
      <w:tr>
        <w:trPr/>
        <w:tc>
          <w:tcPr>
            <w:tcW w:w="34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Chairperson of the Board     </w:t>
            </w:r>
          </w:p>
        </w:tc>
        <w:tc>
          <w:tcPr>
            <w:tcW w:w="107" w:type="dxa"/>
            <w:tcBorders/>
            <w:vAlign w:val="bottom"/>
          </w:tcPr>
          <w:p>
            <w:pPr>
              <w:pStyle w:val="TableContents"/>
              <w:bidi w:val="0"/>
              <w:spacing w:before="0" w:after="283"/>
              <w:jc w:val="left"/>
              <w:rPr/>
            </w:pPr>
            <w:r>
              <w:rPr/>
              <w:t> </w:t>
            </w:r>
          </w:p>
        </w:tc>
        <w:tc>
          <w:tcPr>
            <w:tcW w:w="1652"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5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Director, President and Chief Executive Officer</w:t>
            </w:r>
          </w:p>
        </w:tc>
      </w:tr>
    </w:tbl>
    <w:p>
      <w:pPr>
        <w:pStyle w:val="TextBody"/>
        <w:bidi w:val="0"/>
        <w:spacing w:before="360" w:after="0"/>
        <w:jc w:val="center"/>
        <w:rPr>
          <w:rFonts w:ascii="Times New Roman" w:hAnsi="Times New Roman"/>
          <w:b/>
          <w:sz w:val="20"/>
        </w:rPr>
      </w:pPr>
      <w:r>
        <w:rPr>
          <w:rFonts w:ascii="Times New Roman" w:hAnsi="Times New Roman"/>
          <w:b/>
          <w:sz w:val="20"/>
        </w:rPr>
        <w:t xml:space="preserve">THIS PROXY STATEMENT AND ENCLOSED PROXY CARD ARE </w:t>
      </w:r>
    </w:p>
    <w:p>
      <w:pPr>
        <w:pStyle w:val="TextBody"/>
        <w:bidi w:val="0"/>
        <w:spacing w:before="0" w:after="0"/>
        <w:jc w:val="center"/>
        <w:rPr>
          <w:rFonts w:ascii="Times New Roman" w:hAnsi="Times New Roman"/>
          <w:b/>
          <w:sz w:val="20"/>
        </w:rPr>
      </w:pPr>
      <w:r>
        <w:rPr>
          <w:rFonts w:ascii="Times New Roman" w:hAnsi="Times New Roman"/>
          <w:b/>
          <w:sz w:val="20"/>
        </w:rPr>
        <w:t xml:space="preserve">FIRST BEING MAILED ON OR ABOUT APRIL 29,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196850" cy="736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6850" cy="736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2024 ANNUAL MEETING OF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To be Held on May 29, 2024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Stockholders: </w:t>
      </w:r>
    </w:p>
    <w:p>
      <w:pPr>
        <w:pStyle w:val="TextBody"/>
        <w:bidi w:val="0"/>
        <w:spacing w:before="120" w:after="0"/>
        <w:jc w:val="both"/>
        <w:rPr>
          <w:rFonts w:ascii="Times New Roman" w:hAnsi="Times New Roman"/>
          <w:sz w:val="20"/>
        </w:rPr>
      </w:pPr>
      <w:r>
        <w:rPr>
          <w:rFonts w:ascii="Times New Roman" w:hAnsi="Times New Roman"/>
          <w:b/>
          <w:sz w:val="20"/>
        </w:rPr>
        <w:t>NOTICE IS HEREBY GIVEN</w:t>
      </w:r>
      <w:r>
        <w:rPr>
          <w:rFonts w:ascii="Times New Roman" w:hAnsi="Times New Roman"/>
          <w:sz w:val="20"/>
        </w:rPr>
        <w:t xml:space="preserve"> that the 2024 Annual Meeting of Stockholders of Larimar Therapeutics, Inc. (the Annual Meeting) will be held as a virtual meeting on Wednesday, May 29, 2024, at 11:00 a.m. Eastern Time. We are holding the meeting for the purpose of considering and acting upon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election of the two director nominees set forth in the attached 2024 Annual Meeting Proxy Statement (the Proxy Statement) to serve as Class I directors, whose terms will expire at the 2027 Annual Meeting of Stockholders;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approval, on an advisory basis, of the compensation of our named executive officers in 2023; </w:t>
            </w:r>
          </w:p>
        </w:tc>
      </w:tr>
    </w:tbl>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ratification of the appointment of PricewaterhouseCoopers LLP (PwC) as our independent registered public accounting firm for the 2024 fiscal year;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approval of an amendment to our Ninth Amended and Restated Certificate of Incorporation, as amended, to reflect Delaware law provisions regarding officer exculpation;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approval of an adjournment of the Annual Meeting to the extent there are insufficient votes at the Annual Meeting to approve Proposal 4; and </w:t>
            </w:r>
          </w:p>
        </w:tc>
      </w:tr>
    </w:tbl>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any other matters that may properly be brought before the Annual Meeting or any adjournment or postponement thereof. </w:t>
            </w:r>
          </w:p>
        </w:tc>
      </w:tr>
    </w:tbl>
    <w:p>
      <w:pPr>
        <w:pStyle w:val="TextBody"/>
        <w:bidi w:val="0"/>
        <w:spacing w:before="200" w:after="0"/>
        <w:jc w:val="both"/>
        <w:rPr>
          <w:rFonts w:ascii="Times New Roman" w:hAnsi="Times New Roman"/>
          <w:sz w:val="20"/>
        </w:rPr>
      </w:pPr>
      <w:r>
        <w:rPr>
          <w:rFonts w:ascii="Times New Roman" w:hAnsi="Times New Roman"/>
          <w:sz w:val="20"/>
        </w:rPr>
        <w:t xml:space="preserve">The foregoing items of business are more fully described in the Proxy Statement accompanying this Notice of 2024 Annual Meeting of Stockholders (the Notice). </w:t>
      </w:r>
    </w:p>
    <w:p>
      <w:pPr>
        <w:pStyle w:val="TextBody"/>
        <w:bidi w:val="0"/>
        <w:spacing w:before="200" w:after="0"/>
        <w:jc w:val="center"/>
        <w:rPr>
          <w:rFonts w:ascii="Times New Roman" w:hAnsi="Times New Roman"/>
          <w:b/>
          <w:sz w:val="20"/>
        </w:rPr>
      </w:pPr>
      <w:r>
        <w:rPr>
          <w:rFonts w:ascii="Times New Roman" w:hAnsi="Times New Roman"/>
          <w:b/>
          <w:sz w:val="20"/>
        </w:rPr>
        <w:t xml:space="preserve">MEETING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5"/>
        <w:gridCol w:w="101"/>
        <w:gridCol w:w="2756"/>
        <w:gridCol w:w="102"/>
        <w:gridCol w:w="6431"/>
      </w:tblGrid>
      <w:tr>
        <w:trPr/>
        <w:tc>
          <w:tcPr>
            <w:tcW w:w="81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431"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756" w:type="dxa"/>
            <w:tcBorders/>
            <w:vAlign w:val="bottom"/>
          </w:tcPr>
          <w:p>
            <w:pPr>
              <w:pStyle w:val="TableContents"/>
              <w:bidi w:val="0"/>
              <w:spacing w:before="0" w:after="283"/>
              <w:jc w:val="left"/>
              <w:rPr>
                <w:b/>
              </w:rPr>
            </w:pPr>
            <w:r>
              <w:rPr>
                <w:b/>
              </w:rPr>
              <w:t>Date:</w:t>
            </w:r>
          </w:p>
        </w:tc>
        <w:tc>
          <w:tcPr>
            <w:tcW w:w="102" w:type="dxa"/>
            <w:tcBorders/>
            <w:vAlign w:val="bottom"/>
          </w:tcPr>
          <w:p>
            <w:pPr>
              <w:pStyle w:val="TableContents"/>
              <w:bidi w:val="0"/>
              <w:spacing w:before="0" w:after="283"/>
              <w:jc w:val="left"/>
              <w:rPr/>
            </w:pPr>
            <w:r>
              <w:rPr/>
              <w:t> </w:t>
            </w:r>
          </w:p>
        </w:tc>
        <w:tc>
          <w:tcPr>
            <w:tcW w:w="6431"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Wednesday, May 29, 2024</w:t>
            </w:r>
          </w:p>
        </w:tc>
      </w:tr>
      <w:tr>
        <w:trPr>
          <w:trHeight w:val="240" w:hRule="atLeast"/>
        </w:trPr>
        <w:tc>
          <w:tcPr>
            <w:tcW w:w="815" w:type="dxa"/>
            <w:tcBorders/>
            <w:vAlign w:val="center"/>
          </w:tcPr>
          <w:p>
            <w:pPr>
              <w:pStyle w:val="TableContents"/>
              <w:bidi w:val="0"/>
              <w:spacing w:before="0" w:after="283"/>
              <w:jc w:val="left"/>
              <w:rPr>
                <w:sz w:val="4"/>
                <w:szCs w:val="4"/>
              </w:rPr>
            </w:pPr>
            <w:r>
              <w:rPr>
                <w:sz w:val="4"/>
                <w:szCs w:val="4"/>
              </w:rPr>
            </w:r>
          </w:p>
        </w:tc>
        <w:tc>
          <w:tcPr>
            <w:tcW w:w="2857" w:type="dxa"/>
            <w:gridSpan w:val="2"/>
            <w:tcBorders/>
            <w:vAlign w:val="center"/>
          </w:tcPr>
          <w:p>
            <w:pPr>
              <w:pStyle w:val="TableContents"/>
              <w:bidi w:val="0"/>
              <w:spacing w:before="0" w:after="283"/>
              <w:jc w:val="left"/>
              <w:rPr>
                <w:sz w:val="4"/>
                <w:szCs w:val="4"/>
              </w:rPr>
            </w:pPr>
            <w:r>
              <w:rPr>
                <w:sz w:val="4"/>
                <w:szCs w:val="4"/>
              </w:rPr>
            </w:r>
          </w:p>
        </w:tc>
        <w:tc>
          <w:tcPr>
            <w:tcW w:w="6533"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756" w:type="dxa"/>
            <w:tcBorders/>
            <w:vAlign w:val="bottom"/>
          </w:tcPr>
          <w:p>
            <w:pPr>
              <w:pStyle w:val="TableContents"/>
              <w:bidi w:val="0"/>
              <w:spacing w:before="0" w:after="283"/>
              <w:jc w:val="left"/>
              <w:rPr>
                <w:b/>
              </w:rPr>
            </w:pPr>
            <w:r>
              <w:rPr>
                <w:b/>
              </w:rPr>
              <w:t>Time:</w:t>
            </w:r>
          </w:p>
        </w:tc>
        <w:tc>
          <w:tcPr>
            <w:tcW w:w="102" w:type="dxa"/>
            <w:tcBorders/>
            <w:vAlign w:val="bottom"/>
          </w:tcPr>
          <w:p>
            <w:pPr>
              <w:pStyle w:val="TableContents"/>
              <w:bidi w:val="0"/>
              <w:spacing w:before="0" w:after="283"/>
              <w:jc w:val="left"/>
              <w:rPr/>
            </w:pPr>
            <w:r>
              <w:rPr/>
              <w:t> </w:t>
            </w:r>
          </w:p>
        </w:tc>
        <w:tc>
          <w:tcPr>
            <w:tcW w:w="6431"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11:00 a.m.</w:t>
            </w:r>
          </w:p>
        </w:tc>
      </w:tr>
      <w:tr>
        <w:trPr>
          <w:trHeight w:val="240" w:hRule="atLeast"/>
        </w:trPr>
        <w:tc>
          <w:tcPr>
            <w:tcW w:w="815" w:type="dxa"/>
            <w:tcBorders/>
            <w:vAlign w:val="center"/>
          </w:tcPr>
          <w:p>
            <w:pPr>
              <w:pStyle w:val="TableContents"/>
              <w:bidi w:val="0"/>
              <w:spacing w:before="0" w:after="283"/>
              <w:jc w:val="left"/>
              <w:rPr>
                <w:sz w:val="4"/>
                <w:szCs w:val="4"/>
              </w:rPr>
            </w:pPr>
            <w:r>
              <w:rPr>
                <w:sz w:val="4"/>
                <w:szCs w:val="4"/>
              </w:rPr>
            </w:r>
          </w:p>
        </w:tc>
        <w:tc>
          <w:tcPr>
            <w:tcW w:w="2857" w:type="dxa"/>
            <w:gridSpan w:val="2"/>
            <w:tcBorders/>
            <w:vAlign w:val="center"/>
          </w:tcPr>
          <w:p>
            <w:pPr>
              <w:pStyle w:val="TableContents"/>
              <w:bidi w:val="0"/>
              <w:spacing w:before="0" w:after="283"/>
              <w:jc w:val="left"/>
              <w:rPr>
                <w:sz w:val="4"/>
                <w:szCs w:val="4"/>
              </w:rPr>
            </w:pPr>
            <w:r>
              <w:rPr>
                <w:sz w:val="4"/>
                <w:szCs w:val="4"/>
              </w:rPr>
            </w:r>
          </w:p>
        </w:tc>
        <w:tc>
          <w:tcPr>
            <w:tcW w:w="6533"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756" w:type="dxa"/>
            <w:tcBorders/>
          </w:tcPr>
          <w:p>
            <w:pPr>
              <w:pStyle w:val="TableContents"/>
              <w:bidi w:val="0"/>
              <w:spacing w:before="0" w:after="283"/>
              <w:jc w:val="left"/>
              <w:rPr>
                <w:b/>
              </w:rPr>
            </w:pPr>
            <w:r>
              <w:rPr>
                <w:b/>
              </w:rPr>
              <w:t>Website Address:</w:t>
            </w:r>
          </w:p>
        </w:tc>
        <w:tc>
          <w:tcPr>
            <w:tcW w:w="102" w:type="dxa"/>
            <w:tcBorders/>
            <w:vAlign w:val="bottom"/>
          </w:tcPr>
          <w:p>
            <w:pPr>
              <w:pStyle w:val="TableContents"/>
              <w:bidi w:val="0"/>
              <w:spacing w:before="0" w:after="283"/>
              <w:jc w:val="left"/>
              <w:rPr/>
            </w:pPr>
            <w:r>
              <w:rPr/>
              <w:t> </w:t>
            </w:r>
          </w:p>
        </w:tc>
        <w:tc>
          <w:tcPr>
            <w:tcW w:w="6431"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 xml:space="preserve">The meeting can be accessed by visiting </w:t>
            </w:r>
            <w:r>
              <w:rPr>
                <w:rFonts w:ascii="Times New Roman" w:hAnsi="Times New Roman"/>
                <w:sz w:val="20"/>
                <w:u w:val="single"/>
              </w:rPr>
              <w:t xml:space="preserve">meetnow.global/MN99LW9 </w:t>
            </w:r>
            <w:r>
              <w:rPr>
                <w:rFonts w:ascii="Times New Roman" w:hAnsi="Times New Roman"/>
                <w:sz w:val="20"/>
              </w:rPr>
              <w:t>where you will be able to listen to the meeting live, submit questions and vote online. There will be no physical location for stockholders to attend.</w:t>
            </w:r>
          </w:p>
        </w:tc>
      </w:tr>
      <w:tr>
        <w:trPr>
          <w:trHeight w:val="240" w:hRule="atLeast"/>
        </w:trPr>
        <w:tc>
          <w:tcPr>
            <w:tcW w:w="815" w:type="dxa"/>
            <w:tcBorders/>
            <w:vAlign w:val="center"/>
          </w:tcPr>
          <w:p>
            <w:pPr>
              <w:pStyle w:val="TableContents"/>
              <w:bidi w:val="0"/>
              <w:spacing w:before="0" w:after="283"/>
              <w:jc w:val="left"/>
              <w:rPr>
                <w:sz w:val="4"/>
                <w:szCs w:val="4"/>
              </w:rPr>
            </w:pPr>
            <w:r>
              <w:rPr>
                <w:sz w:val="4"/>
                <w:szCs w:val="4"/>
              </w:rPr>
            </w:r>
          </w:p>
        </w:tc>
        <w:tc>
          <w:tcPr>
            <w:tcW w:w="2857" w:type="dxa"/>
            <w:gridSpan w:val="2"/>
            <w:tcBorders/>
            <w:vAlign w:val="center"/>
          </w:tcPr>
          <w:p>
            <w:pPr>
              <w:pStyle w:val="TableContents"/>
              <w:bidi w:val="0"/>
              <w:spacing w:before="0" w:after="283"/>
              <w:jc w:val="left"/>
              <w:rPr>
                <w:sz w:val="4"/>
                <w:szCs w:val="4"/>
              </w:rPr>
            </w:pPr>
            <w:r>
              <w:rPr>
                <w:sz w:val="4"/>
                <w:szCs w:val="4"/>
              </w:rPr>
            </w:r>
          </w:p>
        </w:tc>
        <w:tc>
          <w:tcPr>
            <w:tcW w:w="6533" w:type="dxa"/>
            <w:gridSpan w:val="2"/>
            <w:tcBorders/>
            <w:vAlign w:val="center"/>
          </w:tcPr>
          <w:p>
            <w:pPr>
              <w:pStyle w:val="TableContents"/>
              <w:bidi w:val="0"/>
              <w:spacing w:before="0" w:after="283"/>
              <w:jc w:val="left"/>
              <w:rPr>
                <w:sz w:val="4"/>
                <w:szCs w:val="4"/>
              </w:rPr>
            </w:pPr>
            <w:r>
              <w:rPr>
                <w:sz w:val="4"/>
                <w:szCs w:val="4"/>
              </w:rPr>
            </w:r>
          </w:p>
        </w:tc>
      </w:tr>
      <w:tr>
        <w:trPr/>
        <w:tc>
          <w:tcPr>
            <w:tcW w:w="815"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2756" w:type="dxa"/>
            <w:tcBorders/>
            <w:vAlign w:val="bottom"/>
          </w:tcPr>
          <w:p>
            <w:pPr>
              <w:pStyle w:val="TableContents"/>
              <w:bidi w:val="0"/>
              <w:spacing w:before="0" w:after="283"/>
              <w:jc w:val="left"/>
              <w:rPr>
                <w:b/>
              </w:rPr>
            </w:pPr>
            <w:r>
              <w:rPr>
                <w:b/>
              </w:rPr>
              <w:t>Record Date:</w:t>
            </w:r>
          </w:p>
        </w:tc>
        <w:tc>
          <w:tcPr>
            <w:tcW w:w="102" w:type="dxa"/>
            <w:tcBorders/>
            <w:vAlign w:val="bottom"/>
          </w:tcPr>
          <w:p>
            <w:pPr>
              <w:pStyle w:val="TableContents"/>
              <w:bidi w:val="0"/>
              <w:spacing w:before="0" w:after="283"/>
              <w:jc w:val="left"/>
              <w:rPr/>
            </w:pPr>
            <w:r>
              <w:rPr/>
              <w:t> </w:t>
            </w:r>
          </w:p>
        </w:tc>
        <w:tc>
          <w:tcPr>
            <w:tcW w:w="6431"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Monday, April 1, 2024</w:t>
            </w:r>
          </w:p>
        </w:tc>
      </w:tr>
    </w:tbl>
    <w:p>
      <w:pPr>
        <w:pStyle w:val="TextBody"/>
        <w:bidi w:val="0"/>
        <w:spacing w:before="0" w:after="0"/>
        <w:jc w:val="left"/>
        <w:rPr/>
      </w:pPr>
      <w:r>
        <w:rPr/>
        <w:t> </w:t>
      </w:r>
    </w:p>
    <w:p>
      <w:pPr>
        <w:pStyle w:val="TextBody"/>
        <w:bidi w:val="0"/>
        <w:spacing w:before="240" w:after="0"/>
        <w:jc w:val="both"/>
        <w:rPr>
          <w:rFonts w:ascii="Times New Roman" w:hAnsi="Times New Roman"/>
          <w:sz w:val="20"/>
        </w:rPr>
      </w:pPr>
      <w:r>
        <w:rPr>
          <w:rFonts w:ascii="Times New Roman" w:hAnsi="Times New Roman"/>
          <w:b/>
          <w:i/>
          <w:sz w:val="20"/>
        </w:rPr>
        <w:t>Your vote matters.</w:t>
      </w:r>
      <w:r>
        <w:rPr>
          <w:rFonts w:ascii="Times New Roman" w:hAnsi="Times New Roman"/>
          <w:sz w:val="20"/>
        </w:rPr>
        <w:t xml:space="preserve"> </w:t>
      </w:r>
      <w:r>
        <w:rPr>
          <w:rFonts w:ascii="Times New Roman" w:hAnsi="Times New Roman"/>
          <w:i/>
          <w:sz w:val="20"/>
        </w:rPr>
        <w:t xml:space="preserve">Whether or not you plan to virtually attend the Annual Meeting, please ensure that your shares are represented by voting, signing, dating, and returning your proxy in the enclosed envelope, which requires no postage if mailed in the United States. </w:t>
      </w:r>
    </w:p>
    <w:p>
      <w:pPr>
        <w:pStyle w:val="TextBody"/>
        <w:bidi w:val="0"/>
        <w:spacing w:before="200" w:after="0"/>
        <w:jc w:val="both"/>
        <w:rPr>
          <w:rFonts w:ascii="Times New Roman" w:hAnsi="Times New Roman"/>
          <w:sz w:val="20"/>
        </w:rPr>
      </w:pPr>
      <w:r>
        <w:rPr>
          <w:rFonts w:ascii="Times New Roman" w:hAnsi="Times New Roman"/>
          <w:sz w:val="20"/>
        </w:rPr>
        <w:t xml:space="preserve">Thank you for your ongoing support of and interest in Larimar Therapeutics, Inc.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both"/>
              <w:rPr>
                <w:rFonts w:ascii="Times New Roman" w:hAnsi="Times New Roman"/>
                <w:sz w:val="20"/>
              </w:rPr>
            </w:pPr>
            <w:r>
              <w:rPr>
                <w:rFonts w:ascii="Times New Roman" w:hAnsi="Times New Roman"/>
                <w:sz w:val="20"/>
              </w:rPr>
              <w:t>By Order of the Board of Directors,</w:t>
            </w:r>
          </w:p>
        </w:tc>
      </w:tr>
      <w:tr>
        <w:trPr/>
        <w:tc>
          <w:tcPr>
            <w:tcW w:w="4082" w:type="dxa"/>
            <w:tcBorders>
              <w:bottom w:val="single" w:sz="2" w:space="0" w:color="000000"/>
            </w:tcBorders>
            <w:tcMar>
              <w:bottom w:w="28" w:type="dxa"/>
            </w:tcMa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both"/>
              <w:rPr/>
            </w:pPr>
            <w:r>
              <w:rPr/>
              <w:drawing>
                <wp:inline distT="0" distB="0" distL="0" distR="0">
                  <wp:extent cx="191770" cy="292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1770" cy="29210"/>
                          </a:xfrm>
                          <a:prstGeom prst="rect">
                            <a:avLst/>
                          </a:prstGeom>
                        </pic:spPr>
                      </pic:pic>
                    </a:graphicData>
                  </a:graphic>
                </wp:inline>
              </w:drawing>
            </w:r>
            <w:r>
              <w:rPr/>
              <w:t xml:space="preserve"> </w:t>
            </w:r>
          </w:p>
        </w:tc>
      </w:tr>
      <w:tr>
        <w:trPr/>
        <w:tc>
          <w:tcPr>
            <w:tcW w:w="4082" w:type="dxa"/>
            <w:tcBorders/>
            <w:vAlign w:val="bottom"/>
          </w:tcPr>
          <w:p>
            <w:pPr>
              <w:pStyle w:val="TableContents"/>
              <w:bidi w:val="0"/>
              <w:spacing w:before="0" w:after="283"/>
              <w:jc w:val="left"/>
              <w:rPr/>
            </w:pPr>
            <w:r>
              <w:rPr/>
              <w:t xml:space="preserve">Michael Celano </w:t>
            </w:r>
          </w:p>
        </w:tc>
      </w:tr>
      <w:tr>
        <w:trPr/>
        <w:tc>
          <w:tcPr>
            <w:tcW w:w="4082" w:type="dxa"/>
            <w:tcBorders/>
            <w:vAlign w:val="bottom"/>
          </w:tcPr>
          <w:p>
            <w:pPr>
              <w:pStyle w:val="TableContents"/>
              <w:bidi w:val="0"/>
              <w:spacing w:before="0" w:after="283"/>
              <w:jc w:val="left"/>
              <w:rPr>
                <w:i/>
              </w:rPr>
            </w:pPr>
            <w:r>
              <w:rPr>
                <w:i/>
              </w:rPr>
              <w:t>Chief Financial Officer and Secretary</w:t>
            </w:r>
          </w:p>
        </w:tc>
      </w:tr>
      <w:tr>
        <w:trPr/>
        <w:tc>
          <w:tcPr>
            <w:tcW w:w="4082" w:type="dxa"/>
            <w:tcBorders/>
            <w:vAlign w:val="bottom"/>
          </w:tcPr>
          <w:p>
            <w:pPr>
              <w:pStyle w:val="TableContents"/>
              <w:bidi w:val="0"/>
              <w:spacing w:before="0" w:after="283"/>
              <w:jc w:val="left"/>
              <w:rPr/>
            </w:pPr>
            <w:r>
              <w:rPr/>
              <w:t>April 29, 2024</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IMPORTANT NOTICE REGARDING AVAILABILITY OF PROXY MATERIALS. This Proxy Statement and the proxy card are being mailed to our stockholders on or about April 29, 2024. In accordance with the rules of the Securities and Exchange Commission, we are advising our stockholders of the availability on the Internet of our proxy materials related to our 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Annual Report on Form 10-K for the fiscal year ended December 31, 2023 are available to beneficial holders of our common stock at </w:t>
      </w:r>
      <w:r>
        <w:rPr>
          <w:rFonts w:ascii="Times New Roman" w:hAnsi="Times New Roman"/>
          <w:b/>
          <w:color w:val="2B7CF4"/>
          <w:sz w:val="20"/>
          <w:u w:val="single"/>
        </w:rPr>
        <w:t>http://www.edocumentview.com/LRMR</w:t>
      </w:r>
      <w:r>
        <w:rPr>
          <w:rFonts w:ascii="Times New Roman" w:hAnsi="Times New Roman"/>
          <w:b/>
          <w:sz w:val="20"/>
        </w:rPr>
        <w:t xml:space="preserve"> and to record holders of our common stock at </w:t>
      </w:r>
      <w:r>
        <w:rPr>
          <w:rFonts w:ascii="Times New Roman" w:hAnsi="Times New Roman"/>
          <w:b/>
          <w:color w:val="2B7CF4"/>
          <w:sz w:val="20"/>
          <w:u w:val="single"/>
        </w:rPr>
        <w:t>http://www.envisionreports.com/LRMR</w:t>
      </w: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2" w:name="summary636298_1"/>
            <w:bookmarkEnd w:id="2"/>
            <w:r>
              <w:rPr>
                <w:rFonts w:ascii="Times New Roman" w:hAnsi="Times New Roman"/>
                <w:b/>
                <w:sz w:val="24"/>
              </w:rPr>
              <w:t>SUMMARY INFORMATION</w:t>
            </w:r>
          </w:p>
        </w:tc>
      </w:tr>
    </w:tbl>
    <w:p>
      <w:pPr>
        <w:pStyle w:val="TextBody"/>
        <w:bidi w:val="0"/>
        <w:spacing w:before="0" w:after="0"/>
        <w:jc w:val="left"/>
        <w:rPr/>
      </w:pPr>
      <w:r>
        <w:rPr/>
        <w:t> </w:t>
      </w:r>
    </w:p>
    <w:p>
      <w:pPr>
        <w:pStyle w:val="TextBody"/>
        <w:bidi w:val="0"/>
        <w:spacing w:before="0" w:after="0"/>
        <w:jc w:val="both"/>
        <w:rPr>
          <w:rFonts w:ascii="Times New Roman" w:hAnsi="Times New Roman"/>
          <w:color w:val="4DC1E4"/>
          <w:sz w:val="20"/>
        </w:rPr>
      </w:pPr>
      <w:r>
        <w:rPr>
          <w:rFonts w:ascii="Times New Roman" w:hAnsi="Times New Roman"/>
          <w:color w:val="4DC1E4"/>
          <w:sz w:val="20"/>
        </w:rPr>
        <w:t xml:space="preserve">To assist you in reviewing this years proposals, we call your attention to the following proxy summary. This summary highlights information contained elsewhere in this Proxy Statement and our Annual Report on Form 10-K for the fiscal year ended December 31, 2023 (the 2023 Annual Report). This summary does not contain all of the information you should consider, and we encourage you to read this Proxy Statement and the 2023 Annual Report carefully before voting. </w:t>
      </w:r>
    </w:p>
    <w:p>
      <w:pPr>
        <w:pStyle w:val="TextBody"/>
        <w:bidi w:val="0"/>
        <w:spacing w:before="200" w:after="0"/>
        <w:jc w:val="left"/>
        <w:rPr>
          <w:rFonts w:ascii="Times New Roman" w:hAnsi="Times New Roman"/>
          <w:b/>
          <w:i/>
          <w:sz w:val="20"/>
        </w:rPr>
      </w:pPr>
      <w:r>
        <w:rPr>
          <w:rFonts w:ascii="Times New Roman" w:hAnsi="Times New Roman"/>
          <w:b/>
          <w:i/>
          <w:sz w:val="20"/>
        </w:rPr>
        <w:t xml:space="preserve">2024 Annual Meeting of Stockholders </w:t>
      </w:r>
    </w:p>
    <w:p>
      <w:pPr>
        <w:pStyle w:val="TextBody"/>
        <w:bidi w:val="0"/>
        <w:spacing w:before="0" w:after="0"/>
        <w:jc w:val="left"/>
        <w:rPr/>
      </w:pPr>
      <w:r>
        <w:rPr/>
        <w:t> </w:t>
      </w:r>
    </w:p>
    <w:tbl>
      <w:tblPr>
        <w:tblW w:w="4800" w:type="pct"/>
        <w:jc w:val="left"/>
        <w:tblInd w:w="0" w:type="dxa"/>
        <w:tblLayout w:type="fixed"/>
        <w:tblCellMar>
          <w:top w:w="0" w:type="dxa"/>
          <w:left w:w="0" w:type="dxa"/>
          <w:bottom w:w="0" w:type="dxa"/>
          <w:right w:w="0" w:type="dxa"/>
        </w:tblCellMar>
      </w:tblPr>
      <w:tblGrid>
        <w:gridCol w:w="5036"/>
        <w:gridCol w:w="182"/>
        <w:gridCol w:w="1241"/>
        <w:gridCol w:w="121"/>
        <w:gridCol w:w="3216"/>
      </w:tblGrid>
      <w:tr>
        <w:trPr/>
        <w:tc>
          <w:tcPr>
            <w:tcW w:w="5036"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16"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5036" w:type="dxa"/>
            <w:tcBorders>
              <w:top w:val="single" w:sz="2" w:space="0" w:color="000000"/>
              <w:left w:val="single" w:sz="2" w:space="0" w:color="000000"/>
            </w:tcBorders>
            <w:shd w:fill="4DC1E4" w:val="clear"/>
            <w:tcMar>
              <w:top w:w="28" w:type="dxa"/>
              <w:left w:w="160" w:type="dxa"/>
            </w:tcMar>
            <w:vAlign w:val="center"/>
          </w:tcPr>
          <w:p>
            <w:pPr>
              <w:pStyle w:val="TableContents"/>
              <w:bidi w:val="0"/>
              <w:spacing w:before="0" w:after="283"/>
              <w:jc w:val="left"/>
              <w:rPr/>
            </w:pPr>
            <w:r>
              <w:rPr/>
              <w:t> </w:t>
            </w:r>
          </w:p>
        </w:tc>
        <w:tc>
          <w:tcPr>
            <w:tcW w:w="1423"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3337"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5036" w:type="dxa"/>
            <w:tcBorders>
              <w:left w:val="single" w:sz="2" w:space="0" w:color="000000"/>
              <w:bottom w:val="single" w:sz="2" w:space="0" w:color="000000"/>
            </w:tcBorders>
            <w:shd w:fill="4DC1E4" w:val="clear"/>
            <w:tcMar>
              <w:left w:w="160" w:type="dxa"/>
              <w:bottom w:w="28" w:type="dxa"/>
            </w:tcMar>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16"/>
              </w:rPr>
            </w:pPr>
            <w:r>
              <w:rPr>
                <w:rFonts w:ascii="Times New Roman" w:hAnsi="Times New Roman"/>
                <w:b/>
                <w:color w:val="FFFFFF"/>
                <w:sz w:val="16"/>
              </w:rPr>
              <w:t>T</w:t>
            </w:r>
            <w:r>
              <w:rPr>
                <w:rFonts w:ascii="Times New Roman" w:hAnsi="Times New Roman"/>
                <w:b/>
                <w:color w:val="FFFFFF"/>
                <w:sz w:val="14"/>
              </w:rPr>
              <w:t>IME</w:t>
            </w:r>
            <w:r>
              <w:rPr>
                <w:rFonts w:ascii="Times New Roman" w:hAnsi="Times New Roman"/>
                <w:b/>
                <w:color w:val="FFFFFF"/>
                <w:sz w:val="16"/>
              </w:rPr>
              <w:t xml:space="preserve"> </w:t>
            </w:r>
            <w:r>
              <w:rPr>
                <w:rFonts w:ascii="Times New Roman" w:hAnsi="Times New Roman"/>
                <w:b/>
                <w:color w:val="FFFFFF"/>
                <w:sz w:val="14"/>
              </w:rPr>
              <w:t>AND</w:t>
            </w:r>
            <w:r>
              <w:rPr>
                <w:rFonts w:ascii="Times New Roman" w:hAnsi="Times New Roman"/>
                <w:b/>
                <w:color w:val="FFFFFF"/>
                <w:sz w:val="16"/>
              </w:rPr>
              <w:t xml:space="preserve"> D</w:t>
            </w:r>
            <w:r>
              <w:rPr>
                <w:rFonts w:ascii="Times New Roman" w:hAnsi="Times New Roman"/>
                <w:b/>
                <w:color w:val="FFFFFF"/>
                <w:sz w:val="14"/>
              </w:rPr>
              <w:t>ATE</w:t>
            </w:r>
          </w:p>
          <w:p>
            <w:pPr>
              <w:pStyle w:val="TableContents"/>
              <w:bidi w:val="0"/>
              <w:spacing w:before="0" w:after="20"/>
              <w:jc w:val="left"/>
              <w:rPr/>
            </w:pPr>
            <w:r>
              <w:rPr/>
              <w:t> </w:t>
            </w:r>
          </w:p>
        </w:tc>
        <w:tc>
          <w:tcPr>
            <w:tcW w:w="182"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41" w:type="dxa"/>
            <w:tcBorders>
              <w:bottom w:val="single" w:sz="2" w:space="0" w:color="000000"/>
            </w:tcBorders>
            <w:shd w:fill="4DC1E4" w:val="clear"/>
            <w:tcMar>
              <w:bottom w:w="28" w:type="dxa"/>
            </w:tcMar>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16"/>
              </w:rPr>
            </w:pPr>
            <w:r>
              <w:rPr>
                <w:rFonts w:ascii="Times New Roman" w:hAnsi="Times New Roman"/>
                <w:b/>
                <w:color w:val="FFFFFF"/>
                <w:sz w:val="16"/>
              </w:rPr>
              <w:t>R</w:t>
            </w:r>
            <w:r>
              <w:rPr>
                <w:rFonts w:ascii="Times New Roman" w:hAnsi="Times New Roman"/>
                <w:b/>
                <w:color w:val="FFFFFF"/>
                <w:sz w:val="14"/>
              </w:rPr>
              <w:t>ECORD</w:t>
            </w:r>
            <w:r>
              <w:rPr>
                <w:rFonts w:ascii="Times New Roman" w:hAnsi="Times New Roman"/>
                <w:b/>
                <w:color w:val="FFFFFF"/>
                <w:sz w:val="16"/>
              </w:rPr>
              <w:t> D</w:t>
            </w:r>
            <w:r>
              <w:rPr>
                <w:rFonts w:ascii="Times New Roman" w:hAnsi="Times New Roman"/>
                <w:b/>
                <w:color w:val="FFFFFF"/>
                <w:sz w:val="14"/>
              </w:rPr>
              <w:t>ATE</w:t>
            </w:r>
          </w:p>
          <w:p>
            <w:pPr>
              <w:pStyle w:val="TableContents"/>
              <w:bidi w:val="0"/>
              <w:spacing w:before="0" w:after="20"/>
              <w:jc w:val="left"/>
              <w:rPr/>
            </w:pPr>
            <w:r>
              <w:rPr/>
              <w:t> </w:t>
            </w:r>
          </w:p>
        </w:tc>
        <w:tc>
          <w:tcPr>
            <w:tcW w:w="12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3216" w:type="dxa"/>
            <w:tcBorders>
              <w:bottom w:val="single" w:sz="2" w:space="0" w:color="000000"/>
              <w:right w:val="single" w:sz="2" w:space="0" w:color="000000"/>
            </w:tcBorders>
            <w:shd w:fill="4DC1E4" w:val="clear"/>
            <w:tcMar>
              <w:bottom w:w="28" w:type="dxa"/>
              <w:right w:w="40" w:type="dxa"/>
            </w:tcMar>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16"/>
              </w:rPr>
            </w:pPr>
            <w:r>
              <w:rPr>
                <w:rFonts w:ascii="Times New Roman" w:hAnsi="Times New Roman"/>
                <w:b/>
                <w:color w:val="FFFFFF"/>
                <w:sz w:val="16"/>
              </w:rPr>
              <w:t>W</w:t>
            </w:r>
            <w:r>
              <w:rPr>
                <w:rFonts w:ascii="Times New Roman" w:hAnsi="Times New Roman"/>
                <w:b/>
                <w:color w:val="FFFFFF"/>
                <w:sz w:val="14"/>
              </w:rPr>
              <w:t>EBSITE</w:t>
            </w:r>
            <w:r>
              <w:rPr>
                <w:rFonts w:ascii="Times New Roman" w:hAnsi="Times New Roman"/>
                <w:b/>
                <w:color w:val="FFFFFF"/>
                <w:sz w:val="16"/>
              </w:rPr>
              <w:t xml:space="preserve"> A</w:t>
            </w:r>
            <w:r>
              <w:rPr>
                <w:rFonts w:ascii="Times New Roman" w:hAnsi="Times New Roman"/>
                <w:b/>
                <w:color w:val="FFFFFF"/>
                <w:sz w:val="14"/>
              </w:rPr>
              <w:t>DDRESS</w:t>
            </w:r>
          </w:p>
          <w:p>
            <w:pPr>
              <w:pStyle w:val="TableContents"/>
              <w:bidi w:val="0"/>
              <w:spacing w:before="0" w:after="20"/>
              <w:jc w:val="left"/>
              <w:rPr/>
            </w:pPr>
            <w:r>
              <w:rPr/>
              <w:t> </w:t>
            </w:r>
          </w:p>
        </w:tc>
      </w:tr>
      <w:tr>
        <w:trPr/>
        <w:tc>
          <w:tcPr>
            <w:tcW w:w="5036" w:type="dxa"/>
            <w:tcBorders>
              <w:left w:val="single" w:sz="2" w:space="0" w:color="000000"/>
              <w:bottom w:val="single" w:sz="2" w:space="0" w:color="000000"/>
            </w:tcBorders>
            <w:tcMar>
              <w:left w:w="160" w:type="dxa"/>
              <w:bottom w:w="80" w:type="dxa"/>
            </w:tcMar>
          </w:tcPr>
          <w:p>
            <w:pPr>
              <w:pStyle w:val="TableContents"/>
              <w:bidi w:val="0"/>
              <w:spacing w:before="0" w:after="0"/>
              <w:jc w:val="left"/>
              <w:rPr>
                <w:rFonts w:ascii="Times New Roman" w:hAnsi="Times New Roman"/>
                <w:sz w:val="20"/>
              </w:rPr>
            </w:pPr>
            <w:r>
              <w:rPr>
                <w:rFonts w:ascii="Times New Roman" w:hAnsi="Times New Roman"/>
                <w:sz w:val="20"/>
              </w:rPr>
              <w:t>11:00 a.m., Eastern Time, on Wednesday, May 29, 2024</w:t>
            </w:r>
          </w:p>
        </w:tc>
        <w:tc>
          <w:tcPr>
            <w:tcW w:w="182" w:type="dxa"/>
            <w:tcBorders>
              <w:bottom w:val="single" w:sz="2" w:space="0" w:color="000000"/>
            </w:tcBorders>
            <w:tcMar>
              <w:bottom w:w="28" w:type="dxa"/>
            </w:tcMar>
            <w:vAlign w:val="bottom"/>
          </w:tcPr>
          <w:p>
            <w:pPr>
              <w:pStyle w:val="TableContents"/>
              <w:bidi w:val="0"/>
              <w:spacing w:before="0" w:after="283"/>
              <w:jc w:val="left"/>
              <w:rPr/>
            </w:pPr>
            <w:r>
              <w:rPr/>
              <w:t> </w:t>
            </w:r>
          </w:p>
        </w:tc>
        <w:tc>
          <w:tcPr>
            <w:tcW w:w="1241" w:type="dxa"/>
            <w:tcBorders>
              <w:bottom w:val="single" w:sz="2" w:space="0" w:color="000000"/>
            </w:tcBorders>
            <w:tcMar>
              <w:bottom w:w="80" w:type="dxa"/>
            </w:tcMar>
          </w:tcPr>
          <w:p>
            <w:pPr>
              <w:pStyle w:val="TableContents"/>
              <w:bidi w:val="0"/>
              <w:spacing w:before="0" w:after="0"/>
              <w:jc w:val="left"/>
              <w:rPr>
                <w:rFonts w:ascii="Times New Roman" w:hAnsi="Times New Roman"/>
                <w:sz w:val="20"/>
              </w:rPr>
            </w:pPr>
            <w:r>
              <w:rPr>
                <w:rFonts w:ascii="Times New Roman" w:hAnsi="Times New Roman"/>
                <w:sz w:val="20"/>
              </w:rPr>
              <w:t>April 1,</w:t>
            </w:r>
          </w:p>
          <w:p>
            <w:pPr>
              <w:pStyle w:val="TableContents"/>
              <w:bidi w:val="0"/>
              <w:spacing w:before="0" w:after="20"/>
              <w:jc w:val="left"/>
              <w:rPr>
                <w:rFonts w:ascii="Times New Roman" w:hAnsi="Times New Roman"/>
                <w:sz w:val="20"/>
              </w:rPr>
            </w:pPr>
            <w:r>
              <w:rPr>
                <w:rFonts w:ascii="Times New Roman" w:hAnsi="Times New Roman"/>
                <w:sz w:val="20"/>
              </w:rPr>
              <w:t>2024</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3216" w:type="dxa"/>
            <w:tcBorders>
              <w:bottom w:val="single" w:sz="2" w:space="0" w:color="000000"/>
              <w:right w:val="single" w:sz="2" w:space="0" w:color="000000"/>
            </w:tcBorders>
            <w:tcMar>
              <w:bottom w:w="80" w:type="dxa"/>
              <w:right w:w="40" w:type="dxa"/>
            </w:tcMar>
          </w:tcPr>
          <w:p>
            <w:pPr>
              <w:pStyle w:val="TableContents"/>
              <w:bidi w:val="0"/>
              <w:spacing w:before="0" w:after="283"/>
              <w:jc w:val="left"/>
              <w:rPr/>
            </w:pPr>
            <w:r>
              <w:rPr/>
              <w:t xml:space="preserve">The meeting can be accessed by visiting </w:t>
            </w:r>
            <w:r>
              <w:rPr>
                <w:u w:val="single"/>
              </w:rPr>
              <w:t>meetnow.global/MN99LW9</w:t>
            </w:r>
            <w:r>
              <w:rPr/>
              <w:t>, where you will be able to listen to the meeting live, submit questions and vote online. There will be no physical location for stockholders to attend.</w:t>
            </w:r>
          </w:p>
        </w:tc>
      </w:tr>
    </w:tbl>
    <w:p>
      <w:pPr>
        <w:pStyle w:val="TextBody"/>
        <w:bidi w:val="0"/>
        <w:spacing w:before="200" w:after="0"/>
        <w:jc w:val="left"/>
        <w:rPr>
          <w:rFonts w:ascii="Times New Roman" w:hAnsi="Times New Roman"/>
          <w:b/>
          <w:i/>
          <w:sz w:val="20"/>
        </w:rPr>
      </w:pPr>
      <w:r>
        <w:rPr>
          <w:rFonts w:ascii="Times New Roman" w:hAnsi="Times New Roman"/>
          <w:b/>
          <w:i/>
          <w:sz w:val="20"/>
        </w:rPr>
        <w:t xml:space="preserve">Summary of Stockholder Voting Matters </w:t>
      </w:r>
    </w:p>
    <w:p>
      <w:pPr>
        <w:pStyle w:val="TextBody"/>
        <w:bidi w:val="0"/>
        <w:spacing w:before="0" w:after="0"/>
        <w:jc w:val="left"/>
        <w:rPr/>
      </w:pPr>
      <w:r>
        <w:rPr/>
        <w:t> </w:t>
      </w:r>
    </w:p>
    <w:tbl>
      <w:tblPr>
        <w:tblW w:w="4800" w:type="pct"/>
        <w:jc w:val="left"/>
        <w:tblInd w:w="0" w:type="dxa"/>
        <w:tblLayout w:type="fixed"/>
        <w:tblCellMar>
          <w:top w:w="0" w:type="dxa"/>
          <w:left w:w="0" w:type="dxa"/>
          <w:bottom w:w="0" w:type="dxa"/>
          <w:right w:w="0" w:type="dxa"/>
        </w:tblCellMar>
      </w:tblPr>
      <w:tblGrid>
        <w:gridCol w:w="5973"/>
        <w:gridCol w:w="325"/>
        <w:gridCol w:w="1003"/>
        <w:gridCol w:w="123"/>
        <w:gridCol w:w="2372"/>
      </w:tblGrid>
      <w:tr>
        <w:trPr/>
        <w:tc>
          <w:tcPr>
            <w:tcW w:w="5973"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5973" w:type="dxa"/>
            <w:tcBorders>
              <w:top w:val="single" w:sz="2" w:space="0" w:color="000000"/>
              <w:left w:val="single" w:sz="2" w:space="0" w:color="000000"/>
            </w:tcBorders>
            <w:shd w:fill="4DC1E4" w:val="clear"/>
            <w:tcMar>
              <w:top w:w="28" w:type="dxa"/>
              <w:left w:w="160" w:type="dxa"/>
            </w:tcMar>
            <w:vAlign w:val="center"/>
          </w:tcPr>
          <w:p>
            <w:pPr>
              <w:pStyle w:val="TableContents"/>
              <w:bidi w:val="0"/>
              <w:spacing w:before="0" w:after="283"/>
              <w:jc w:val="left"/>
              <w:rPr/>
            </w:pPr>
            <w:r>
              <w:rPr/>
              <w:t> </w:t>
            </w:r>
          </w:p>
        </w:tc>
        <w:tc>
          <w:tcPr>
            <w:tcW w:w="1328"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2495"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5973" w:type="dxa"/>
            <w:tcBorders>
              <w:left w:val="single" w:sz="2" w:space="0" w:color="000000"/>
              <w:bottom w:val="single" w:sz="2" w:space="0" w:color="000000"/>
            </w:tcBorders>
            <w:shd w:fill="4DC1E4" w:val="clear"/>
            <w:tcMar>
              <w:left w:w="160" w:type="dxa"/>
              <w:bottom w:w="28" w:type="dxa"/>
            </w:tcMar>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16"/>
              </w:rPr>
            </w:pPr>
            <w:r>
              <w:rPr>
                <w:rFonts w:ascii="Times New Roman" w:hAnsi="Times New Roman"/>
                <w:b/>
                <w:color w:val="FFFFFF"/>
                <w:sz w:val="16"/>
              </w:rPr>
              <w:t>V</w:t>
            </w:r>
            <w:r>
              <w:rPr>
                <w:rFonts w:ascii="Times New Roman" w:hAnsi="Times New Roman"/>
                <w:b/>
                <w:color w:val="FFFFFF"/>
                <w:sz w:val="14"/>
              </w:rPr>
              <w:t>OTING</w:t>
            </w:r>
            <w:r>
              <w:rPr>
                <w:rFonts w:ascii="Times New Roman" w:hAnsi="Times New Roman"/>
                <w:b/>
                <w:color w:val="FFFFFF"/>
                <w:sz w:val="16"/>
              </w:rPr>
              <w:t xml:space="preserve"> M</w:t>
            </w:r>
            <w:r>
              <w:rPr>
                <w:rFonts w:ascii="Times New Roman" w:hAnsi="Times New Roman"/>
                <w:b/>
                <w:color w:val="FFFFFF"/>
                <w:sz w:val="14"/>
              </w:rPr>
              <w:t>ATTERS</w:t>
            </w:r>
          </w:p>
          <w:p>
            <w:pPr>
              <w:pStyle w:val="TableContents"/>
              <w:bidi w:val="0"/>
              <w:spacing w:before="0" w:after="20"/>
              <w:jc w:val="left"/>
              <w:rPr/>
            </w:pPr>
            <w:r>
              <w:rPr/>
              <w:t> </w:t>
            </w:r>
          </w:p>
        </w:tc>
        <w:tc>
          <w:tcPr>
            <w:tcW w:w="325"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03" w:type="dxa"/>
            <w:tcBorders>
              <w:bottom w:val="single" w:sz="2" w:space="0" w:color="000000"/>
            </w:tcBorders>
            <w:shd w:fill="4DC1E4" w:val="clear"/>
            <w:tcMar>
              <w:bottom w:w="28" w:type="dxa"/>
            </w:tcMar>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16"/>
              </w:rPr>
            </w:pPr>
            <w:r>
              <w:rPr>
                <w:rFonts w:ascii="Times New Roman" w:hAnsi="Times New Roman"/>
                <w:b/>
                <w:color w:val="FFFFFF"/>
                <w:sz w:val="16"/>
              </w:rPr>
              <w:t>F</w:t>
            </w:r>
            <w:r>
              <w:rPr>
                <w:rFonts w:ascii="Times New Roman" w:hAnsi="Times New Roman"/>
                <w:b/>
                <w:color w:val="FFFFFF"/>
                <w:sz w:val="14"/>
              </w:rPr>
              <w:t>OR</w:t>
            </w:r>
            <w:r>
              <w:rPr>
                <w:rFonts w:ascii="Times New Roman" w:hAnsi="Times New Roman"/>
                <w:b/>
                <w:color w:val="FFFFFF"/>
                <w:sz w:val="16"/>
              </w:rPr>
              <w:t xml:space="preserve"> M</w:t>
            </w:r>
            <w:r>
              <w:rPr>
                <w:rFonts w:ascii="Times New Roman" w:hAnsi="Times New Roman"/>
                <w:b/>
                <w:color w:val="FFFFFF"/>
                <w:sz w:val="14"/>
              </w:rPr>
              <w:t>ORE</w:t>
            </w:r>
            <w:r>
              <w:rPr>
                <w:rFonts w:ascii="Times New Roman" w:hAnsi="Times New Roman"/>
                <w:b/>
                <w:color w:val="FFFFFF"/>
                <w:sz w:val="16"/>
              </w:rPr>
              <w:t xml:space="preserve"> </w:t>
              <w:br/>
              <w:t>I</w:t>
            </w:r>
            <w:r>
              <w:rPr>
                <w:rFonts w:ascii="Times New Roman" w:hAnsi="Times New Roman"/>
                <w:b/>
                <w:color w:val="FFFFFF"/>
                <w:sz w:val="14"/>
              </w:rPr>
              <w:t>NFORMATION</w:t>
            </w:r>
          </w:p>
          <w:p>
            <w:pPr>
              <w:pStyle w:val="TableContents"/>
              <w:bidi w:val="0"/>
              <w:spacing w:before="0" w:after="20"/>
              <w:jc w:val="left"/>
              <w:rPr/>
            </w:pPr>
            <w:r>
              <w:rPr/>
              <w:t> </w:t>
            </w:r>
          </w:p>
        </w:tc>
        <w:tc>
          <w:tcPr>
            <w:tcW w:w="123"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shd w:fill="4DC1E4" w:val="clear"/>
            <w:tcMar>
              <w:bottom w:w="28" w:type="dxa"/>
              <w:right w:w="40" w:type="dxa"/>
            </w:tcMar>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16"/>
              </w:rPr>
            </w:pPr>
            <w:r>
              <w:rPr>
                <w:rFonts w:ascii="Times New Roman" w:hAnsi="Times New Roman"/>
                <w:b/>
                <w:color w:val="FFFFFF"/>
                <w:sz w:val="16"/>
              </w:rPr>
              <w:t>B</w:t>
            </w:r>
            <w:r>
              <w:rPr>
                <w:rFonts w:ascii="Times New Roman" w:hAnsi="Times New Roman"/>
                <w:b/>
                <w:color w:val="FFFFFF"/>
                <w:sz w:val="14"/>
              </w:rPr>
              <w:t>OARD</w:t>
            </w:r>
            <w:r>
              <w:rPr>
                <w:rFonts w:ascii="Times New Roman" w:hAnsi="Times New Roman"/>
                <w:b/>
                <w:color w:val="FFFFFF"/>
                <w:sz w:val="16"/>
              </w:rPr>
              <w:t xml:space="preserve"> </w:t>
            </w:r>
            <w:r>
              <w:rPr>
                <w:rFonts w:ascii="Times New Roman" w:hAnsi="Times New Roman"/>
                <w:b/>
                <w:color w:val="FFFFFF"/>
                <w:sz w:val="14"/>
              </w:rPr>
              <w:t>OF</w:t>
            </w:r>
            <w:r>
              <w:rPr>
                <w:rFonts w:ascii="Times New Roman" w:hAnsi="Times New Roman"/>
                <w:b/>
                <w:color w:val="FFFFFF"/>
                <w:sz w:val="16"/>
              </w:rPr>
              <w:br/>
              <w:t>D</w:t>
            </w:r>
            <w:r>
              <w:rPr>
                <w:rFonts w:ascii="Times New Roman" w:hAnsi="Times New Roman"/>
                <w:b/>
                <w:color w:val="FFFFFF"/>
                <w:sz w:val="14"/>
              </w:rPr>
              <w:t>IRECTORS</w:t>
            </w:r>
            <w:r>
              <w:rPr>
                <w:rFonts w:ascii="Times New Roman" w:hAnsi="Times New Roman"/>
                <w:b/>
                <w:color w:val="FFFFFF"/>
                <w:sz w:val="16"/>
              </w:rPr>
              <w:t xml:space="preserve"> </w:t>
              <w:br/>
              <w:t>R</w:t>
            </w:r>
            <w:r>
              <w:rPr>
                <w:rFonts w:ascii="Times New Roman" w:hAnsi="Times New Roman"/>
                <w:b/>
                <w:color w:val="FFFFFF"/>
                <w:sz w:val="14"/>
              </w:rPr>
              <w:t>ECOMMENDATION</w:t>
            </w:r>
          </w:p>
          <w:p>
            <w:pPr>
              <w:pStyle w:val="TableContents"/>
              <w:bidi w:val="0"/>
              <w:spacing w:before="0" w:after="20"/>
              <w:jc w:val="left"/>
              <w:rPr/>
            </w:pPr>
            <w:r>
              <w:rPr/>
              <w:t> </w:t>
            </w:r>
          </w:p>
        </w:tc>
      </w:tr>
      <w:tr>
        <w:trPr>
          <w:trHeight w:val="75" w:hRule="atLeast"/>
        </w:trPr>
        <w:tc>
          <w:tcPr>
            <w:tcW w:w="5973" w:type="dxa"/>
            <w:tcBorders>
              <w:left w:val="single" w:sz="2" w:space="0" w:color="000000"/>
            </w:tcBorders>
            <w:tcMar>
              <w:left w:w="160" w:type="dxa"/>
            </w:tcMar>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973" w:type="dxa"/>
            <w:tcBorders>
              <w:left w:val="single" w:sz="2" w:space="0" w:color="000000"/>
              <w:bottom w:val="single" w:sz="2" w:space="0" w:color="000000"/>
            </w:tcBorders>
            <w:tcMar>
              <w:left w:w="160" w:type="dxa"/>
              <w:bottom w:w="100" w:type="dxa"/>
            </w:tcMar>
          </w:tcPr>
          <w:p>
            <w:pPr>
              <w:pStyle w:val="TableContents"/>
              <w:bidi w:val="0"/>
              <w:spacing w:before="0" w:after="0"/>
              <w:jc w:val="left"/>
              <w:rPr>
                <w:rFonts w:ascii="Times New Roman" w:hAnsi="Times New Roman"/>
                <w:color w:val="4DC1E4"/>
                <w:sz w:val="20"/>
              </w:rPr>
            </w:pPr>
            <w:r>
              <w:rPr>
                <w:rFonts w:ascii="Times New Roman" w:hAnsi="Times New Roman"/>
                <w:color w:val="4DC1E4"/>
                <w:sz w:val="20"/>
              </w:rPr>
              <w:t>PROPOSAL 1: Election of Class I Directors for a Three-Year Term Expiring at the 2027 Annual Meeting of Stockholders</w:t>
            </w:r>
          </w:p>
          <w:p>
            <w:pPr>
              <w:pStyle w:val="TableContents"/>
              <w:bidi w:val="0"/>
              <w:spacing w:before="0" w:after="20"/>
              <w:jc w:val="left"/>
              <w:rPr>
                <w:rFonts w:ascii="Times New Roman" w:hAnsi="Times New Roman"/>
                <w:sz w:val="20"/>
              </w:rPr>
            </w:pPr>
            <w:r>
              <w:rPr>
                <w:rFonts w:ascii="Times New Roman" w:hAnsi="Times New Roman"/>
                <w:sz w:val="20"/>
              </w:rPr>
              <w:t>Jonathan Leff    Jeffrey W. Sherman, M.D., FACP</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2" w:space="0" w:color="000000"/>
            </w:tcBorders>
            <w:tcMar>
              <w:bottom w:w="100" w:type="dxa"/>
            </w:tcMar>
          </w:tcPr>
          <w:p>
            <w:pPr>
              <w:pStyle w:val="TableContents"/>
              <w:bidi w:val="0"/>
              <w:spacing w:before="0" w:after="283"/>
              <w:jc w:val="left"/>
              <w:rPr/>
            </w:pPr>
            <w:r>
              <w:rPr/>
              <w:t>Page 36</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100" w:type="dxa"/>
              <w:right w:w="28" w:type="dxa"/>
            </w:tcMar>
          </w:tcPr>
          <w:p>
            <w:pPr>
              <w:pStyle w:val="TableContents"/>
              <w:bidi w:val="0"/>
              <w:spacing w:before="0" w:after="283"/>
              <w:jc w:val="left"/>
              <w:rPr>
                <w:color w:val="538135"/>
              </w:rPr>
            </w:pPr>
            <w:r>
              <w:rPr>
                <w:color w:val="538135"/>
              </w:rPr>
              <w:t>✓ </w:t>
            </w:r>
            <w:r>
              <w:rPr>
                <w:b/>
                <w:color w:val="538135"/>
              </w:rPr>
              <w:t>FOR Our Nominees</w:t>
            </w:r>
          </w:p>
        </w:tc>
      </w:tr>
      <w:tr>
        <w:trPr>
          <w:trHeight w:val="75" w:hRule="atLeast"/>
        </w:trPr>
        <w:tc>
          <w:tcPr>
            <w:tcW w:w="5973" w:type="dxa"/>
            <w:tcBorders>
              <w:left w:val="single" w:sz="2" w:space="0" w:color="000000"/>
            </w:tcBorders>
            <w:tcMar>
              <w:left w:w="160" w:type="dxa"/>
            </w:tcMar>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973" w:type="dxa"/>
            <w:tcBorders>
              <w:left w:val="single" w:sz="2" w:space="0" w:color="000000"/>
              <w:bottom w:val="single" w:sz="2" w:space="0" w:color="000000"/>
            </w:tcBorders>
            <w:tcMar>
              <w:left w:w="160" w:type="dxa"/>
              <w:bottom w:w="100" w:type="dxa"/>
            </w:tcMar>
          </w:tcPr>
          <w:p>
            <w:pPr>
              <w:pStyle w:val="TableContents"/>
              <w:bidi w:val="0"/>
              <w:spacing w:before="0" w:after="0"/>
              <w:jc w:val="left"/>
              <w:rPr>
                <w:rFonts w:ascii="Times New Roman" w:hAnsi="Times New Roman"/>
                <w:color w:val="4DC1E4"/>
                <w:sz w:val="20"/>
              </w:rPr>
            </w:pPr>
            <w:r>
              <w:rPr>
                <w:rFonts w:ascii="Times New Roman" w:hAnsi="Times New Roman"/>
                <w:b/>
                <w:color w:val="4DC1E4"/>
                <w:sz w:val="20"/>
              </w:rPr>
              <w:t>PROPOSAL 2</w:t>
            </w:r>
            <w:r>
              <w:rPr>
                <w:rFonts w:ascii="Times New Roman" w:hAnsi="Times New Roman"/>
                <w:color w:val="4DC1E4"/>
                <w:sz w:val="20"/>
              </w:rPr>
              <w:t>: Approval, on an Advisory Basis, of the</w:t>
            </w:r>
          </w:p>
          <w:p>
            <w:pPr>
              <w:pStyle w:val="TableContents"/>
              <w:bidi w:val="0"/>
              <w:spacing w:before="0" w:after="20"/>
              <w:jc w:val="left"/>
              <w:rPr>
                <w:rFonts w:ascii="Times New Roman" w:hAnsi="Times New Roman"/>
                <w:color w:val="4DC1E4"/>
                <w:sz w:val="20"/>
              </w:rPr>
            </w:pPr>
            <w:r>
              <w:rPr>
                <w:rFonts w:ascii="Times New Roman" w:hAnsi="Times New Roman"/>
                <w:color w:val="4DC1E4"/>
                <w:sz w:val="20"/>
              </w:rPr>
              <w:t>Compensation of our Named Executive Officers in 2023</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2" w:space="0" w:color="000000"/>
            </w:tcBorders>
            <w:tcMar>
              <w:bottom w:w="100" w:type="dxa"/>
            </w:tcMar>
          </w:tcPr>
          <w:p>
            <w:pPr>
              <w:pStyle w:val="TableContents"/>
              <w:bidi w:val="0"/>
              <w:spacing w:before="0" w:after="283"/>
              <w:jc w:val="left"/>
              <w:rPr/>
            </w:pPr>
            <w:r>
              <w:rPr/>
              <w:t>Page 37</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100" w:type="dxa"/>
              <w:right w:w="28" w:type="dxa"/>
            </w:tcMar>
          </w:tcPr>
          <w:p>
            <w:pPr>
              <w:pStyle w:val="TableContents"/>
              <w:bidi w:val="0"/>
              <w:spacing w:before="0" w:after="283"/>
              <w:jc w:val="left"/>
              <w:rPr>
                <w:color w:val="538135"/>
              </w:rPr>
            </w:pPr>
            <w:r>
              <w:rPr>
                <w:color w:val="538135"/>
              </w:rPr>
              <w:t xml:space="preserve">✓ </w:t>
            </w:r>
            <w:r>
              <w:rPr>
                <w:b/>
                <w:color w:val="538135"/>
              </w:rPr>
              <w:t>FOR</w:t>
            </w:r>
          </w:p>
        </w:tc>
      </w:tr>
      <w:tr>
        <w:trPr>
          <w:trHeight w:val="75" w:hRule="atLeast"/>
        </w:trPr>
        <w:tc>
          <w:tcPr>
            <w:tcW w:w="5973" w:type="dxa"/>
            <w:tcBorders>
              <w:left w:val="single" w:sz="2" w:space="0" w:color="000000"/>
            </w:tcBorders>
            <w:tcMar>
              <w:left w:w="160" w:type="dxa"/>
            </w:tcMar>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973" w:type="dxa"/>
            <w:tcBorders>
              <w:left w:val="single" w:sz="2" w:space="0" w:color="000000"/>
              <w:bottom w:val="single" w:sz="2" w:space="0" w:color="000000"/>
            </w:tcBorders>
            <w:tcMar>
              <w:left w:w="160" w:type="dxa"/>
              <w:bottom w:w="100" w:type="dxa"/>
            </w:tcMar>
          </w:tcPr>
          <w:p>
            <w:pPr>
              <w:pStyle w:val="TableContents"/>
              <w:bidi w:val="0"/>
              <w:spacing w:before="0" w:after="0"/>
              <w:jc w:val="left"/>
              <w:rPr>
                <w:rFonts w:ascii="Times New Roman" w:hAnsi="Times New Roman"/>
                <w:color w:val="4DC1E4"/>
                <w:sz w:val="20"/>
              </w:rPr>
            </w:pPr>
            <w:r>
              <w:rPr>
                <w:rFonts w:ascii="Times New Roman" w:hAnsi="Times New Roman"/>
                <w:b/>
                <w:color w:val="4DC1E4"/>
                <w:sz w:val="20"/>
              </w:rPr>
              <w:t>PROPOSAL 3</w:t>
            </w:r>
            <w:r>
              <w:rPr>
                <w:rFonts w:ascii="Times New Roman" w:hAnsi="Times New Roman"/>
                <w:color w:val="4DC1E4"/>
                <w:sz w:val="20"/>
              </w:rPr>
              <w:t>: Ratification of Appointment of</w:t>
            </w:r>
          </w:p>
          <w:p>
            <w:pPr>
              <w:pStyle w:val="TableContents"/>
              <w:bidi w:val="0"/>
              <w:spacing w:before="0" w:after="0"/>
              <w:jc w:val="left"/>
              <w:rPr>
                <w:rFonts w:ascii="Times New Roman" w:hAnsi="Times New Roman"/>
                <w:color w:val="4DC1E4"/>
                <w:sz w:val="20"/>
              </w:rPr>
            </w:pPr>
            <w:r>
              <w:rPr>
                <w:rFonts w:ascii="Times New Roman" w:hAnsi="Times New Roman"/>
                <w:color w:val="4DC1E4"/>
                <w:sz w:val="20"/>
              </w:rPr>
              <w:t>PricewaterhouseCoopers LLP as our Independent Registered Public</w:t>
            </w:r>
          </w:p>
          <w:p>
            <w:pPr>
              <w:pStyle w:val="TableContents"/>
              <w:bidi w:val="0"/>
              <w:spacing w:before="0" w:after="20"/>
              <w:jc w:val="left"/>
              <w:rPr>
                <w:rFonts w:ascii="Times New Roman" w:hAnsi="Times New Roman"/>
                <w:color w:val="4DC1E4"/>
                <w:sz w:val="20"/>
              </w:rPr>
            </w:pPr>
            <w:r>
              <w:rPr>
                <w:rFonts w:ascii="Times New Roman" w:hAnsi="Times New Roman"/>
                <w:color w:val="4DC1E4"/>
                <w:sz w:val="20"/>
              </w:rPr>
              <w:t>Accounting Firm for the 2024 Fiscal Year</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2" w:space="0" w:color="000000"/>
            </w:tcBorders>
            <w:tcMar>
              <w:bottom w:w="100" w:type="dxa"/>
            </w:tcMar>
          </w:tcPr>
          <w:p>
            <w:pPr>
              <w:pStyle w:val="TableContents"/>
              <w:bidi w:val="0"/>
              <w:spacing w:before="0" w:after="283"/>
              <w:jc w:val="left"/>
              <w:rPr/>
            </w:pPr>
            <w:r>
              <w:rPr/>
              <w:t>Page 38</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100" w:type="dxa"/>
              <w:right w:w="28" w:type="dxa"/>
            </w:tcMar>
          </w:tcPr>
          <w:p>
            <w:pPr>
              <w:pStyle w:val="TableContents"/>
              <w:bidi w:val="0"/>
              <w:spacing w:before="0" w:after="283"/>
              <w:jc w:val="left"/>
              <w:rPr>
                <w:color w:val="538135"/>
              </w:rPr>
            </w:pPr>
            <w:r>
              <w:rPr>
                <w:color w:val="538135"/>
              </w:rPr>
              <w:t xml:space="preserve">✓ </w:t>
            </w:r>
            <w:r>
              <w:rPr>
                <w:b/>
                <w:color w:val="538135"/>
              </w:rPr>
              <w:t>FOR</w:t>
            </w:r>
          </w:p>
        </w:tc>
      </w:tr>
      <w:tr>
        <w:trPr>
          <w:trHeight w:val="75" w:hRule="atLeast"/>
        </w:trPr>
        <w:tc>
          <w:tcPr>
            <w:tcW w:w="5973" w:type="dxa"/>
            <w:tcBorders>
              <w:left w:val="single" w:sz="2" w:space="0" w:color="000000"/>
            </w:tcBorders>
            <w:tcMar>
              <w:left w:w="160" w:type="dxa"/>
            </w:tcMar>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973" w:type="dxa"/>
            <w:tcBorders>
              <w:left w:val="single" w:sz="2" w:space="0" w:color="000000"/>
              <w:bottom w:val="single" w:sz="2" w:space="0" w:color="000000"/>
            </w:tcBorders>
            <w:tcMar>
              <w:left w:w="160" w:type="dxa"/>
              <w:bottom w:w="100" w:type="dxa"/>
            </w:tcMar>
          </w:tcPr>
          <w:p>
            <w:pPr>
              <w:pStyle w:val="TableContents"/>
              <w:bidi w:val="0"/>
              <w:spacing w:before="0" w:after="0"/>
              <w:jc w:val="left"/>
              <w:rPr>
                <w:rFonts w:ascii="Times New Roman" w:hAnsi="Times New Roman"/>
                <w:color w:val="4DC1E4"/>
                <w:sz w:val="20"/>
              </w:rPr>
            </w:pPr>
            <w:r>
              <w:rPr>
                <w:rFonts w:ascii="Times New Roman" w:hAnsi="Times New Roman"/>
                <w:b/>
                <w:color w:val="4DC1E4"/>
                <w:sz w:val="20"/>
              </w:rPr>
              <w:t>PROPOSAL 4</w:t>
            </w:r>
            <w:r>
              <w:rPr>
                <w:rFonts w:ascii="Times New Roman" w:hAnsi="Times New Roman"/>
                <w:color w:val="4DC1E4"/>
                <w:sz w:val="20"/>
              </w:rPr>
              <w:t>: Approval of an amendment to our Ninth Amended</w:t>
            </w:r>
          </w:p>
          <w:p>
            <w:pPr>
              <w:pStyle w:val="TableContents"/>
              <w:bidi w:val="0"/>
              <w:spacing w:before="0" w:after="0"/>
              <w:jc w:val="left"/>
              <w:rPr>
                <w:rFonts w:ascii="Times New Roman" w:hAnsi="Times New Roman"/>
                <w:color w:val="4DC1E4"/>
                <w:sz w:val="20"/>
              </w:rPr>
            </w:pPr>
            <w:r>
              <w:rPr>
                <w:rFonts w:ascii="Times New Roman" w:hAnsi="Times New Roman"/>
                <w:color w:val="4DC1E4"/>
                <w:sz w:val="20"/>
              </w:rPr>
              <w:t>and Restated Certificate of Incorporation, as amended, to reflect</w:t>
            </w:r>
          </w:p>
          <w:p>
            <w:pPr>
              <w:pStyle w:val="TableContents"/>
              <w:bidi w:val="0"/>
              <w:spacing w:before="0" w:after="20"/>
              <w:jc w:val="left"/>
              <w:rPr>
                <w:rFonts w:ascii="Times New Roman" w:hAnsi="Times New Roman"/>
                <w:color w:val="4DC1E4"/>
                <w:sz w:val="20"/>
              </w:rPr>
            </w:pPr>
            <w:r>
              <w:rPr>
                <w:rFonts w:ascii="Times New Roman" w:hAnsi="Times New Roman"/>
                <w:color w:val="4DC1E4"/>
                <w:sz w:val="20"/>
              </w:rPr>
              <w:t>Delaware law provisions regarding officer exculpation</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2" w:space="0" w:color="000000"/>
            </w:tcBorders>
            <w:tcMar>
              <w:bottom w:w="100" w:type="dxa"/>
            </w:tcMar>
          </w:tcPr>
          <w:p>
            <w:pPr>
              <w:pStyle w:val="TableContents"/>
              <w:bidi w:val="0"/>
              <w:spacing w:before="0" w:after="283"/>
              <w:jc w:val="left"/>
              <w:rPr/>
            </w:pPr>
            <w:r>
              <w:rPr/>
              <w:t>Page 39</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100" w:type="dxa"/>
              <w:right w:w="28" w:type="dxa"/>
            </w:tcMar>
          </w:tcPr>
          <w:p>
            <w:pPr>
              <w:pStyle w:val="TableContents"/>
              <w:bidi w:val="0"/>
              <w:spacing w:before="0" w:after="283"/>
              <w:jc w:val="left"/>
              <w:rPr>
                <w:color w:val="538135"/>
              </w:rPr>
            </w:pPr>
            <w:r>
              <w:rPr>
                <w:color w:val="538135"/>
              </w:rPr>
              <w:t xml:space="preserve">✓ </w:t>
            </w:r>
            <w:r>
              <w:rPr>
                <w:b/>
                <w:color w:val="538135"/>
              </w:rPr>
              <w:t>FOR</w:t>
            </w:r>
          </w:p>
        </w:tc>
      </w:tr>
      <w:tr>
        <w:trPr>
          <w:trHeight w:val="75" w:hRule="atLeast"/>
        </w:trPr>
        <w:tc>
          <w:tcPr>
            <w:tcW w:w="5973" w:type="dxa"/>
            <w:tcBorders>
              <w:left w:val="single" w:sz="2" w:space="0" w:color="000000"/>
            </w:tcBorders>
            <w:tcMar>
              <w:left w:w="160" w:type="dxa"/>
            </w:tcMar>
            <w:vAlign w:val="center"/>
          </w:tcPr>
          <w:p>
            <w:pPr>
              <w:pStyle w:val="TableContents"/>
              <w:bidi w:val="0"/>
              <w:spacing w:before="0" w:after="283"/>
              <w:jc w:val="left"/>
              <w:rPr/>
            </w:pPr>
            <w:r>
              <w:rPr/>
              <w:t> </w:t>
            </w:r>
          </w:p>
        </w:tc>
        <w:tc>
          <w:tcPr>
            <w:tcW w:w="1328" w:type="dxa"/>
            <w:gridSpan w:val="2"/>
            <w:tcBorders/>
            <w:vAlign w:val="center"/>
          </w:tcPr>
          <w:p>
            <w:pPr>
              <w:pStyle w:val="TableContents"/>
              <w:bidi w:val="0"/>
              <w:spacing w:before="0" w:after="283"/>
              <w:jc w:val="left"/>
              <w:rPr>
                <w:sz w:val="4"/>
                <w:szCs w:val="4"/>
              </w:rPr>
            </w:pPr>
            <w:r>
              <w:rPr>
                <w:sz w:val="4"/>
                <w:szCs w:val="4"/>
              </w:rPr>
            </w:r>
          </w:p>
        </w:tc>
        <w:tc>
          <w:tcPr>
            <w:tcW w:w="2495"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973" w:type="dxa"/>
            <w:tcBorders>
              <w:left w:val="single" w:sz="2" w:space="0" w:color="000000"/>
              <w:bottom w:val="single" w:sz="2" w:space="0" w:color="000000"/>
            </w:tcBorders>
            <w:tcMar>
              <w:left w:w="160" w:type="dxa"/>
              <w:bottom w:w="100" w:type="dxa"/>
            </w:tcMar>
          </w:tcPr>
          <w:p>
            <w:pPr>
              <w:pStyle w:val="TableContents"/>
              <w:bidi w:val="0"/>
              <w:spacing w:before="0" w:after="0"/>
              <w:jc w:val="left"/>
              <w:rPr>
                <w:rFonts w:ascii="Times New Roman" w:hAnsi="Times New Roman"/>
                <w:color w:val="4DC1E4"/>
                <w:sz w:val="20"/>
              </w:rPr>
            </w:pPr>
            <w:r>
              <w:rPr>
                <w:rFonts w:ascii="Times New Roman" w:hAnsi="Times New Roman"/>
                <w:b/>
                <w:color w:val="4DC1E4"/>
                <w:sz w:val="20"/>
              </w:rPr>
              <w:t>PROPOSAL 5</w:t>
            </w:r>
            <w:r>
              <w:rPr>
                <w:rFonts w:ascii="Times New Roman" w:hAnsi="Times New Roman"/>
                <w:color w:val="4DC1E4"/>
                <w:sz w:val="20"/>
              </w:rPr>
              <w:t>: Approval of an adjournment of the Annual Meeting</w:t>
            </w:r>
          </w:p>
          <w:p>
            <w:pPr>
              <w:pStyle w:val="TableContents"/>
              <w:bidi w:val="0"/>
              <w:spacing w:before="0" w:after="0"/>
              <w:jc w:val="left"/>
              <w:rPr>
                <w:rFonts w:ascii="Times New Roman" w:hAnsi="Times New Roman"/>
                <w:color w:val="4DC1E4"/>
                <w:sz w:val="20"/>
              </w:rPr>
            </w:pPr>
            <w:r>
              <w:rPr>
                <w:rFonts w:ascii="Times New Roman" w:hAnsi="Times New Roman"/>
                <w:color w:val="4DC1E4"/>
                <w:sz w:val="20"/>
              </w:rPr>
              <w:t>to the extent there are insufficient votes at the Annual Meeting to</w:t>
            </w:r>
          </w:p>
          <w:p>
            <w:pPr>
              <w:pStyle w:val="TableContents"/>
              <w:bidi w:val="0"/>
              <w:spacing w:before="0" w:after="20"/>
              <w:jc w:val="left"/>
              <w:rPr>
                <w:rFonts w:ascii="Times New Roman" w:hAnsi="Times New Roman"/>
                <w:color w:val="4DC1E4"/>
                <w:sz w:val="20"/>
              </w:rPr>
            </w:pPr>
            <w:r>
              <w:rPr>
                <w:rFonts w:ascii="Times New Roman" w:hAnsi="Times New Roman"/>
                <w:color w:val="4DC1E4"/>
                <w:sz w:val="20"/>
              </w:rPr>
              <w:t>approve Proposal 4</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1003" w:type="dxa"/>
            <w:tcBorders>
              <w:bottom w:val="single" w:sz="2" w:space="0" w:color="000000"/>
            </w:tcBorders>
            <w:tcMar>
              <w:bottom w:w="100" w:type="dxa"/>
            </w:tcMar>
          </w:tcPr>
          <w:p>
            <w:pPr>
              <w:pStyle w:val="TableContents"/>
              <w:bidi w:val="0"/>
              <w:spacing w:before="0" w:after="283"/>
              <w:jc w:val="left"/>
              <w:rPr/>
            </w:pPr>
            <w:r>
              <w:rPr/>
              <w:t>Page 41</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2372" w:type="dxa"/>
            <w:tcBorders>
              <w:bottom w:val="single" w:sz="2" w:space="0" w:color="000000"/>
              <w:right w:val="single" w:sz="2" w:space="0" w:color="000000"/>
            </w:tcBorders>
            <w:tcMar>
              <w:bottom w:w="100" w:type="dxa"/>
              <w:right w:w="28" w:type="dxa"/>
            </w:tcMar>
          </w:tcPr>
          <w:p>
            <w:pPr>
              <w:pStyle w:val="TableContents"/>
              <w:bidi w:val="0"/>
              <w:spacing w:before="0" w:after="283"/>
              <w:jc w:val="left"/>
              <w:rPr>
                <w:color w:val="538135"/>
              </w:rPr>
            </w:pPr>
            <w:r>
              <w:rPr>
                <w:color w:val="538135"/>
              </w:rPr>
              <w:t xml:space="preserve">✓ </w:t>
            </w:r>
            <w:r>
              <w:rPr>
                <w:b/>
                <w:color w:val="538135"/>
              </w:rPr>
              <w:t>FOR</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Our Director Nominees </w:t>
      </w:r>
    </w:p>
    <w:p>
      <w:pPr>
        <w:pStyle w:val="TextBody"/>
        <w:bidi w:val="0"/>
        <w:spacing w:before="160" w:after="0"/>
        <w:jc w:val="both"/>
        <w:rPr>
          <w:rFonts w:ascii="Times New Roman" w:hAnsi="Times New Roman"/>
          <w:sz w:val="20"/>
        </w:rPr>
      </w:pPr>
      <w:r>
        <w:rPr>
          <w:rFonts w:ascii="Times New Roman" w:hAnsi="Times New Roman"/>
          <w:sz w:val="20"/>
        </w:rPr>
        <w:t xml:space="preserve">You are being asked to vote on the election of Jonathan Leff and Jeffrey W. Sherman, M.D., FACP as Class I directors, each to serve for a three-year term expiring at our 2027 Annual Meeting of Stockholders. The number of members of our Board of Directors (the Board) is currently set at six members and is divided into three classes, each of which has a three-year term. Class I consists of two directors, Class II consists of one director and Class III consists of three directors. </w:t>
      </w:r>
    </w:p>
    <w:p>
      <w:pPr>
        <w:pStyle w:val="TextBody"/>
        <w:bidi w:val="0"/>
        <w:spacing w:before="200" w:after="0"/>
        <w:jc w:val="both"/>
        <w:rPr>
          <w:rFonts w:ascii="Times New Roman" w:hAnsi="Times New Roman"/>
          <w:sz w:val="20"/>
        </w:rPr>
      </w:pPr>
      <w:r>
        <w:rPr>
          <w:rFonts w:ascii="Times New Roman" w:hAnsi="Times New Roman"/>
          <w:sz w:val="20"/>
        </w:rPr>
        <w:t xml:space="preserve">The term of office of our Class I directors expires at the Annual Meeting. We are nominating Jonathan Leff and Jeffrey W. Sherman, M.D., FACP for re-election at the Annual Meeting to serve until the 2027 Annual Meeting of Stockholders and until their successors, if any, are duly elected and qualified or appointed, or until their earlier death, resignation or removal. Directors are elected by a plurality of the votes cast by our stockholders at the Annual Meeting. The two nominees receiving the highest number of FOR votes (among votes properly cast online during the Annual Meeting or by proxy) will be elected. If no contrary indication is made, shares represented by executed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SUMMARY INFORMATION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proxies will be voted FOR the election of Mr. Leff and Dr. Sherman. Each nominee has agreed to serve as a director if elected, and we have no reason to believe that any nominee will be unable to 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57"/>
        <w:gridCol w:w="133"/>
        <w:gridCol w:w="396"/>
        <w:gridCol w:w="133"/>
        <w:gridCol w:w="815"/>
        <w:gridCol w:w="133"/>
        <w:gridCol w:w="2358"/>
        <w:gridCol w:w="133"/>
        <w:gridCol w:w="1413"/>
        <w:gridCol w:w="133"/>
        <w:gridCol w:w="620"/>
        <w:gridCol w:w="133"/>
        <w:gridCol w:w="620"/>
        <w:gridCol w:w="133"/>
        <w:gridCol w:w="795"/>
      </w:tblGrid>
      <w:tr>
        <w:trPr/>
        <w:tc>
          <w:tcPr>
            <w:tcW w:w="225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2257" w:type="dxa"/>
            <w:tcBorders>
              <w:top w:val="single" w:sz="2" w:space="0" w:color="000000"/>
              <w:left w:val="single" w:sz="2" w:space="0" w:color="000000"/>
            </w:tcBorders>
            <w:shd w:fill="4DC1E4" w:val="clear"/>
            <w:tcMar>
              <w:top w:w="28" w:type="dxa"/>
              <w:left w:w="160" w:type="dxa"/>
            </w:tcMar>
            <w:vAlign w:val="center"/>
          </w:tcPr>
          <w:p>
            <w:pPr>
              <w:pStyle w:val="TableContents"/>
              <w:bidi w:val="0"/>
              <w:spacing w:before="0" w:after="283"/>
              <w:jc w:val="left"/>
              <w:rPr/>
            </w:pPr>
            <w:r>
              <w:rPr/>
              <w:t> </w:t>
            </w:r>
          </w:p>
        </w:tc>
        <w:tc>
          <w:tcPr>
            <w:tcW w:w="529"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948"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2491"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1546"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2434" w:type="dxa"/>
            <w:gridSpan w:val="6"/>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2257" w:type="dxa"/>
            <w:tcBorders>
              <w:left w:val="single" w:sz="2" w:space="0" w:color="000000"/>
            </w:tcBorders>
            <w:shd w:fill="4DC1E4" w:val="clear"/>
            <w:tcMar>
              <w:left w:w="160" w:type="dxa"/>
            </w:tcMar>
            <w:vAlign w:val="bottom"/>
          </w:tcPr>
          <w:p>
            <w:pPr>
              <w:pStyle w:val="TableContents"/>
              <w:bidi w:val="0"/>
              <w:spacing w:before="0" w:after="283"/>
              <w:jc w:val="left"/>
              <w:rPr/>
            </w:pPr>
            <w:r>
              <w:rPr/>
              <w:t>  </w:t>
            </w:r>
          </w:p>
        </w:tc>
        <w:tc>
          <w:tcPr>
            <w:tcW w:w="133" w:type="dxa"/>
            <w:tcBorders/>
            <w:shd w:fill="4DC1E4" w:val="clear"/>
            <w:vAlign w:val="bottom"/>
          </w:tcPr>
          <w:p>
            <w:pPr>
              <w:pStyle w:val="TableContents"/>
              <w:bidi w:val="0"/>
              <w:spacing w:before="0" w:after="283"/>
              <w:jc w:val="left"/>
              <w:rPr/>
            </w:pPr>
            <w:r>
              <w:rPr/>
              <w:t> </w:t>
            </w:r>
          </w:p>
        </w:tc>
        <w:tc>
          <w:tcPr>
            <w:tcW w:w="396" w:type="dxa"/>
            <w:tcBorders/>
            <w:shd w:fill="4DC1E4" w:val="clear"/>
            <w:vAlign w:val="bottom"/>
          </w:tcPr>
          <w:p>
            <w:pPr>
              <w:pStyle w:val="TableContents"/>
              <w:bidi w:val="0"/>
              <w:spacing w:before="0" w:after="283"/>
              <w:jc w:val="left"/>
              <w:rPr/>
            </w:pPr>
            <w:r>
              <w:rPr/>
              <w:t> </w:t>
            </w:r>
          </w:p>
        </w:tc>
        <w:tc>
          <w:tcPr>
            <w:tcW w:w="133" w:type="dxa"/>
            <w:tcBorders/>
            <w:shd w:fill="4DC1E4" w:val="clear"/>
            <w:vAlign w:val="bottom"/>
          </w:tcPr>
          <w:p>
            <w:pPr>
              <w:pStyle w:val="TableContents"/>
              <w:bidi w:val="0"/>
              <w:spacing w:before="0" w:after="283"/>
              <w:jc w:val="left"/>
              <w:rPr/>
            </w:pPr>
            <w:r>
              <w:rPr/>
              <w:t> </w:t>
            </w:r>
          </w:p>
        </w:tc>
        <w:tc>
          <w:tcPr>
            <w:tcW w:w="815" w:type="dxa"/>
            <w:tcBorders/>
            <w:shd w:fill="4DC1E4" w:val="clear"/>
            <w:vAlign w:val="bottom"/>
          </w:tcPr>
          <w:p>
            <w:pPr>
              <w:pStyle w:val="TableContents"/>
              <w:bidi w:val="0"/>
              <w:spacing w:before="0" w:after="283"/>
              <w:jc w:val="left"/>
              <w:rPr/>
            </w:pPr>
            <w:r>
              <w:rPr/>
              <w:t> </w:t>
            </w:r>
          </w:p>
        </w:tc>
        <w:tc>
          <w:tcPr>
            <w:tcW w:w="133" w:type="dxa"/>
            <w:tcBorders/>
            <w:shd w:fill="4DC1E4" w:val="clear"/>
            <w:vAlign w:val="bottom"/>
          </w:tcPr>
          <w:p>
            <w:pPr>
              <w:pStyle w:val="TableContents"/>
              <w:bidi w:val="0"/>
              <w:spacing w:before="0" w:after="283"/>
              <w:jc w:val="left"/>
              <w:rPr/>
            </w:pPr>
            <w:r>
              <w:rPr/>
              <w:t> </w:t>
            </w:r>
          </w:p>
        </w:tc>
        <w:tc>
          <w:tcPr>
            <w:tcW w:w="2358" w:type="dxa"/>
            <w:tcBorders/>
            <w:shd w:fill="4DC1E4" w:val="clear"/>
            <w:vAlign w:val="bottom"/>
          </w:tcPr>
          <w:p>
            <w:pPr>
              <w:pStyle w:val="TableContents"/>
              <w:bidi w:val="0"/>
              <w:spacing w:before="0" w:after="283"/>
              <w:jc w:val="left"/>
              <w:rPr/>
            </w:pPr>
            <w:r>
              <w:rPr/>
              <w:t> </w:t>
            </w:r>
          </w:p>
        </w:tc>
        <w:tc>
          <w:tcPr>
            <w:tcW w:w="133" w:type="dxa"/>
            <w:tcBorders/>
            <w:shd w:fill="4DC1E4" w:val="clear"/>
            <w:vAlign w:val="bottom"/>
          </w:tcPr>
          <w:p>
            <w:pPr>
              <w:pStyle w:val="TableContents"/>
              <w:bidi w:val="0"/>
              <w:spacing w:before="0" w:after="283"/>
              <w:jc w:val="left"/>
              <w:rPr/>
            </w:pPr>
            <w:r>
              <w:rPr/>
              <w:t> </w:t>
            </w:r>
          </w:p>
        </w:tc>
        <w:tc>
          <w:tcPr>
            <w:tcW w:w="1413" w:type="dxa"/>
            <w:tcBorders/>
            <w:shd w:fill="4DC1E4" w:val="clear"/>
            <w:vAlign w:val="bottom"/>
          </w:tcPr>
          <w:p>
            <w:pPr>
              <w:pStyle w:val="TableContents"/>
              <w:bidi w:val="0"/>
              <w:spacing w:before="0" w:after="283"/>
              <w:jc w:val="left"/>
              <w:rPr/>
            </w:pPr>
            <w:r>
              <w:rPr/>
              <w:t> </w:t>
            </w:r>
          </w:p>
        </w:tc>
        <w:tc>
          <w:tcPr>
            <w:tcW w:w="133" w:type="dxa"/>
            <w:tcBorders/>
            <w:shd w:fill="4DC1E4" w:val="clear"/>
            <w:vAlign w:val="bottom"/>
          </w:tcPr>
          <w:p>
            <w:pPr>
              <w:pStyle w:val="TableContents"/>
              <w:bidi w:val="0"/>
              <w:spacing w:before="0" w:after="283"/>
              <w:jc w:val="left"/>
              <w:rPr/>
            </w:pPr>
            <w:r>
              <w:rPr/>
              <w:t> </w:t>
            </w:r>
          </w:p>
        </w:tc>
        <w:tc>
          <w:tcPr>
            <w:tcW w:w="2301" w:type="dxa"/>
            <w:gridSpan w:val="5"/>
            <w:tcBorders>
              <w:right w:val="single" w:sz="2" w:space="0" w:color="000000"/>
            </w:tcBorders>
            <w:shd w:fill="4DC1E4" w:val="clear"/>
            <w:tcMar>
              <w:right w:w="40" w:type="dxa"/>
            </w:tcMar>
            <w:vAlign w:val="bottom"/>
          </w:tcPr>
          <w:p>
            <w:pPr>
              <w:pStyle w:val="TableContents"/>
              <w:bidi w:val="0"/>
              <w:spacing w:before="0" w:after="283"/>
              <w:jc w:val="center"/>
              <w:rPr>
                <w:b/>
                <w:color w:val="FFFFFF"/>
              </w:rPr>
            </w:pPr>
            <w:r>
              <w:rPr>
                <w:b/>
                <w:color w:val="FFFFFF"/>
              </w:rPr>
              <w:t>C</w:t>
            </w:r>
            <w:r>
              <w:rPr>
                <w:b/>
                <w:color w:val="FFFFFF"/>
                <w:sz w:val="14"/>
              </w:rPr>
              <w:t>OMMITTEE</w:t>
            </w:r>
            <w:r>
              <w:rPr>
                <w:b/>
                <w:color w:val="FFFFFF"/>
              </w:rPr>
              <w:t>  M</w:t>
            </w:r>
            <w:r>
              <w:rPr>
                <w:b/>
                <w:color w:val="FFFFFF"/>
                <w:sz w:val="14"/>
              </w:rPr>
              <w:t>EMBERSHIPS </w:t>
            </w:r>
          </w:p>
        </w:tc>
      </w:tr>
      <w:tr>
        <w:trPr>
          <w:trHeight w:val="75" w:hRule="atLeast"/>
        </w:trPr>
        <w:tc>
          <w:tcPr>
            <w:tcW w:w="2257" w:type="dxa"/>
            <w:tcBorders>
              <w:top w:val="single" w:sz="2" w:space="0" w:color="000000"/>
              <w:left w:val="single" w:sz="2" w:space="0" w:color="000000"/>
            </w:tcBorders>
            <w:shd w:fill="4DC1E4" w:val="clear"/>
            <w:tcMar>
              <w:top w:w="28" w:type="dxa"/>
              <w:left w:w="160" w:type="dxa"/>
            </w:tcMar>
            <w:vAlign w:val="center"/>
          </w:tcPr>
          <w:p>
            <w:pPr>
              <w:pStyle w:val="TableContents"/>
              <w:bidi w:val="0"/>
              <w:spacing w:before="0" w:after="283"/>
              <w:jc w:val="left"/>
              <w:rPr/>
            </w:pPr>
            <w:r>
              <w:rPr/>
              <w:t> </w:t>
            </w:r>
          </w:p>
        </w:tc>
        <w:tc>
          <w:tcPr>
            <w:tcW w:w="529"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948"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2491"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1546"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753"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753"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928"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2257" w:type="dxa"/>
            <w:tcBorders>
              <w:left w:val="single" w:sz="2" w:space="0" w:color="000000"/>
            </w:tcBorders>
            <w:shd w:fill="4DC1E4" w:val="clear"/>
            <w:tcMar>
              <w:left w:w="160" w:type="dxa"/>
            </w:tcMar>
            <w:vAlign w:val="bottom"/>
          </w:tcPr>
          <w:p>
            <w:pPr>
              <w:pStyle w:val="TableContents"/>
              <w:bidi w:val="0"/>
              <w:spacing w:before="0" w:after="283"/>
              <w:jc w:val="center"/>
              <w:rPr>
                <w:b/>
                <w:color w:val="FFFFFF"/>
              </w:rPr>
            </w:pPr>
            <w:r>
              <w:rPr>
                <w:b/>
                <w:color w:val="FFFFFF"/>
              </w:rPr>
              <w:t>N</w:t>
            </w:r>
            <w:r>
              <w:rPr>
                <w:b/>
                <w:color w:val="FFFFFF"/>
                <w:sz w:val="14"/>
              </w:rPr>
              <w:t>AME</w:t>
            </w:r>
          </w:p>
        </w:tc>
        <w:tc>
          <w:tcPr>
            <w:tcW w:w="133" w:type="dxa"/>
            <w:tcBorders/>
            <w:shd w:fill="4DC1E4" w:val="clear"/>
            <w:vAlign w:val="bottom"/>
          </w:tcPr>
          <w:p>
            <w:pPr>
              <w:pStyle w:val="TableContents"/>
              <w:bidi w:val="0"/>
              <w:spacing w:before="0" w:after="283"/>
              <w:jc w:val="left"/>
              <w:rPr/>
            </w:pPr>
            <w:r>
              <w:rPr/>
              <w:t> </w:t>
            </w:r>
          </w:p>
        </w:tc>
        <w:tc>
          <w:tcPr>
            <w:tcW w:w="396" w:type="dxa"/>
            <w:tcBorders/>
            <w:shd w:fill="4DC1E4" w:val="clear"/>
            <w:vAlign w:val="bottom"/>
          </w:tcPr>
          <w:p>
            <w:pPr>
              <w:pStyle w:val="TableContents"/>
              <w:bidi w:val="0"/>
              <w:spacing w:before="0" w:after="283"/>
              <w:jc w:val="center"/>
              <w:rPr>
                <w:color w:val="FFFFFF"/>
              </w:rPr>
            </w:pPr>
            <w:r>
              <w:rPr>
                <w:color w:val="FFFFFF"/>
              </w:rPr>
              <w:t> </w:t>
            </w:r>
            <w:r>
              <w:rPr>
                <w:b/>
                <w:color w:val="FFFFFF"/>
              </w:rPr>
              <w:t>A</w:t>
            </w:r>
            <w:r>
              <w:rPr>
                <w:b/>
                <w:color w:val="FFFFFF"/>
                <w:sz w:val="14"/>
              </w:rPr>
              <w:t>GE </w:t>
            </w:r>
          </w:p>
        </w:tc>
        <w:tc>
          <w:tcPr>
            <w:tcW w:w="133" w:type="dxa"/>
            <w:tcBorders/>
            <w:shd w:fill="4DC1E4" w:val="clear"/>
            <w:vAlign w:val="bottom"/>
          </w:tcPr>
          <w:p>
            <w:pPr>
              <w:pStyle w:val="TableContents"/>
              <w:bidi w:val="0"/>
              <w:spacing w:before="0" w:after="283"/>
              <w:jc w:val="left"/>
              <w:rPr/>
            </w:pPr>
            <w:r>
              <w:rPr/>
              <w:t> </w:t>
            </w:r>
          </w:p>
        </w:tc>
        <w:tc>
          <w:tcPr>
            <w:tcW w:w="815" w:type="dxa"/>
            <w:tcBorders/>
            <w:shd w:fill="4DC1E4" w:val="clear"/>
            <w:vAlign w:val="bottom"/>
          </w:tcPr>
          <w:p>
            <w:pPr>
              <w:pStyle w:val="TableContents"/>
              <w:bidi w:val="0"/>
              <w:spacing w:before="0" w:after="283"/>
              <w:jc w:val="center"/>
              <w:rPr>
                <w:b/>
                <w:color w:val="FFFFFF"/>
              </w:rPr>
            </w:pPr>
            <w:r>
              <w:rPr>
                <w:b/>
                <w:color w:val="FFFFFF"/>
              </w:rPr>
              <w:t>D</w:t>
            </w:r>
            <w:r>
              <w:rPr>
                <w:b/>
                <w:color w:val="FFFFFF"/>
                <w:sz w:val="14"/>
              </w:rPr>
              <w:t>IRECTOR</w:t>
            </w:r>
            <w:r>
              <w:rPr>
                <w:b/>
                <w:color w:val="FFFFFF"/>
              </w:rPr>
              <w:br/>
              <w:t>S</w:t>
            </w:r>
            <w:r>
              <w:rPr>
                <w:b/>
                <w:color w:val="FFFFFF"/>
                <w:sz w:val="14"/>
              </w:rPr>
              <w:t>INCE</w:t>
            </w:r>
          </w:p>
        </w:tc>
        <w:tc>
          <w:tcPr>
            <w:tcW w:w="133" w:type="dxa"/>
            <w:tcBorders/>
            <w:shd w:fill="4DC1E4" w:val="clear"/>
            <w:vAlign w:val="bottom"/>
          </w:tcPr>
          <w:p>
            <w:pPr>
              <w:pStyle w:val="TableContents"/>
              <w:bidi w:val="0"/>
              <w:spacing w:before="0" w:after="283"/>
              <w:jc w:val="left"/>
              <w:rPr/>
            </w:pPr>
            <w:r>
              <w:rPr/>
              <w:t> </w:t>
            </w:r>
          </w:p>
        </w:tc>
        <w:tc>
          <w:tcPr>
            <w:tcW w:w="2358" w:type="dxa"/>
            <w:tcBorders/>
            <w:shd w:fill="4DC1E4" w:val="clear"/>
            <w:vAlign w:val="bottom"/>
          </w:tcPr>
          <w:p>
            <w:pPr>
              <w:pStyle w:val="TableContents"/>
              <w:bidi w:val="0"/>
              <w:spacing w:before="0" w:after="283"/>
              <w:jc w:val="center"/>
              <w:rPr>
                <w:b/>
                <w:color w:val="FFFFFF"/>
              </w:rPr>
            </w:pPr>
            <w:r>
              <w:rPr>
                <w:b/>
                <w:color w:val="FFFFFF"/>
              </w:rPr>
              <w:t>O</w:t>
            </w:r>
            <w:r>
              <w:rPr>
                <w:b/>
                <w:color w:val="FFFFFF"/>
                <w:sz w:val="14"/>
              </w:rPr>
              <w:t>CCUPATION</w:t>
            </w:r>
          </w:p>
        </w:tc>
        <w:tc>
          <w:tcPr>
            <w:tcW w:w="133" w:type="dxa"/>
            <w:tcBorders/>
            <w:shd w:fill="4DC1E4" w:val="clear"/>
            <w:vAlign w:val="bottom"/>
          </w:tcPr>
          <w:p>
            <w:pPr>
              <w:pStyle w:val="TableContents"/>
              <w:bidi w:val="0"/>
              <w:spacing w:before="0" w:after="283"/>
              <w:jc w:val="left"/>
              <w:rPr/>
            </w:pPr>
            <w:r>
              <w:rPr/>
              <w:t> </w:t>
            </w:r>
          </w:p>
        </w:tc>
        <w:tc>
          <w:tcPr>
            <w:tcW w:w="1413" w:type="dxa"/>
            <w:tcBorders/>
            <w:shd w:fill="4DC1E4" w:val="clear"/>
            <w:vAlign w:val="bottom"/>
          </w:tcPr>
          <w:p>
            <w:pPr>
              <w:pStyle w:val="TableContents"/>
              <w:bidi w:val="0"/>
              <w:spacing w:before="0" w:after="283"/>
              <w:jc w:val="center"/>
              <w:rPr>
                <w:b/>
                <w:color w:val="FFFFFF"/>
              </w:rPr>
            </w:pPr>
            <w:r>
              <w:rPr>
                <w:b/>
                <w:color w:val="FFFFFF"/>
              </w:rPr>
              <w:t>I</w:t>
            </w:r>
            <w:r>
              <w:rPr>
                <w:b/>
                <w:color w:val="FFFFFF"/>
                <w:sz w:val="14"/>
              </w:rPr>
              <w:t>NDEPENDENT</w:t>
            </w:r>
          </w:p>
        </w:tc>
        <w:tc>
          <w:tcPr>
            <w:tcW w:w="133" w:type="dxa"/>
            <w:tcBorders/>
            <w:shd w:fill="4DC1E4" w:val="clear"/>
            <w:vAlign w:val="bottom"/>
          </w:tcPr>
          <w:p>
            <w:pPr>
              <w:pStyle w:val="TableContents"/>
              <w:bidi w:val="0"/>
              <w:spacing w:before="0" w:after="283"/>
              <w:jc w:val="left"/>
              <w:rPr/>
            </w:pPr>
            <w:r>
              <w:rPr/>
              <w:t> </w:t>
            </w:r>
          </w:p>
        </w:tc>
        <w:tc>
          <w:tcPr>
            <w:tcW w:w="620" w:type="dxa"/>
            <w:tcBorders/>
            <w:shd w:fill="4DC1E4" w:val="clear"/>
            <w:vAlign w:val="bottom"/>
          </w:tcPr>
          <w:p>
            <w:pPr>
              <w:pStyle w:val="TableContents"/>
              <w:bidi w:val="0"/>
              <w:spacing w:before="0" w:after="283"/>
              <w:jc w:val="center"/>
              <w:rPr>
                <w:color w:val="FFFFFF"/>
              </w:rPr>
            </w:pPr>
            <w:r>
              <w:rPr>
                <w:color w:val="FFFFFF"/>
              </w:rPr>
              <w:t> </w:t>
            </w:r>
            <w:r>
              <w:rPr>
                <w:b/>
                <w:color w:val="FFFFFF"/>
              </w:rPr>
              <w:t>AC </w:t>
            </w:r>
          </w:p>
        </w:tc>
        <w:tc>
          <w:tcPr>
            <w:tcW w:w="133" w:type="dxa"/>
            <w:tcBorders/>
            <w:shd w:fill="4DC1E4" w:val="clear"/>
            <w:vAlign w:val="bottom"/>
          </w:tcPr>
          <w:p>
            <w:pPr>
              <w:pStyle w:val="TableContents"/>
              <w:bidi w:val="0"/>
              <w:spacing w:before="0" w:after="283"/>
              <w:jc w:val="left"/>
              <w:rPr/>
            </w:pPr>
            <w:r>
              <w:rPr/>
              <w:t> </w:t>
            </w:r>
          </w:p>
        </w:tc>
        <w:tc>
          <w:tcPr>
            <w:tcW w:w="620" w:type="dxa"/>
            <w:tcBorders/>
            <w:shd w:fill="4DC1E4" w:val="clear"/>
            <w:vAlign w:val="bottom"/>
          </w:tcPr>
          <w:p>
            <w:pPr>
              <w:pStyle w:val="TableContents"/>
              <w:bidi w:val="0"/>
              <w:spacing w:before="0" w:after="283"/>
              <w:jc w:val="center"/>
              <w:rPr>
                <w:color w:val="FFFFFF"/>
              </w:rPr>
            </w:pPr>
            <w:r>
              <w:rPr>
                <w:color w:val="FFFFFF"/>
              </w:rPr>
              <w:t> </w:t>
            </w:r>
            <w:r>
              <w:rPr>
                <w:b/>
                <w:color w:val="FFFFFF"/>
              </w:rPr>
              <w:t>CC </w:t>
            </w:r>
          </w:p>
        </w:tc>
        <w:tc>
          <w:tcPr>
            <w:tcW w:w="133" w:type="dxa"/>
            <w:tcBorders/>
            <w:shd w:fill="4DC1E4" w:val="clear"/>
            <w:vAlign w:val="bottom"/>
          </w:tcPr>
          <w:p>
            <w:pPr>
              <w:pStyle w:val="TableContents"/>
              <w:bidi w:val="0"/>
              <w:spacing w:before="0" w:after="283"/>
              <w:jc w:val="left"/>
              <w:rPr/>
            </w:pPr>
            <w:r>
              <w:rPr/>
              <w:t> </w:t>
            </w:r>
          </w:p>
        </w:tc>
        <w:tc>
          <w:tcPr>
            <w:tcW w:w="795" w:type="dxa"/>
            <w:tcBorders>
              <w:right w:val="single" w:sz="2" w:space="0" w:color="000000"/>
            </w:tcBorders>
            <w:shd w:fill="4DC1E4" w:val="clear"/>
            <w:tcMar>
              <w:right w:w="40" w:type="dxa"/>
            </w:tcMar>
            <w:vAlign w:val="bottom"/>
          </w:tcPr>
          <w:p>
            <w:pPr>
              <w:pStyle w:val="TableContents"/>
              <w:bidi w:val="0"/>
              <w:spacing w:before="0" w:after="283"/>
              <w:jc w:val="center"/>
              <w:rPr>
                <w:color w:val="FFFFFF"/>
              </w:rPr>
            </w:pPr>
            <w:r>
              <w:rPr>
                <w:color w:val="FFFFFF"/>
              </w:rPr>
              <w:t> </w:t>
            </w:r>
            <w:r>
              <w:rPr>
                <w:b/>
                <w:color w:val="FFFFFF"/>
              </w:rPr>
              <w:t>NCGC </w:t>
            </w:r>
          </w:p>
        </w:tc>
      </w:tr>
      <w:tr>
        <w:trPr/>
        <w:tc>
          <w:tcPr>
            <w:tcW w:w="2257"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0"/>
              <w:jc w:val="left"/>
              <w:rPr>
                <w:rFonts w:ascii="Times New Roman" w:hAnsi="Times New Roman"/>
                <w:b/>
                <w:sz w:val="20"/>
              </w:rPr>
            </w:pPr>
            <w:r>
              <w:rPr>
                <w:rFonts w:ascii="Times New Roman" w:hAnsi="Times New Roman"/>
                <w:b/>
                <w:sz w:val="20"/>
              </w:rPr>
              <w:t>Jonathan Leff</w:t>
            </w:r>
          </w:p>
        </w:tc>
        <w:tc>
          <w:tcPr>
            <w:tcW w:w="1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396"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55</w:t>
            </w:r>
          </w:p>
        </w:tc>
        <w:tc>
          <w:tcPr>
            <w:tcW w:w="1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815"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2020</w:t>
            </w:r>
          </w:p>
        </w:tc>
        <w:tc>
          <w:tcPr>
            <w:tcW w:w="1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35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Partner at Deerfield Management Company, L.P. and Chairman of the Deerfield Institute</w:t>
            </w:r>
          </w:p>
        </w:tc>
        <w:tc>
          <w:tcPr>
            <w:tcW w:w="1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413"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Yes</w:t>
            </w:r>
          </w:p>
        </w:tc>
        <w:tc>
          <w:tcPr>
            <w:tcW w:w="1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20" w:type="dxa"/>
            <w:tcBorders>
              <w:top w:val="single" w:sz="2" w:space="0" w:color="000000"/>
              <w:bottom w:val="single" w:sz="2" w:space="0" w:color="000000"/>
            </w:tcBorders>
            <w:tcMar>
              <w:top w:w="28" w:type="dxa"/>
              <w:bottom w:w="28" w:type="dxa"/>
            </w:tcMar>
          </w:tcPr>
          <w:p>
            <w:pPr>
              <w:pStyle w:val="TableContents"/>
              <w:bidi w:val="0"/>
              <w:spacing w:before="0" w:after="283"/>
              <w:jc w:val="left"/>
              <w:rPr/>
            </w:pPr>
            <w:r>
              <w:rPr/>
              <w:t> </w:t>
            </w:r>
          </w:p>
        </w:tc>
        <w:tc>
          <w:tcPr>
            <w:tcW w:w="1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620" w:type="dxa"/>
            <w:tcBorders>
              <w:top w:val="single" w:sz="2" w:space="0" w:color="000000"/>
              <w:bottom w:val="single" w:sz="2" w:space="0" w:color="000000"/>
            </w:tcBorders>
            <w:tcMar>
              <w:top w:w="28" w:type="dxa"/>
              <w:bottom w:w="28" w:type="dxa"/>
            </w:tcMar>
          </w:tcPr>
          <w:p>
            <w:pPr>
              <w:pStyle w:val="TableContents"/>
              <w:bidi w:val="0"/>
              <w:spacing w:before="0" w:after="283"/>
              <w:jc w:val="center"/>
              <w:rPr/>
            </w:pPr>
            <w:r>
              <w:rPr/>
              <w:t>M</w:t>
            </w:r>
          </w:p>
        </w:tc>
        <w:tc>
          <w:tcPr>
            <w:tcW w:w="133"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95" w:type="dxa"/>
            <w:tcBorders>
              <w:top w:val="single" w:sz="2" w:space="0" w:color="000000"/>
              <w:bottom w:val="single" w:sz="2" w:space="0" w:color="000000"/>
              <w:right w:val="single" w:sz="2" w:space="0" w:color="000000"/>
            </w:tcBorders>
            <w:tcMar>
              <w:top w:w="28" w:type="dxa"/>
              <w:bottom w:w="28" w:type="dxa"/>
              <w:right w:w="28" w:type="dxa"/>
            </w:tcMar>
          </w:tcPr>
          <w:p>
            <w:pPr>
              <w:pStyle w:val="TableContents"/>
              <w:bidi w:val="0"/>
              <w:spacing w:before="0" w:after="283"/>
              <w:jc w:val="center"/>
              <w:rPr/>
            </w:pPr>
            <w:r>
              <w:rPr/>
              <w:t>C</w:t>
            </w:r>
          </w:p>
        </w:tc>
      </w:tr>
      <w:tr>
        <w:trPr/>
        <w:tc>
          <w:tcPr>
            <w:tcW w:w="2257" w:type="dxa"/>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Jeffrey W. Sherman, M.D., FACP</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396" w:type="dxa"/>
            <w:tcBorders>
              <w:bottom w:val="single" w:sz="2" w:space="0" w:color="000000"/>
            </w:tcBorders>
            <w:tcMar>
              <w:bottom w:w="28" w:type="dxa"/>
            </w:tcMar>
          </w:tcPr>
          <w:p>
            <w:pPr>
              <w:pStyle w:val="TableContents"/>
              <w:bidi w:val="0"/>
              <w:spacing w:before="0" w:after="283"/>
              <w:jc w:val="center"/>
              <w:rPr/>
            </w:pPr>
            <w:r>
              <w:rPr/>
              <w:t>69</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815" w:type="dxa"/>
            <w:tcBorders>
              <w:bottom w:val="single" w:sz="2" w:space="0" w:color="000000"/>
            </w:tcBorders>
            <w:tcMar>
              <w:bottom w:w="28" w:type="dxa"/>
            </w:tcMar>
          </w:tcPr>
          <w:p>
            <w:pPr>
              <w:pStyle w:val="TableContents"/>
              <w:bidi w:val="0"/>
              <w:spacing w:before="0" w:after="283"/>
              <w:jc w:val="center"/>
              <w:rPr/>
            </w:pPr>
            <w:r>
              <w:rPr/>
              <w:t>2023</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2358" w:type="dxa"/>
            <w:tcBorders>
              <w:bottom w:val="single" w:sz="2" w:space="0" w:color="000000"/>
            </w:tcBorders>
            <w:tcMar>
              <w:bottom w:w="28" w:type="dxa"/>
            </w:tcMar>
            <w:vAlign w:val="bottom"/>
          </w:tcPr>
          <w:p>
            <w:pPr>
              <w:pStyle w:val="TableContents"/>
              <w:bidi w:val="0"/>
              <w:spacing w:before="0" w:after="283"/>
              <w:jc w:val="left"/>
              <w:rPr/>
            </w:pPr>
            <w:r>
              <w:rPr/>
              <w:t>Consultant at Amgen Inc.</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1413" w:type="dxa"/>
            <w:tcBorders>
              <w:bottom w:val="single" w:sz="2" w:space="0" w:color="000000"/>
            </w:tcBorders>
            <w:tcMar>
              <w:bottom w:w="28" w:type="dxa"/>
            </w:tcMar>
          </w:tcPr>
          <w:p>
            <w:pPr>
              <w:pStyle w:val="TableContents"/>
              <w:bidi w:val="0"/>
              <w:spacing w:before="0" w:after="283"/>
              <w:jc w:val="center"/>
              <w:rPr/>
            </w:pPr>
            <w:r>
              <w:rPr/>
              <w:t>Yes</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620" w:type="dxa"/>
            <w:tcBorders>
              <w:bottom w:val="single" w:sz="2" w:space="0" w:color="000000"/>
            </w:tcBorders>
            <w:tcMar>
              <w:bottom w:w="28" w:type="dxa"/>
            </w:tcMar>
          </w:tcPr>
          <w:p>
            <w:pPr>
              <w:pStyle w:val="TableContents"/>
              <w:bidi w:val="0"/>
              <w:spacing w:before="0" w:after="283"/>
              <w:jc w:val="left"/>
              <w:rPr/>
            </w:pPr>
            <w:r>
              <w:rPr/>
              <w:t> </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620" w:type="dxa"/>
            <w:tcBorders>
              <w:bottom w:val="single" w:sz="2" w:space="0" w:color="000000"/>
            </w:tcBorders>
            <w:tcMar>
              <w:bottom w:w="28" w:type="dxa"/>
            </w:tcMar>
          </w:tcPr>
          <w:p>
            <w:pPr>
              <w:pStyle w:val="TableContents"/>
              <w:bidi w:val="0"/>
              <w:spacing w:before="0" w:after="283"/>
              <w:jc w:val="left"/>
              <w:rPr/>
            </w:pPr>
            <w:r>
              <w:rPr/>
              <w:t> </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795" w:type="dxa"/>
            <w:tcBorders>
              <w:bottom w:val="single" w:sz="2" w:space="0" w:color="000000"/>
              <w:right w:val="single" w:sz="2" w:space="0" w:color="000000"/>
            </w:tcBorders>
            <w:tcMar>
              <w:bottom w:w="28" w:type="dxa"/>
              <w:right w:w="28" w:type="dxa"/>
            </w:tcMar>
          </w:tcPr>
          <w:p>
            <w:pPr>
              <w:pStyle w:val="TableContents"/>
              <w:bidi w:val="0"/>
              <w:spacing w:before="0" w:after="283"/>
              <w:jc w:val="center"/>
              <w:rPr/>
            </w:pPr>
            <w:r>
              <w:rPr/>
              <w:t>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01"/>
        <w:gridCol w:w="714"/>
        <w:gridCol w:w="2450"/>
        <w:gridCol w:w="509"/>
        <w:gridCol w:w="1531"/>
      </w:tblGrid>
      <w:tr>
        <w:trPr/>
        <w:tc>
          <w:tcPr>
            <w:tcW w:w="5001" w:type="dxa"/>
            <w:tcBorders/>
            <w:vAlign w:val="center"/>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5001" w:type="dxa"/>
            <w:tcBorders/>
          </w:tcPr>
          <w:p>
            <w:pPr>
              <w:pStyle w:val="TableContents"/>
              <w:bidi w:val="0"/>
              <w:spacing w:before="0" w:after="0"/>
              <w:jc w:val="center"/>
              <w:rPr>
                <w:rFonts w:ascii="Times New Roman" w:hAnsi="Times New Roman"/>
                <w:sz w:val="16"/>
              </w:rPr>
            </w:pPr>
            <w:r>
              <w:rPr>
                <w:rFonts w:ascii="Times New Roman" w:hAnsi="Times New Roman"/>
                <w:sz w:val="16"/>
              </w:rPr>
              <w:t>AC = Audit Committee</w:t>
            </w:r>
          </w:p>
        </w:tc>
        <w:tc>
          <w:tcPr>
            <w:tcW w:w="714"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center"/>
              <w:rPr/>
            </w:pPr>
            <w:r>
              <w:rPr/>
              <w:t>M = Member</w:t>
            </w:r>
          </w:p>
        </w:tc>
      </w:tr>
      <w:tr>
        <w:trPr/>
        <w:tc>
          <w:tcPr>
            <w:tcW w:w="5001" w:type="dxa"/>
            <w:tcBorders/>
          </w:tcPr>
          <w:p>
            <w:pPr>
              <w:pStyle w:val="TableContents"/>
              <w:bidi w:val="0"/>
              <w:spacing w:before="0" w:after="0"/>
              <w:jc w:val="center"/>
              <w:rPr>
                <w:rFonts w:ascii="Times New Roman" w:hAnsi="Times New Roman"/>
                <w:sz w:val="16"/>
              </w:rPr>
            </w:pPr>
            <w:r>
              <w:rPr>
                <w:rFonts w:ascii="Times New Roman" w:hAnsi="Times New Roman"/>
                <w:sz w:val="16"/>
              </w:rPr>
              <w:t>CC = Compensation Committee</w:t>
            </w:r>
          </w:p>
        </w:tc>
        <w:tc>
          <w:tcPr>
            <w:tcW w:w="714"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center"/>
              <w:rPr/>
            </w:pPr>
            <w:r>
              <w:rPr/>
              <w:t>C = Chair</w:t>
            </w:r>
          </w:p>
        </w:tc>
      </w:tr>
      <w:tr>
        <w:trPr/>
        <w:tc>
          <w:tcPr>
            <w:tcW w:w="5001" w:type="dxa"/>
            <w:tcBorders/>
          </w:tcPr>
          <w:p>
            <w:pPr>
              <w:pStyle w:val="TableContents"/>
              <w:bidi w:val="0"/>
              <w:spacing w:before="0" w:after="0"/>
              <w:jc w:val="center"/>
              <w:rPr>
                <w:rFonts w:ascii="Times New Roman" w:hAnsi="Times New Roman"/>
                <w:sz w:val="16"/>
              </w:rPr>
            </w:pPr>
            <w:r>
              <w:rPr>
                <w:rFonts w:ascii="Times New Roman" w:hAnsi="Times New Roman"/>
                <w:sz w:val="16"/>
              </w:rPr>
              <w:t>NCGC = Nominating and Corporate Governance Committee</w:t>
            </w:r>
          </w:p>
        </w:tc>
        <w:tc>
          <w:tcPr>
            <w:tcW w:w="714" w:type="dxa"/>
            <w:tcBorders/>
            <w:vAlign w:val="bottom"/>
          </w:tcPr>
          <w:p>
            <w:pPr>
              <w:pStyle w:val="TableContents"/>
              <w:bidi w:val="0"/>
              <w:spacing w:before="0" w:after="283"/>
              <w:jc w:val="left"/>
              <w:rPr/>
            </w:pPr>
            <w:r>
              <w:rPr/>
              <w:t>  </w:t>
            </w:r>
          </w:p>
        </w:tc>
        <w:tc>
          <w:tcPr>
            <w:tcW w:w="2450"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1531"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CORPORATE GOVERNANCE HIGHLIGHTS </w:t>
      </w:r>
    </w:p>
    <w:p>
      <w:pPr>
        <w:pStyle w:val="TextBody"/>
        <w:bidi w:val="0"/>
        <w:spacing w:before="160" w:after="0"/>
        <w:jc w:val="left"/>
        <w:rPr>
          <w:rFonts w:ascii="Times New Roman" w:hAnsi="Times New Roman"/>
          <w:sz w:val="20"/>
        </w:rPr>
      </w:pPr>
      <w:r>
        <w:rPr>
          <w:rFonts w:ascii="Times New Roman" w:hAnsi="Times New Roman"/>
          <w:sz w:val="20"/>
        </w:rPr>
        <w:t xml:space="preserve">The following table summarizes our current Board structure and key elements of our corporate governance framework: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89"/>
        <w:gridCol w:w="207"/>
        <w:gridCol w:w="2709"/>
      </w:tblGrid>
      <w:tr>
        <w:trPr/>
        <w:tc>
          <w:tcPr>
            <w:tcW w:w="7289"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270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3"/>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3"/>
            <w:tcBorders>
              <w:left w:val="single" w:sz="2" w:space="0" w:color="000000"/>
              <w:bottom w:val="single" w:sz="2" w:space="0" w:color="000000"/>
              <w:right w:val="single" w:sz="2" w:space="0" w:color="000000"/>
            </w:tcBorders>
            <w:shd w:fill="4DC1E4" w:val="clear"/>
            <w:tcMar>
              <w:left w:w="160" w:type="dxa"/>
              <w:bottom w:w="40" w:type="dxa"/>
              <w:right w:w="40" w:type="dxa"/>
            </w:tcMar>
            <w:vAlign w:val="bottom"/>
          </w:tcPr>
          <w:p>
            <w:pPr>
              <w:pStyle w:val="TableContents"/>
              <w:bidi w:val="0"/>
              <w:spacing w:before="0" w:after="283"/>
              <w:jc w:val="center"/>
              <w:rPr>
                <w:b/>
                <w:color w:val="FFFFFF"/>
              </w:rPr>
            </w:pPr>
            <w:r>
              <w:rPr>
                <w:b/>
                <w:color w:val="FFFFFF"/>
              </w:rPr>
              <w:t>G</w:t>
            </w:r>
            <w:r>
              <w:rPr>
                <w:b/>
                <w:color w:val="FFFFFF"/>
                <w:sz w:val="14"/>
              </w:rPr>
              <w:t>OVERNANCE</w:t>
            </w:r>
            <w:r>
              <w:rPr>
                <w:b/>
                <w:color w:val="FFFFFF"/>
              </w:rPr>
              <w:t xml:space="preserve"> I</w:t>
            </w:r>
            <w:r>
              <w:rPr>
                <w:b/>
                <w:color w:val="FFFFFF"/>
                <w:sz w:val="14"/>
              </w:rPr>
              <w:t>TEMS</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Size of Board (set by the Board)</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6</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Number of Independent Directors</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5</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Independent Chairperson of the Board</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Yes</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Board Self-Evaluation</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Annual</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Review of Independence of Board</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Annual</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Independent Directors Meet Without Management Present</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Yes</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Voting Standard for Election of Directors in Uncontested Elections</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Plurality</w:t>
            </w:r>
          </w:p>
        </w:tc>
      </w:tr>
      <w:tr>
        <w:trPr>
          <w:trHeight w:val="30" w:hRule="atLeast"/>
        </w:trPr>
        <w:tc>
          <w:tcPr>
            <w:tcW w:w="7289" w:type="dxa"/>
            <w:tcBorders>
              <w:left w:val="single" w:sz="2" w:space="0" w:color="000000"/>
            </w:tcBorders>
            <w:tcMar>
              <w:left w:w="160" w:type="dxa"/>
            </w:tcMar>
            <w:vAlign w:val="center"/>
          </w:tcPr>
          <w:p>
            <w:pPr>
              <w:pStyle w:val="TableContents"/>
              <w:bidi w:val="0"/>
              <w:spacing w:before="0" w:after="283"/>
              <w:jc w:val="left"/>
              <w:rPr/>
            </w:pPr>
            <w:r>
              <w:rPr/>
              <w:t> </w:t>
            </w:r>
          </w:p>
        </w:tc>
        <w:tc>
          <w:tcPr>
            <w:tcW w:w="2916"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r>
      <w:tr>
        <w:trPr/>
        <w:tc>
          <w:tcPr>
            <w:tcW w:w="7289" w:type="dxa"/>
            <w:tcBorders>
              <w:left w:val="single" w:sz="2" w:space="0" w:color="000000"/>
              <w:bottom w:val="single" w:sz="2" w:space="0" w:color="000000"/>
            </w:tcBorders>
            <w:tcMar>
              <w:left w:w="160" w:type="dxa"/>
              <w:bottom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Diversity of Board Background, Experience and Skills</w:t>
            </w:r>
          </w:p>
        </w:tc>
        <w:tc>
          <w:tcPr>
            <w:tcW w:w="20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709" w:type="dxa"/>
            <w:tcBorders>
              <w:bottom w:val="single" w:sz="2" w:space="0" w:color="000000"/>
              <w:right w:val="single" w:sz="2" w:space="0" w:color="000000"/>
            </w:tcBorders>
            <w:tcMar>
              <w:bottom w:w="28" w:type="dxa"/>
              <w:right w:w="40" w:type="dxa"/>
            </w:tcMar>
            <w:vAlign w:val="center"/>
          </w:tcPr>
          <w:p>
            <w:pPr>
              <w:pStyle w:val="TableContents"/>
              <w:bidi w:val="0"/>
              <w:spacing w:before="0" w:after="283"/>
              <w:jc w:val="center"/>
              <w:rPr/>
            </w:pPr>
            <w:r>
              <w:rPr/>
              <w:t>Yes</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RECENT CORPORATE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May 2023, we announced preliminary top-line data from the 25 mg cohort of our Phase 2, four-week, placebo-controlled, dose exploration trial of nomlabofusp (CTI-1601) in participants with Friedreichs ataxia. </w:t>
            </w:r>
          </w:p>
        </w:tc>
      </w:tr>
    </w:tbl>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June 2023, we joined the broad-market Russell 3000 Index. </w:t>
            </w:r>
          </w:p>
        </w:tc>
      </w:tr>
    </w:tbl>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July 2023, we announced that the U.S. Food and Drug Administration (FDA) cleared our four-week, placebo-controlled, Phase 2 dose exploration trial of nomlabofusp in participants with Friedreichs ataxia to proceed to a 50 mg cohort in which participants would be dosed daily for the first 14 days and then every other day until day 28. We also announced that the FDA cleared for initiation our open label extension (OLE) study in which participants would receive 25 mg of nomlabofusp daily. </w:t>
            </w:r>
          </w:p>
        </w:tc>
      </w:tr>
    </w:tbl>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October 2023, we appointed Jeffrey W. Sherman, M.D., FACP to our Board. Dr. Sherman brings over 25 years of pharmaceutical experience, specializing in regulatory and clinical strategy, and therapeutic development for rare diseases. </w:t>
            </w:r>
          </w:p>
        </w:tc>
      </w:tr>
    </w:tbl>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January 2024, we initiated the open label extension study to dose 25 mg daily of nomlabofusp. </w:t>
            </w:r>
          </w:p>
        </w:tc>
      </w:tr>
    </w:tbl>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February 2024, we announced positive top-line data and successful completion of our four-week, placebo-controlled Phase 2 dose exploration study of nomlabofusp in participants with Friedreichs ataxia. In addition, we announced that we had recent discussions with the FDA on the use of tissue frataxin levels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SUMMARY INFORMATION </w:t>
            </w:r>
            <w:r>
              <w:rPr>
                <w:rFonts w:ascii="Times New Roman" w:hAnsi="Times New Roman"/>
                <w:b/>
                <w:i/>
                <w:sz w:val="24"/>
              </w:rPr>
              <w:t>(continued)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9289"/>
      </w:tblGrid>
      <w:tr>
        <w:trPr/>
        <w:tc>
          <w:tcPr>
            <w:tcW w:w="916" w:type="dxa"/>
            <w:tcBorders/>
            <w:vAlign w:val="center"/>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novel surrogate endpoint. The FDA acknowledged that frataxin deficiency appears to be critical to the pathogenic mechanism of Friedreichs ataxia, and that there continues to be an unmet need for treatments for Friedreichs ataxia patients that address the underlying disease pathophysiology. We intend to pursue an accelerated approval using frataxin levels, supportive pharmacodynamics and clinical information, and safety data from the OLE study, along with additional nonclinical pharmacology information needed to support the novel surrogate endpoint approach. We are targeting a Biologics License Application submission in the second half of 2025. </w:t>
            </w:r>
          </w:p>
        </w:tc>
      </w:tr>
    </w:tbl>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February 2024, we closed an underwritten public offering of the sale of 19,736,842 shares of our common stock for net proceeds of approximately $161.6 million.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3" w:name="toc"/>
            <w:bookmarkEnd w:id="3"/>
            <w:r>
              <w:rPr>
                <w:rFonts w:ascii="Times New Roman" w:hAnsi="Times New Roman"/>
                <w:b/>
                <w:sz w:val="24"/>
              </w:rPr>
              <w:t>TABLE OF CONTENTS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69"/>
        <w:gridCol w:w="60"/>
        <w:gridCol w:w="265"/>
        <w:gridCol w:w="63"/>
      </w:tblGrid>
      <w:tr>
        <w:trPr/>
        <w:tc>
          <w:tcPr>
            <w:tcW w:w="9648"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1">
              <w:r>
                <w:rPr>
                  <w:rStyle w:val="InternetLink"/>
                  <w:rFonts w:ascii="Times New Roman" w:hAnsi="Times New Roman"/>
                  <w:sz w:val="20"/>
                </w:rPr>
                <w:t>SUMMARY INFORMATION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2">
              <w:r>
                <w:rPr>
                  <w:rStyle w:val="InternetLink"/>
                  <w:rFonts w:ascii="Times New Roman" w:hAnsi="Times New Roman"/>
                  <w:sz w:val="20"/>
                </w:rPr>
                <w:t>PROXY STATEMENT</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vi</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3">
              <w:r>
                <w:rPr>
                  <w:rStyle w:val="InternetLink"/>
                  <w:rFonts w:ascii="Times New Roman" w:hAnsi="Times New Roman"/>
                  <w:sz w:val="20"/>
                </w:rPr>
                <w:t>GENERAL INFORMATION ABOUT THE MEETING</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4">
              <w:r>
                <w:rPr>
                  <w:rStyle w:val="InternetLink"/>
                  <w:rFonts w:ascii="Times New Roman" w:hAnsi="Times New Roman"/>
                  <w:sz w:val="20"/>
                </w:rPr>
                <w:t>BOARD OF DIRECTORS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5">
              <w:r>
                <w:rPr>
                  <w:rStyle w:val="InternetLink"/>
                  <w:rFonts w:ascii="Times New Roman" w:hAnsi="Times New Roman"/>
                  <w:sz w:val="20"/>
                </w:rPr>
                <w:t>BOARD STRUCTURE AND COMPOSITION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6">
              <w:r>
                <w:rPr>
                  <w:rStyle w:val="InternetLink"/>
                  <w:rFonts w:ascii="Times New Roman" w:hAnsi="Times New Roman"/>
                  <w:sz w:val="20"/>
                </w:rPr>
                <w:t>CRITERIA FOR BOARD MEMBERSHIP</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7">
              <w:r>
                <w:rPr>
                  <w:rStyle w:val="InternetLink"/>
                  <w:rFonts w:ascii="Times New Roman" w:hAnsi="Times New Roman"/>
                  <w:sz w:val="20"/>
                </w:rPr>
                <w:t>BOARD DIVERSITY</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8">
              <w:r>
                <w:rPr>
                  <w:rStyle w:val="InternetLink"/>
                  <w:rFonts w:ascii="Times New Roman" w:hAnsi="Times New Roman"/>
                  <w:sz w:val="20"/>
                </w:rPr>
                <w:t xml:space="preserve">BOARD OVERSIGHT OF COMPANY CULTURE AND ENVIRONMENTAL, SOCIAL AND GOVERNANCE HIGHLIGHTS </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9">
              <w:r>
                <w:rPr>
                  <w:rStyle w:val="InternetLink"/>
                  <w:rFonts w:ascii="Times New Roman" w:hAnsi="Times New Roman"/>
                  <w:sz w:val="20"/>
                </w:rPr>
                <w:t>DIRECTOR NOMINEES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0">
              <w:r>
                <w:rPr>
                  <w:rStyle w:val="InternetLink"/>
                  <w:rFonts w:ascii="Times New Roman" w:hAnsi="Times New Roman"/>
                  <w:sz w:val="20"/>
                </w:rPr>
                <w:t>CONTINUING DIRECTORS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11">
              <w:r>
                <w:rPr>
                  <w:rStyle w:val="InternetLink"/>
                  <w:rFonts w:ascii="Times New Roman" w:hAnsi="Times New Roman"/>
                  <w:sz w:val="20"/>
                </w:rPr>
                <w:t>CORPORATE GOVERNANCE AND RISK MANAGEMENT</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2">
              <w:r>
                <w:rPr>
                  <w:rStyle w:val="InternetLink"/>
                  <w:rFonts w:ascii="Times New Roman" w:hAnsi="Times New Roman"/>
                  <w:sz w:val="20"/>
                </w:rPr>
                <w:t>BOARD INDEPENDENCE</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3">
              <w:r>
                <w:rPr>
                  <w:rStyle w:val="InternetLink"/>
                  <w:rFonts w:ascii="Times New Roman" w:hAnsi="Times New Roman"/>
                  <w:sz w:val="20"/>
                </w:rPr>
                <w:t>BOARD LEADERSHIP STRUCTURE</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4">
              <w:r>
                <w:rPr>
                  <w:rStyle w:val="InternetLink"/>
                  <w:rFonts w:ascii="Times New Roman" w:hAnsi="Times New Roman"/>
                  <w:sz w:val="20"/>
                </w:rPr>
                <w:t>BOARD COMMITTEES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5">
              <w:r>
                <w:rPr>
                  <w:rStyle w:val="InternetLink"/>
                  <w:rFonts w:ascii="Times New Roman" w:hAnsi="Times New Roman"/>
                  <w:sz w:val="20"/>
                </w:rPr>
                <w:t>RISK MANAGEMENT</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6">
              <w:r>
                <w:rPr>
                  <w:rStyle w:val="InternetLink"/>
                  <w:rFonts w:ascii="Times New Roman" w:hAnsi="Times New Roman"/>
                  <w:sz w:val="20"/>
                </w:rPr>
                <w:t>EVALUATING BOARD EFFECTIVENESS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7">
              <w:r>
                <w:rPr>
                  <w:rStyle w:val="InternetLink"/>
                  <w:rFonts w:ascii="Times New Roman" w:hAnsi="Times New Roman"/>
                  <w:sz w:val="20"/>
                </w:rPr>
                <w:t>CODE OF CONDUCT</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8">
              <w:r>
                <w:rPr>
                  <w:rStyle w:val="InternetLink"/>
                  <w:rFonts w:ascii="Times New Roman" w:hAnsi="Times New Roman"/>
                  <w:sz w:val="20"/>
                </w:rPr>
                <w:t>DIRECTOR ORIENTATION AND CONTINUING EDUCATION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19">
              <w:r>
                <w:rPr>
                  <w:rStyle w:val="InternetLink"/>
                  <w:rFonts w:ascii="Times New Roman" w:hAnsi="Times New Roman"/>
                  <w:sz w:val="20"/>
                </w:rPr>
                <w:t>CORPORATE GOVERNANCE GUIDELINES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0">
              <w:r>
                <w:rPr>
                  <w:rStyle w:val="InternetLink"/>
                  <w:rFonts w:ascii="Times New Roman" w:hAnsi="Times New Roman"/>
                  <w:sz w:val="20"/>
                </w:rPr>
                <w:t>BOARD ATTENDANCE, COMMITTEE MEETINGS AND COMMITTEE MEMBERSHIP</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1">
              <w:r>
                <w:rPr>
                  <w:rStyle w:val="InternetLink"/>
                  <w:rFonts w:ascii="Times New Roman" w:hAnsi="Times New Roman"/>
                  <w:sz w:val="20"/>
                </w:rPr>
                <w:t>FAMILY RELATIONSHIPS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2">
              <w:r>
                <w:rPr>
                  <w:rStyle w:val="InternetLink"/>
                  <w:rFonts w:ascii="Times New Roman" w:hAnsi="Times New Roman"/>
                  <w:sz w:val="20"/>
                </w:rPr>
                <w:t>COMPENSATION COMMITTEE INTERLOCKS AND INSIDER PARTICIPATION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3">
              <w:r>
                <w:rPr>
                  <w:rStyle w:val="InternetLink"/>
                  <w:rFonts w:ascii="Times New Roman" w:hAnsi="Times New Roman"/>
                  <w:sz w:val="20"/>
                </w:rPr>
                <w:t>STOCKHOLDER ENGAGEMENT</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24">
              <w:r>
                <w:rPr>
                  <w:rStyle w:val="InternetLink"/>
                  <w:rFonts w:ascii="Times New Roman" w:hAnsi="Times New Roman"/>
                  <w:sz w:val="20"/>
                </w:rPr>
                <w:t>DIRECTOR COMPENSATION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5">
              <w:r>
                <w:rPr>
                  <w:rStyle w:val="InternetLink"/>
                  <w:rFonts w:ascii="Times New Roman" w:hAnsi="Times New Roman"/>
                  <w:sz w:val="20"/>
                </w:rPr>
                <w:t>NON-EMPLOYEE DIRECTOR COMPENSATION POLICY</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6">
              <w:r>
                <w:rPr>
                  <w:rStyle w:val="InternetLink"/>
                  <w:rFonts w:ascii="Times New Roman" w:hAnsi="Times New Roman"/>
                  <w:sz w:val="20"/>
                </w:rPr>
                <w:t>DIRECTOR COMPENSATION TABLE</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27">
              <w:r>
                <w:rPr>
                  <w:rStyle w:val="InternetLink"/>
                  <w:rFonts w:ascii="Times New Roman" w:hAnsi="Times New Roman"/>
                  <w:sz w:val="20"/>
                </w:rPr>
                <w:t>INDEPENDENT REGISTERED PUBLIC ACCOUNTING FIRM</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8">
              <w:r>
                <w:rPr>
                  <w:rStyle w:val="InternetLink"/>
                  <w:rFonts w:ascii="Times New Roman" w:hAnsi="Times New Roman"/>
                  <w:sz w:val="20"/>
                </w:rPr>
                <w:t>INDEPENDENT REGISTERED PUBLIC ACCOUNTING FIRM FEES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29">
              <w:r>
                <w:rPr>
                  <w:rStyle w:val="InternetLink"/>
                  <w:rFonts w:ascii="Times New Roman" w:hAnsi="Times New Roman"/>
                  <w:sz w:val="20"/>
                </w:rPr>
                <w:t>AUDIT COMMITTEE PRE-APPROVAL POLICIES AND PROCEDURES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30">
              <w:r>
                <w:rPr>
                  <w:rStyle w:val="InternetLink"/>
                  <w:rFonts w:ascii="Times New Roman" w:hAnsi="Times New Roman"/>
                  <w:sz w:val="20"/>
                </w:rPr>
                <w:t>AUDIT COMMITTEE REPORT</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31">
              <w:r>
                <w:rPr>
                  <w:rStyle w:val="InternetLink"/>
                  <w:rFonts w:ascii="Times New Roman" w:hAnsi="Times New Roman"/>
                  <w:sz w:val="20"/>
                </w:rPr>
                <w:t>EXECUTIVE OFFICERS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32">
              <w:r>
                <w:rPr>
                  <w:rStyle w:val="InternetLink"/>
                  <w:rFonts w:ascii="Times New Roman" w:hAnsi="Times New Roman"/>
                  <w:sz w:val="20"/>
                </w:rPr>
                <w:t>EXECUTIVE COMPENSATION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33">
              <w:r>
                <w:rPr>
                  <w:rStyle w:val="InternetLink"/>
                  <w:rFonts w:ascii="Times New Roman" w:hAnsi="Times New Roman"/>
                  <w:sz w:val="20"/>
                </w:rPr>
                <w:t>2023 SUMMARY COMPENSATION TABLE</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34">
              <w:r>
                <w:rPr>
                  <w:rStyle w:val="InternetLink"/>
                  <w:rFonts w:ascii="Times New Roman" w:hAnsi="Times New Roman"/>
                  <w:sz w:val="20"/>
                </w:rPr>
                <w:t>PLEDGING AND HEDGING POLICIES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35">
              <w:r>
                <w:rPr>
                  <w:rStyle w:val="InternetLink"/>
                  <w:rFonts w:ascii="Times New Roman" w:hAnsi="Times New Roman"/>
                  <w:sz w:val="20"/>
                </w:rPr>
                <w:t xml:space="preserve">CLAWBACK POLICY </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36">
              <w:r>
                <w:rPr>
                  <w:rStyle w:val="InternetLink"/>
                  <w:rFonts w:ascii="Times New Roman" w:hAnsi="Times New Roman"/>
                  <w:sz w:val="20"/>
                </w:rPr>
                <w:t>OUTSTANDING EQUITY AWARDS AT FISCAL 2023 YEAR-END</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37">
              <w:r>
                <w:rPr>
                  <w:rStyle w:val="InternetLink"/>
                  <w:rFonts w:ascii="Times New Roman" w:hAnsi="Times New Roman"/>
                  <w:sz w:val="20"/>
                </w:rPr>
                <w:t>EMPLOYMENT AGREEMENTS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38">
              <w:r>
                <w:rPr>
                  <w:rStyle w:val="InternetLink"/>
                  <w:rFonts w:ascii="Times New Roman" w:hAnsi="Times New Roman"/>
                  <w:sz w:val="20"/>
                </w:rPr>
                <w:t xml:space="preserve">PAY VERSUS PERFORMANCE </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39">
              <w:r>
                <w:rPr>
                  <w:rStyle w:val="InternetLink"/>
                  <w:rFonts w:ascii="Times New Roman" w:hAnsi="Times New Roman"/>
                  <w:sz w:val="20"/>
                </w:rPr>
                <w:t>CERTAIN RELATIONSHIPS AND RELATED PARTY TRANSACTIONS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40">
              <w:r>
                <w:rPr>
                  <w:rStyle w:val="InternetLink"/>
                  <w:rFonts w:ascii="Times New Roman" w:hAnsi="Times New Roman"/>
                  <w:sz w:val="20"/>
                </w:rPr>
                <w:t>INDEMNIFICATION AGREEMENTS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41">
              <w:r>
                <w:rPr>
                  <w:rStyle w:val="InternetLink"/>
                  <w:rFonts w:ascii="Times New Roman" w:hAnsi="Times New Roman"/>
                  <w:sz w:val="20"/>
                </w:rPr>
                <w:t>OTHER TRANSACTIONS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9648" w:type="dxa"/>
            <w:tcBorders/>
          </w:tcPr>
          <w:p>
            <w:pPr>
              <w:pStyle w:val="TableContents"/>
              <w:bidi w:val="0"/>
              <w:spacing w:before="0" w:after="0"/>
              <w:jc w:val="left"/>
              <w:rPr/>
            </w:pPr>
            <w:hyperlink w:anchor="summary636298_42">
              <w:r>
                <w:rPr>
                  <w:rStyle w:val="InternetLink"/>
                  <w:rFonts w:ascii="Times New Roman" w:hAnsi="Times New Roman"/>
                  <w:sz w:val="20"/>
                </w:rPr>
                <w:t>POLICIES AND PROCEDURES FOR RELATED PERSON TRANSACTIONS</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50" w:hRule="atLeast"/>
        </w:trPr>
        <w:tc>
          <w:tcPr>
            <w:tcW w:w="9648" w:type="dxa"/>
            <w:tcBorders/>
            <w:vAlign w:val="center"/>
          </w:tcPr>
          <w:p>
            <w:pPr>
              <w:pStyle w:val="TableContents"/>
              <w:bidi w:val="0"/>
              <w:spacing w:before="0" w:after="283"/>
              <w:jc w:val="left"/>
              <w:rPr>
                <w:sz w:val="4"/>
                <w:szCs w:val="4"/>
              </w:rPr>
            </w:pPr>
            <w:r>
              <w:rPr>
                <w:sz w:val="4"/>
                <w:szCs w:val="4"/>
              </w:rPr>
            </w:r>
          </w:p>
        </w:tc>
        <w:tc>
          <w:tcPr>
            <w:tcW w:w="557" w:type="dxa"/>
            <w:gridSpan w:val="4"/>
            <w:tcBorders/>
            <w:vAlign w:val="center"/>
          </w:tcPr>
          <w:p>
            <w:pPr>
              <w:pStyle w:val="TableContents"/>
              <w:bidi w:val="0"/>
              <w:spacing w:before="0" w:after="283"/>
              <w:jc w:val="left"/>
              <w:rPr>
                <w:sz w:val="4"/>
                <w:szCs w:val="4"/>
              </w:rPr>
            </w:pPr>
            <w:r>
              <w:rPr>
                <w:sz w:val="4"/>
                <w:szCs w:val="4"/>
              </w:rPr>
            </w:r>
          </w:p>
        </w:tc>
      </w:tr>
      <w:tr>
        <w:trPr/>
        <w:tc>
          <w:tcPr>
            <w:tcW w:w="9648" w:type="dxa"/>
            <w:tcBorders/>
          </w:tcPr>
          <w:p>
            <w:pPr>
              <w:pStyle w:val="TableContents"/>
              <w:bidi w:val="0"/>
              <w:spacing w:before="0" w:after="0"/>
              <w:jc w:val="left"/>
              <w:rPr/>
            </w:pPr>
            <w:hyperlink w:anchor="summary636298_43">
              <w:r>
                <w:rPr>
                  <w:rStyle w:val="InternetLink"/>
                  <w:rFonts w:ascii="Times New Roman" w:hAnsi="Times New Roman"/>
                  <w:sz w:val="20"/>
                </w:rPr>
                <w:t>EQUITY COMPENSATION PLAN INFORMATION</w:t>
              </w:r>
            </w:hyperlink>
          </w:p>
        </w:tc>
        <w:tc>
          <w:tcPr>
            <w:tcW w:w="16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TABLE OF CONTENTS </w:t>
            </w:r>
            <w:r>
              <w:rPr>
                <w:rFonts w:ascii="Times New Roman" w:hAnsi="Times New Roman"/>
                <w:b/>
                <w:i/>
                <w:sz w:val="24"/>
              </w:rPr>
              <w:t>(continued)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6"/>
        <w:gridCol w:w="164"/>
        <w:gridCol w:w="60"/>
        <w:gridCol w:w="263"/>
        <w:gridCol w:w="62"/>
      </w:tblGrid>
      <w:tr>
        <w:trPr/>
        <w:tc>
          <w:tcPr>
            <w:tcW w:w="9656"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150" w:hRule="atLeast"/>
        </w:trPr>
        <w:tc>
          <w:tcPr>
            <w:tcW w:w="9656" w:type="dxa"/>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tcBorders/>
          </w:tcPr>
          <w:p>
            <w:pPr>
              <w:pStyle w:val="TableContents"/>
              <w:bidi w:val="0"/>
              <w:spacing w:before="0" w:after="0"/>
              <w:jc w:val="left"/>
              <w:rPr/>
            </w:pPr>
            <w:hyperlink w:anchor="summary636298_44">
              <w:r>
                <w:rPr>
                  <w:rStyle w:val="InternetLink"/>
                  <w:rFonts w:ascii="Times New Roman" w:hAnsi="Times New Roman"/>
                  <w:sz w:val="20"/>
                </w:rPr>
                <w:t>SECURITY OWNERSHIP OF CERTAIN BENEFICIAL OWNERS AND MANAGEMENT</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150" w:hRule="atLeast"/>
        </w:trPr>
        <w:tc>
          <w:tcPr>
            <w:tcW w:w="9656" w:type="dxa"/>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tcBorders/>
          </w:tcPr>
          <w:p>
            <w:pPr>
              <w:pStyle w:val="TableContents"/>
              <w:bidi w:val="0"/>
              <w:spacing w:before="0" w:after="0"/>
              <w:jc w:val="left"/>
              <w:rPr/>
            </w:pPr>
            <w:hyperlink w:anchor="summary636298_45">
              <w:r>
                <w:rPr>
                  <w:rStyle w:val="InternetLink"/>
                  <w:rFonts w:ascii="Times New Roman" w:hAnsi="Times New Roman"/>
                  <w:sz w:val="20"/>
                </w:rPr>
                <w:t>ITEMS TO BE VOTED ON</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46">
              <w:r>
                <w:rPr>
                  <w:rStyle w:val="InternetLink"/>
                  <w:rFonts w:ascii="Times New Roman" w:hAnsi="Times New Roman"/>
                  <w:sz w:val="20"/>
                </w:rPr>
                <w:t>PROPOSAL 1: ELECTION OF CLASS I DIRECTORS FOR A THREE-YEAR TERM EXPIRING AT THE 2027 ANNUAL MEETING OF STOCKHOLDERS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36</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47">
              <w:r>
                <w:rPr>
                  <w:rStyle w:val="InternetLink"/>
                  <w:rFonts w:ascii="Times New Roman" w:hAnsi="Times New Roman"/>
                  <w:sz w:val="20"/>
                </w:rPr>
                <w:t>PROPOSAL 2: APPROVAL, ON AN ADVISORY BASIS, OF THE COMPENSATION OF OUR NAMED EXECUTIVE OFFICERS IN 2023</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37</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48">
              <w:r>
                <w:rPr>
                  <w:rStyle w:val="InternetLink"/>
                  <w:rFonts w:ascii="Times New Roman" w:hAnsi="Times New Roman"/>
                  <w:sz w:val="20"/>
                </w:rPr>
                <w:t>PROPOSAL 3: RATIFICATION OF APPOINTMENT OF PRICEWATERHOUSECOOPERS LLP AS OUR INDEPENDENT REGISTERED PUBLIC ACCOUNTING FIRM FOR THE 2024 FISCAL YEAR</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38</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49">
              <w:r>
                <w:rPr>
                  <w:rStyle w:val="InternetLink"/>
                  <w:rFonts w:ascii="Times New Roman" w:hAnsi="Times New Roman"/>
                  <w:sz w:val="20"/>
                </w:rPr>
                <w:t xml:space="preserve">PROPOSAL 4: APPROVAL OF AN AMENDMENT TO OUR NINTH AMENDED AND RESTATED CERTIFICATE OF INCORPORATION, AS AMENDED, TO REFLECT DELAWARE LAW PROVISIONS REGARDING OFFICER EXCULPATION </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50">
              <w:r>
                <w:rPr>
                  <w:rStyle w:val="InternetLink"/>
                  <w:rFonts w:ascii="Times New Roman" w:hAnsi="Times New Roman"/>
                  <w:sz w:val="20"/>
                </w:rPr>
                <w:t>PROPOSAL 5: APPROVAL OF AN ADJOURNMENT OF THE ANNUAL MEETING TO THE EXTENT THERE ARE INSUFFICIENT VOTES AT THE ANNUAL MEETING TO APPROVE PROPOSAL</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41</w:t>
            </w:r>
          </w:p>
        </w:tc>
        <w:tc>
          <w:tcPr>
            <w:tcW w:w="62" w:type="dxa"/>
            <w:tcBorders/>
            <w:vAlign w:val="bottom"/>
          </w:tcPr>
          <w:p>
            <w:pPr>
              <w:pStyle w:val="TableContents"/>
              <w:bidi w:val="0"/>
              <w:spacing w:before="0" w:after="283"/>
              <w:jc w:val="left"/>
              <w:rPr/>
            </w:pPr>
            <w:r>
              <w:rPr/>
              <w:t> </w:t>
            </w:r>
          </w:p>
        </w:tc>
      </w:tr>
      <w:tr>
        <w:trPr>
          <w:trHeight w:val="150" w:hRule="atLeast"/>
        </w:trPr>
        <w:tc>
          <w:tcPr>
            <w:tcW w:w="9656" w:type="dxa"/>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tcBorders/>
          </w:tcPr>
          <w:p>
            <w:pPr>
              <w:pStyle w:val="TableContents"/>
              <w:bidi w:val="0"/>
              <w:spacing w:before="0" w:after="0"/>
              <w:jc w:val="left"/>
              <w:rPr/>
            </w:pPr>
            <w:hyperlink w:anchor="summary636298_51">
              <w:r>
                <w:rPr>
                  <w:rStyle w:val="InternetLink"/>
                  <w:rFonts w:ascii="Times New Roman" w:hAnsi="Times New Roman"/>
                  <w:sz w:val="20"/>
                </w:rPr>
                <w:t>OTHER INFORMATION</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52">
              <w:r>
                <w:rPr>
                  <w:rStyle w:val="InternetLink"/>
                  <w:rFonts w:ascii="Times New Roman" w:hAnsi="Times New Roman"/>
                  <w:sz w:val="20"/>
                </w:rPr>
                <w:t>OTHER MATTERS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53">
              <w:r>
                <w:rPr>
                  <w:rStyle w:val="InternetLink"/>
                  <w:rFonts w:ascii="Times New Roman" w:hAnsi="Times New Roman"/>
                  <w:sz w:val="20"/>
                </w:rPr>
                <w:t>REQUIREMENTS FOR SUBMISSION OF STOCKHOLDER PROPOSALS FOR NEXT YEARS ANNUAL MEETING</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54">
              <w:r>
                <w:rPr>
                  <w:rStyle w:val="InternetLink"/>
                  <w:rFonts w:ascii="Times New Roman" w:hAnsi="Times New Roman"/>
                  <w:sz w:val="20"/>
                </w:rPr>
                <w:t>STOCKHOLDER COMMUNICATIONS TO THE BOARD</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42</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55">
              <w:r>
                <w:rPr>
                  <w:rStyle w:val="InternetLink"/>
                  <w:rFonts w:ascii="Times New Roman" w:hAnsi="Times New Roman"/>
                  <w:sz w:val="20"/>
                </w:rPr>
                <w:t>HOUSEHOLDING</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9656" w:type="dxa"/>
            <w:tcBorders/>
          </w:tcPr>
          <w:p>
            <w:pPr>
              <w:pStyle w:val="TableContents"/>
              <w:bidi w:val="0"/>
              <w:spacing w:before="0" w:after="0"/>
              <w:jc w:val="left"/>
              <w:rPr/>
            </w:pPr>
            <w:hyperlink w:anchor="summary636298_56">
              <w:r>
                <w:rPr>
                  <w:rStyle w:val="InternetLink"/>
                  <w:rFonts w:ascii="Times New Roman" w:hAnsi="Times New Roman"/>
                  <w:sz w:val="20"/>
                </w:rPr>
                <w:t>AVAILABILITY OF MATERIALS</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rHeight w:val="150" w:hRule="atLeast"/>
        </w:trPr>
        <w:tc>
          <w:tcPr>
            <w:tcW w:w="9656" w:type="dxa"/>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9656" w:type="dxa"/>
            <w:tcBorders/>
          </w:tcPr>
          <w:p>
            <w:pPr>
              <w:pStyle w:val="TableContents"/>
              <w:bidi w:val="0"/>
              <w:spacing w:before="0" w:after="0"/>
              <w:jc w:val="left"/>
              <w:rPr/>
            </w:pPr>
            <w:hyperlink w:anchor="summary636298_57">
              <w:r>
                <w:rPr>
                  <w:rStyle w:val="InternetLink"/>
                  <w:rFonts w:ascii="Times New Roman" w:hAnsi="Times New Roman"/>
                  <w:sz w:val="20"/>
                </w:rPr>
                <w:t xml:space="preserve">APPENDIX A: CERTIFICATE OF AMENDMENT OF NINTH AMENDED AND RESTATED CERTIFICATE OF INCORPORATION </w:t>
              </w:r>
            </w:hyperlink>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pPr>
            <w:r>
              <w:rPr/>
              <w:t> </w:t>
            </w:r>
          </w:p>
          <w:p>
            <w:pPr>
              <w:pStyle w:val="TableContents"/>
              <w:bidi w:val="0"/>
              <w:spacing w:before="0" w:after="0"/>
              <w:jc w:val="left"/>
              <w:rPr>
                <w:rFonts w:ascii="Times New Roman" w:hAnsi="Times New Roman"/>
                <w:b/>
                <w:sz w:val="24"/>
              </w:rPr>
            </w:pPr>
            <w:bookmarkStart w:id="4" w:name="summary636298_2"/>
            <w:bookmarkEnd w:id="4"/>
            <w:r>
              <w:rPr>
                <w:rFonts w:ascii="Times New Roman" w:hAnsi="Times New Roman"/>
                <w:b/>
                <w:sz w:val="24"/>
              </w:rPr>
              <w:t>PROXY STATEMENT</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This Proxy Statement, with the enclosed proxy card, is being furnished to stockholders of Larimar Therapeutics, Inc. (the Company) in connection with the solicitation by our Board of proxies to be voted at our Annual Meeting and at any postponements or adjournments thereof. The Annual Meeting will be held on Wednesday, May 29, 2024, at 11:00 a.m., Eastern Time via the Internet at </w:t>
      </w:r>
      <w:r>
        <w:rPr>
          <w:rFonts w:ascii="Times New Roman" w:hAnsi="Times New Roman"/>
          <w:sz w:val="20"/>
          <w:u w:val="single"/>
        </w:rPr>
        <w:t>meetnow.global/MN99LW9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5" w:name="summary636298_3"/>
            <w:bookmarkEnd w:id="5"/>
            <w:r>
              <w:rPr>
                <w:rFonts w:ascii="Times New Roman" w:hAnsi="Times New Roman"/>
                <w:b/>
                <w:sz w:val="24"/>
              </w:rPr>
              <w:t>GENERAL INFORMATION ABOUT THE MEETING</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ATTENDING THE ANNUAL MEETING </w:t>
      </w:r>
    </w:p>
    <w:p>
      <w:pPr>
        <w:pStyle w:val="TextBody"/>
        <w:bidi w:val="0"/>
        <w:spacing w:before="200" w:after="0"/>
        <w:jc w:val="both"/>
        <w:rPr>
          <w:rFonts w:ascii="Times New Roman" w:hAnsi="Times New Roman"/>
          <w:sz w:val="20"/>
        </w:rPr>
      </w:pPr>
      <w:r>
        <w:rPr>
          <w:rFonts w:ascii="Times New Roman" w:hAnsi="Times New Roman"/>
          <w:sz w:val="20"/>
        </w:rPr>
        <w:t xml:space="preserve">The Annual Meeting will be conducted virtually via live webcast, and there will not be a physical meeting location. We have adopted a virtual format for the Annual Meeting to provide a consistent experience to all stockholders regardless of location. We have designed the Annual Meeting to provide substantially the same opportunities to participate as you would have at an in-person meeting, including the ability to vote. </w:t>
      </w:r>
    </w:p>
    <w:p>
      <w:pPr>
        <w:pStyle w:val="TextBody"/>
        <w:bidi w:val="0"/>
        <w:spacing w:before="200" w:after="0"/>
        <w:jc w:val="both"/>
        <w:rPr>
          <w:rFonts w:ascii="Times New Roman" w:hAnsi="Times New Roman"/>
          <w:sz w:val="20"/>
        </w:rPr>
      </w:pPr>
      <w:r>
        <w:rPr>
          <w:rFonts w:ascii="Times New Roman" w:hAnsi="Times New Roman"/>
          <w:sz w:val="20"/>
        </w:rPr>
        <w:t xml:space="preserve">To participate in the virtual meeting, visit </w:t>
      </w:r>
      <w:r>
        <w:rPr>
          <w:rFonts w:ascii="Times New Roman" w:hAnsi="Times New Roman"/>
          <w:sz w:val="20"/>
          <w:u w:val="single"/>
        </w:rPr>
        <w:t>meetnow.global/MN99LW9</w:t>
      </w:r>
      <w:r>
        <w:rPr>
          <w:rFonts w:ascii="Times New Roman" w:hAnsi="Times New Roman"/>
          <w:sz w:val="20"/>
        </w:rPr>
        <w:t xml:space="preserve">. You will need to enter the 16-digit control number included on your Notice or on your proxy card. The meeting will begin promptly at 11:00 a.m., Eastern Time on Wednesday, May 29, 2024. We encourage you to access the meeting prior to the start time leaving ample time for the check in. </w:t>
      </w:r>
    </w:p>
    <w:p>
      <w:pPr>
        <w:pStyle w:val="TextBody"/>
        <w:bidi w:val="0"/>
        <w:spacing w:before="200" w:after="0"/>
        <w:jc w:val="both"/>
        <w:rPr>
          <w:rFonts w:ascii="Times New Roman" w:hAnsi="Times New Roman"/>
          <w:sz w:val="20"/>
        </w:rPr>
      </w:pPr>
      <w:r>
        <w:rPr>
          <w:rFonts w:ascii="Times New Roman" w:hAnsi="Times New Roman"/>
          <w:sz w:val="20"/>
        </w:rPr>
        <w:t xml:space="preserve">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 </w:t>
      </w:r>
    </w:p>
    <w:p>
      <w:pPr>
        <w:pStyle w:val="TextBody"/>
        <w:bidi w:val="0"/>
        <w:spacing w:before="200" w:after="0"/>
        <w:jc w:val="both"/>
        <w:rPr>
          <w:rFonts w:ascii="Times New Roman" w:hAnsi="Times New Roman"/>
          <w:sz w:val="20"/>
        </w:rPr>
      </w:pPr>
      <w:r>
        <w:rPr>
          <w:rFonts w:ascii="Times New Roman" w:hAnsi="Times New Roman"/>
          <w:sz w:val="20"/>
        </w:rPr>
        <w:t xml:space="preserve">The virtual meeting platform is fully supported across browsers (Internet Explorer, Firefox, Chrome and Safari) and devices (desktops, laptops, tablets and cell phones) running the most updated version of applicable software and plugins. You should ensure that you have a strong WiFi connection wherever you intend to participate in the meeting. You should also give yourself plenty of time to log in prior to the start of the meeting. </w:t>
      </w:r>
    </w:p>
    <w:p>
      <w:pPr>
        <w:pStyle w:val="TextBody"/>
        <w:bidi w:val="0"/>
        <w:spacing w:before="200" w:after="0"/>
        <w:jc w:val="left"/>
        <w:rPr>
          <w:rFonts w:ascii="Times New Roman" w:hAnsi="Times New Roman"/>
          <w:b/>
          <w:sz w:val="20"/>
        </w:rPr>
      </w:pPr>
      <w:r>
        <w:rPr>
          <w:rFonts w:ascii="Times New Roman" w:hAnsi="Times New Roman"/>
          <w:b/>
          <w:sz w:val="20"/>
        </w:rPr>
        <w:t xml:space="preserve">PROXY SOLICITATION </w:t>
      </w:r>
    </w:p>
    <w:p>
      <w:pPr>
        <w:pStyle w:val="TextBody"/>
        <w:bidi w:val="0"/>
        <w:spacing w:before="200" w:after="0"/>
        <w:jc w:val="both"/>
        <w:rPr>
          <w:rFonts w:ascii="Times New Roman" w:hAnsi="Times New Roman"/>
          <w:b/>
          <w:sz w:val="20"/>
        </w:rPr>
      </w:pPr>
      <w:r>
        <w:rPr>
          <w:rFonts w:ascii="Times New Roman" w:hAnsi="Times New Roman"/>
          <w:b/>
          <w:sz w:val="20"/>
        </w:rPr>
        <w:t xml:space="preserve">Our Board is soliciting your vote on matters that will be presented at the Annual Meeting and at any adjournment or postponement thereof. This Proxy Statement contains information on these matters to assist you in voting your shares. </w:t>
      </w:r>
    </w:p>
    <w:p>
      <w:pPr>
        <w:pStyle w:val="TextBody"/>
        <w:bidi w:val="0"/>
        <w:spacing w:before="200" w:after="0"/>
        <w:jc w:val="both"/>
        <w:rPr>
          <w:rFonts w:ascii="Times New Roman" w:hAnsi="Times New Roman"/>
          <w:sz w:val="20"/>
        </w:rPr>
      </w:pPr>
      <w:r>
        <w:rPr>
          <w:rFonts w:ascii="Times New Roman" w:hAnsi="Times New Roman"/>
          <w:sz w:val="20"/>
        </w:rPr>
        <w:t xml:space="preserve">This Proxy Statement and the proxy card are first being mailed to our stockholders on or about April 29, 2024. In accordance with the rules of the Securities and Exchange Commission (the SEC), we are advising our stockholders of the availability on the Internet of our proxy materials related to our 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2023 Annual Report are available to beneficial holders of our common stock at </w:t>
      </w:r>
      <w:r>
        <w:rPr>
          <w:rFonts w:ascii="Times New Roman" w:hAnsi="Times New Roman"/>
          <w:color w:val="2175FF"/>
          <w:sz w:val="20"/>
          <w:u w:val="single"/>
        </w:rPr>
        <w:t>http://www.edocumentview.com/LRMR</w:t>
      </w:r>
      <w:r>
        <w:rPr>
          <w:rFonts w:ascii="Times New Roman" w:hAnsi="Times New Roman"/>
          <w:sz w:val="20"/>
        </w:rPr>
        <w:t xml:space="preserve"> and to record holders of our common stock at </w:t>
      </w:r>
      <w:r>
        <w:rPr>
          <w:rFonts w:ascii="Times New Roman" w:hAnsi="Times New Roman"/>
          <w:color w:val="2175FF"/>
          <w:sz w:val="20"/>
          <w:u w:val="single"/>
        </w:rPr>
        <w:t>http://www.envisionreports.com/LRMR</w:t>
      </w:r>
      <w:r>
        <w:rPr>
          <w:rFonts w:ascii="Times New Roman" w:hAnsi="Times New Roman"/>
          <w:sz w:val="20"/>
        </w:rPr>
        <w:t xml:space="preserve">. </w:t>
      </w:r>
    </w:p>
    <w:p>
      <w:pPr>
        <w:pStyle w:val="TextBody"/>
        <w:bidi w:val="0"/>
        <w:spacing w:before="200" w:after="0"/>
        <w:jc w:val="left"/>
        <w:rPr>
          <w:rFonts w:ascii="Times New Roman" w:hAnsi="Times New Roman"/>
          <w:b/>
          <w:sz w:val="20"/>
        </w:rPr>
      </w:pPr>
      <w:r>
        <w:rPr>
          <w:rFonts w:ascii="Times New Roman" w:hAnsi="Times New Roman"/>
          <w:b/>
          <w:sz w:val="20"/>
        </w:rPr>
        <w:t xml:space="preserve">STOCKHOLDERS ENTITLED TO VOTE </w:t>
      </w:r>
    </w:p>
    <w:p>
      <w:pPr>
        <w:pStyle w:val="TextBody"/>
        <w:bidi w:val="0"/>
        <w:spacing w:before="200" w:after="0"/>
        <w:jc w:val="both"/>
        <w:rPr>
          <w:rFonts w:ascii="Times New Roman" w:hAnsi="Times New Roman"/>
          <w:sz w:val="20"/>
        </w:rPr>
      </w:pPr>
      <w:r>
        <w:rPr>
          <w:rFonts w:ascii="Times New Roman" w:hAnsi="Times New Roman"/>
          <w:sz w:val="20"/>
        </w:rPr>
        <w:t xml:space="preserve">All stockholders of record of our common stock at the close of business on April 1, 2024 (the Record Date) are entitled to receive the Notice and to vote their shares at the Annual Meeting. As of the Record Date, 63,800,017 shares of our common stock were outstanding. Each share is entitled to one vote on each matter properly brought to the meeting.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pPr>
            <w:r>
              <w:rPr/>
              <w:t> </w:t>
            </w:r>
          </w:p>
          <w:p>
            <w:pPr>
              <w:pStyle w:val="TableContents"/>
              <w:bidi w:val="0"/>
              <w:spacing w:before="0" w:after="20"/>
              <w:jc w:val="left"/>
              <w:rPr>
                <w:rFonts w:ascii="Times New Roman" w:hAnsi="Times New Roman"/>
                <w:sz w:val="24"/>
              </w:rPr>
            </w:pPr>
            <w:r>
              <w:rPr>
                <w:rFonts w:ascii="Times New Roman" w:hAnsi="Times New Roman"/>
                <w:b/>
                <w:sz w:val="24"/>
              </w:rPr>
              <w:t>GENERAL INFORMATION ABOUT THE MEETING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VOTING METHODS </w:t>
      </w:r>
    </w:p>
    <w:p>
      <w:pPr>
        <w:pStyle w:val="TextBody"/>
        <w:bidi w:val="0"/>
        <w:spacing w:before="200" w:after="0"/>
        <w:jc w:val="left"/>
        <w:rPr>
          <w:rFonts w:ascii="Times New Roman" w:hAnsi="Times New Roman"/>
          <w:sz w:val="20"/>
        </w:rPr>
      </w:pPr>
      <w:r>
        <w:rPr>
          <w:rFonts w:ascii="Times New Roman" w:hAnsi="Times New Roman"/>
          <w:sz w:val="20"/>
        </w:rPr>
        <w:t xml:space="preserve">You may cast your vote in any of the following ways: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19"/>
        <w:gridCol w:w="86"/>
        <w:gridCol w:w="260"/>
        <w:gridCol w:w="86"/>
        <w:gridCol w:w="2439"/>
        <w:gridCol w:w="86"/>
        <w:gridCol w:w="260"/>
        <w:gridCol w:w="86"/>
        <w:gridCol w:w="2024"/>
        <w:gridCol w:w="86"/>
        <w:gridCol w:w="260"/>
        <w:gridCol w:w="60"/>
        <w:gridCol w:w="2753"/>
      </w:tblGrid>
      <w:tr>
        <w:trPr/>
        <w:tc>
          <w:tcPr>
            <w:tcW w:w="1719"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1719" w:type="dxa"/>
            <w:tcBorders/>
            <w:vAlign w:val="bottom"/>
          </w:tcPr>
          <w:p>
            <w:pPr>
              <w:pStyle w:val="TableContents"/>
              <w:bidi w:val="0"/>
              <w:spacing w:before="0" w:after="0"/>
              <w:jc w:val="center"/>
              <w:rPr/>
            </w:pPr>
            <w:r>
              <w:rPr/>
              <w:drawing>
                <wp:inline distT="0" distB="0" distL="0" distR="0">
                  <wp:extent cx="45085" cy="4254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5085" cy="42545"/>
                          </a:xfrm>
                          <a:prstGeom prst="rect">
                            <a:avLst/>
                          </a:prstGeom>
                        </pic:spPr>
                      </pic:pic>
                    </a:graphicData>
                  </a:graphic>
                </wp:inline>
              </w:drawing>
            </w:r>
            <w:r>
              <w:rPr/>
              <w:t xml:space="preserve"> </w:t>
            </w:r>
          </w:p>
          <w:p>
            <w:pPr>
              <w:pStyle w:val="TableContents"/>
              <w:bidi w:val="0"/>
              <w:spacing w:before="0" w:after="20"/>
              <w:jc w:val="left"/>
              <w:rPr/>
            </w:pPr>
            <w:r>
              <w:rPr/>
              <w:t> </w:t>
            </w:r>
          </w:p>
        </w:tc>
        <w:tc>
          <w:tcPr>
            <w:tcW w:w="8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2439" w:type="dxa"/>
            <w:tcBorders/>
            <w:vAlign w:val="bottom"/>
          </w:tcPr>
          <w:p>
            <w:pPr>
              <w:pStyle w:val="TableContents"/>
              <w:bidi w:val="0"/>
              <w:spacing w:before="0" w:after="0"/>
              <w:jc w:val="center"/>
              <w:rPr/>
            </w:pPr>
            <w:r>
              <w:rPr/>
              <w:drawing>
                <wp:inline distT="0" distB="0" distL="0" distR="0">
                  <wp:extent cx="55245" cy="412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5245" cy="41275"/>
                          </a:xfrm>
                          <a:prstGeom prst="rect">
                            <a:avLst/>
                          </a:prstGeom>
                        </pic:spPr>
                      </pic:pic>
                    </a:graphicData>
                  </a:graphic>
                </wp:inline>
              </w:drawing>
            </w:r>
            <w:r>
              <w:rPr/>
              <w:t xml:space="preserve"> </w:t>
            </w:r>
          </w:p>
          <w:p>
            <w:pPr>
              <w:pStyle w:val="TableContents"/>
              <w:bidi w:val="0"/>
              <w:spacing w:before="0" w:after="20"/>
              <w:jc w:val="left"/>
              <w:rPr/>
            </w:pPr>
            <w:r>
              <w:rPr/>
              <w:t> </w:t>
            </w:r>
          </w:p>
        </w:tc>
        <w:tc>
          <w:tcPr>
            <w:tcW w:w="8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pPr>
            <w:r>
              <w:rPr/>
              <w:t> </w:t>
            </w:r>
          </w:p>
        </w:tc>
        <w:tc>
          <w:tcPr>
            <w:tcW w:w="2024" w:type="dxa"/>
            <w:tcBorders/>
            <w:vAlign w:val="bottom"/>
          </w:tcPr>
          <w:p>
            <w:pPr>
              <w:pStyle w:val="TableContents"/>
              <w:bidi w:val="0"/>
              <w:jc w:val="center"/>
              <w:rPr/>
            </w:pPr>
            <w:r>
              <w:rPr/>
              <w:drawing>
                <wp:inline distT="0" distB="0" distL="0" distR="0">
                  <wp:extent cx="45085" cy="381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5085" cy="38100"/>
                          </a:xfrm>
                          <a:prstGeom prst="rect">
                            <a:avLst/>
                          </a:prstGeom>
                        </pic:spPr>
                      </pic:pic>
                    </a:graphicData>
                  </a:graphic>
                </wp:inline>
              </w:drawing>
            </w:r>
            <w:r>
              <w:rPr/>
              <w:t xml:space="preserve"> </w:t>
            </w:r>
          </w:p>
          <w:p>
            <w:pPr>
              <w:pStyle w:val="TableContents"/>
              <w:bidi w:val="0"/>
              <w:spacing w:before="0" w:after="20"/>
              <w:jc w:val="left"/>
              <w:rPr/>
            </w:pPr>
            <w:r>
              <w:rPr/>
              <w:t> </w:t>
            </w:r>
          </w:p>
        </w:tc>
        <w:tc>
          <w:tcPr>
            <w:tcW w:w="8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53" w:type="dxa"/>
            <w:tcBorders/>
            <w:vAlign w:val="bottom"/>
          </w:tcPr>
          <w:p>
            <w:pPr>
              <w:pStyle w:val="TableContents"/>
              <w:bidi w:val="0"/>
              <w:spacing w:before="0" w:after="0"/>
              <w:jc w:val="center"/>
              <w:rPr/>
            </w:pPr>
            <w:r>
              <w:rPr/>
              <w:drawing>
                <wp:inline distT="0" distB="0" distL="0" distR="0">
                  <wp:extent cx="57150" cy="3683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150" cy="3683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1719" w:type="dxa"/>
            <w:tcBorders/>
            <w:shd w:fill="4DC1E4" w:val="clear"/>
            <w:vAlign w:val="bottom"/>
          </w:tcPr>
          <w:p>
            <w:pPr>
              <w:pStyle w:val="TableContents"/>
              <w:bidi w:val="0"/>
              <w:spacing w:before="0" w:after="0"/>
              <w:jc w:val="left"/>
              <w:rPr/>
            </w:pPr>
            <w:r>
              <w:rPr/>
              <w:t> </w:t>
            </w:r>
          </w:p>
          <w:p>
            <w:pPr>
              <w:pStyle w:val="TableContents"/>
              <w:bidi w:val="0"/>
              <w:spacing w:before="0" w:after="0"/>
              <w:jc w:val="center"/>
              <w:rPr>
                <w:rFonts w:ascii="Times New Roman" w:hAnsi="Times New Roman"/>
                <w:b/>
                <w:sz w:val="18"/>
              </w:rPr>
            </w:pPr>
            <w:r>
              <w:rPr>
                <w:rFonts w:ascii="Times New Roman" w:hAnsi="Times New Roman"/>
                <w:b/>
                <w:sz w:val="18"/>
              </w:rPr>
              <w:t>MAIL</w:t>
            </w:r>
          </w:p>
          <w:p>
            <w:pPr>
              <w:pStyle w:val="TableContents"/>
              <w:bidi w:val="0"/>
              <w:spacing w:before="0" w:after="20"/>
              <w:jc w:val="left"/>
              <w:rPr/>
            </w:pPr>
            <w:r>
              <w:rPr/>
              <w:t> </w:t>
            </w:r>
          </w:p>
        </w:tc>
        <w:tc>
          <w:tcPr>
            <w:tcW w:w="8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center"/>
              <w:rPr/>
            </w:pPr>
            <w:r>
              <w:rPr/>
              <w:t> </w:t>
            </w:r>
          </w:p>
        </w:tc>
        <w:tc>
          <w:tcPr>
            <w:tcW w:w="86" w:type="dxa"/>
            <w:tcBorders/>
            <w:shd w:fill="4DC1E4" w:val="clear"/>
            <w:vAlign w:val="bottom"/>
          </w:tcPr>
          <w:p>
            <w:pPr>
              <w:pStyle w:val="TableContents"/>
              <w:bidi w:val="0"/>
              <w:spacing w:before="0" w:after="283"/>
              <w:jc w:val="left"/>
              <w:rPr/>
            </w:pPr>
            <w:r>
              <w:rPr/>
              <w:t> </w:t>
            </w:r>
          </w:p>
        </w:tc>
        <w:tc>
          <w:tcPr>
            <w:tcW w:w="2439" w:type="dxa"/>
            <w:tcBorders/>
            <w:shd w:fill="4DC1E4" w:val="clear"/>
            <w:vAlign w:val="bottom"/>
          </w:tcPr>
          <w:p>
            <w:pPr>
              <w:pStyle w:val="TableContents"/>
              <w:bidi w:val="0"/>
              <w:spacing w:before="0" w:after="0"/>
              <w:jc w:val="left"/>
              <w:rPr/>
            </w:pPr>
            <w:r>
              <w:rPr/>
              <w:t> </w:t>
            </w:r>
          </w:p>
          <w:p>
            <w:pPr>
              <w:pStyle w:val="TableContents"/>
              <w:bidi w:val="0"/>
              <w:spacing w:before="0" w:after="0"/>
              <w:jc w:val="center"/>
              <w:rPr>
                <w:rFonts w:ascii="Times New Roman" w:hAnsi="Times New Roman"/>
                <w:b/>
                <w:sz w:val="18"/>
              </w:rPr>
            </w:pPr>
            <w:r>
              <w:rPr>
                <w:rFonts w:ascii="Times New Roman" w:hAnsi="Times New Roman"/>
                <w:b/>
                <w:sz w:val="18"/>
              </w:rPr>
              <w:t>INTERNET</w:t>
            </w:r>
          </w:p>
          <w:p>
            <w:pPr>
              <w:pStyle w:val="TableContents"/>
              <w:bidi w:val="0"/>
              <w:spacing w:before="0" w:after="20"/>
              <w:jc w:val="left"/>
              <w:rPr/>
            </w:pPr>
            <w:r>
              <w:rPr/>
              <w:t> </w:t>
            </w:r>
          </w:p>
        </w:tc>
        <w:tc>
          <w:tcPr>
            <w:tcW w:w="8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center"/>
              <w:rPr/>
            </w:pPr>
            <w:r>
              <w:rPr/>
              <w:t> </w:t>
            </w:r>
          </w:p>
        </w:tc>
        <w:tc>
          <w:tcPr>
            <w:tcW w:w="86" w:type="dxa"/>
            <w:tcBorders/>
            <w:shd w:fill="4DC1E4" w:val="clear"/>
            <w:vAlign w:val="bottom"/>
          </w:tcPr>
          <w:p>
            <w:pPr>
              <w:pStyle w:val="TableContents"/>
              <w:bidi w:val="0"/>
              <w:spacing w:before="0" w:after="283"/>
              <w:jc w:val="left"/>
              <w:rPr/>
            </w:pPr>
            <w:r>
              <w:rPr/>
              <w:t> </w:t>
            </w:r>
          </w:p>
        </w:tc>
        <w:tc>
          <w:tcPr>
            <w:tcW w:w="2024" w:type="dxa"/>
            <w:tcBorders/>
            <w:shd w:fill="4DC1E4" w:val="clear"/>
            <w:vAlign w:val="bottom"/>
          </w:tcPr>
          <w:p>
            <w:pPr>
              <w:pStyle w:val="TableContents"/>
              <w:bidi w:val="0"/>
              <w:spacing w:before="0" w:after="0"/>
              <w:jc w:val="left"/>
              <w:rPr/>
            </w:pPr>
            <w:r>
              <w:rPr/>
              <w:t> </w:t>
            </w:r>
          </w:p>
          <w:p>
            <w:pPr>
              <w:pStyle w:val="TableContents"/>
              <w:bidi w:val="0"/>
              <w:spacing w:before="0" w:after="0"/>
              <w:jc w:val="center"/>
              <w:rPr>
                <w:rFonts w:ascii="Times New Roman" w:hAnsi="Times New Roman"/>
                <w:b/>
                <w:sz w:val="18"/>
              </w:rPr>
            </w:pPr>
            <w:r>
              <w:rPr>
                <w:rFonts w:ascii="Times New Roman" w:hAnsi="Times New Roman"/>
                <w:b/>
                <w:sz w:val="18"/>
              </w:rPr>
              <w:t>PHONE</w:t>
            </w:r>
          </w:p>
          <w:p>
            <w:pPr>
              <w:pStyle w:val="TableContents"/>
              <w:bidi w:val="0"/>
              <w:spacing w:before="0" w:after="20"/>
              <w:jc w:val="left"/>
              <w:rPr/>
            </w:pPr>
            <w:r>
              <w:rPr/>
              <w:t> </w:t>
            </w:r>
          </w:p>
        </w:tc>
        <w:tc>
          <w:tcPr>
            <w:tcW w:w="8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center"/>
              <w:rPr/>
            </w:pPr>
            <w:r>
              <w:rPr/>
              <w:t> </w:t>
            </w:r>
          </w:p>
        </w:tc>
        <w:tc>
          <w:tcPr>
            <w:tcW w:w="60" w:type="dxa"/>
            <w:tcBorders/>
            <w:shd w:fill="4DC1E4" w:val="clear"/>
            <w:vAlign w:val="bottom"/>
          </w:tcPr>
          <w:p>
            <w:pPr>
              <w:pStyle w:val="TableContents"/>
              <w:bidi w:val="0"/>
              <w:spacing w:before="0" w:after="283"/>
              <w:jc w:val="left"/>
              <w:rPr/>
            </w:pPr>
            <w:r>
              <w:rPr/>
              <w:t> </w:t>
            </w:r>
          </w:p>
        </w:tc>
        <w:tc>
          <w:tcPr>
            <w:tcW w:w="2753" w:type="dxa"/>
            <w:tcBorders/>
            <w:shd w:fill="4DC1E4" w:val="clear"/>
            <w:vAlign w:val="bottom"/>
          </w:tcPr>
          <w:p>
            <w:pPr>
              <w:pStyle w:val="TableContents"/>
              <w:bidi w:val="0"/>
              <w:spacing w:before="0" w:after="0"/>
              <w:jc w:val="left"/>
              <w:rPr/>
            </w:pPr>
            <w:r>
              <w:rPr/>
              <w:t> </w:t>
            </w:r>
          </w:p>
          <w:p>
            <w:pPr>
              <w:pStyle w:val="TableContents"/>
              <w:bidi w:val="0"/>
              <w:spacing w:before="0" w:after="0"/>
              <w:jc w:val="center"/>
              <w:rPr>
                <w:rFonts w:ascii="Times New Roman" w:hAnsi="Times New Roman"/>
                <w:b/>
                <w:sz w:val="18"/>
              </w:rPr>
            </w:pPr>
            <w:r>
              <w:rPr>
                <w:rFonts w:ascii="Times New Roman" w:hAnsi="Times New Roman"/>
                <w:b/>
                <w:sz w:val="18"/>
              </w:rPr>
              <w:t>ONLINE AT THE MEETING</w:t>
            </w:r>
          </w:p>
          <w:p>
            <w:pPr>
              <w:pStyle w:val="TableContents"/>
              <w:bidi w:val="0"/>
              <w:spacing w:before="0" w:after="20"/>
              <w:jc w:val="left"/>
              <w:rPr/>
            </w:pPr>
            <w:r>
              <w:rPr/>
              <w:t> </w:t>
            </w:r>
          </w:p>
        </w:tc>
      </w:tr>
      <w:tr>
        <w:trPr/>
        <w:tc>
          <w:tcPr>
            <w:tcW w:w="1719" w:type="dxa"/>
            <w:tcBorders/>
            <w:shd w:fill="F2F2F2" w:val="clear"/>
          </w:tcPr>
          <w:p>
            <w:pPr>
              <w:pStyle w:val="TableContents"/>
              <w:bidi w:val="0"/>
              <w:spacing w:before="0" w:after="0"/>
              <w:jc w:val="center"/>
              <w:rPr/>
            </w:pPr>
            <w:r>
              <w:rPr/>
              <w:t> </w:t>
            </w:r>
            <w:r>
              <w:rPr>
                <w:rFonts w:ascii="Times New Roman" w:hAnsi="Times New Roman"/>
                <w:sz w:val="16"/>
              </w:rPr>
              <w:t>Mailing your signed </w:t>
            </w:r>
          </w:p>
          <w:p>
            <w:pPr>
              <w:pStyle w:val="TableContents"/>
              <w:bidi w:val="0"/>
              <w:spacing w:before="0" w:after="0"/>
              <w:jc w:val="center"/>
              <w:rPr>
                <w:rFonts w:ascii="Times New Roman" w:hAnsi="Times New Roman"/>
                <w:sz w:val="16"/>
              </w:rPr>
            </w:pPr>
            <w:r>
              <w:rPr>
                <w:rFonts w:ascii="Times New Roman" w:hAnsi="Times New Roman"/>
                <w:sz w:val="16"/>
              </w:rPr>
              <w:t>proxy card or voter</w:t>
            </w:r>
          </w:p>
          <w:p>
            <w:pPr>
              <w:pStyle w:val="TableContents"/>
              <w:bidi w:val="0"/>
              <w:spacing w:before="0" w:after="20"/>
              <w:jc w:val="center"/>
              <w:rPr>
                <w:rFonts w:ascii="Times New Roman" w:hAnsi="Times New Roman"/>
                <w:sz w:val="16"/>
              </w:rPr>
            </w:pPr>
            <w:r>
              <w:rPr>
                <w:rFonts w:ascii="Times New Roman" w:hAnsi="Times New Roman"/>
                <w:sz w:val="16"/>
              </w:rPr>
              <w:t>instruction card.</w:t>
            </w:r>
          </w:p>
        </w:tc>
        <w:tc>
          <w:tcPr>
            <w:tcW w:w="86"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86" w:type="dxa"/>
            <w:tcBorders/>
            <w:shd w:fill="F2F2F2" w:val="clear"/>
            <w:vAlign w:val="bottom"/>
          </w:tcPr>
          <w:p>
            <w:pPr>
              <w:pStyle w:val="TableContents"/>
              <w:bidi w:val="0"/>
              <w:spacing w:before="0" w:after="283"/>
              <w:jc w:val="left"/>
              <w:rPr/>
            </w:pPr>
            <w:r>
              <w:rPr/>
              <w:t> </w:t>
            </w:r>
          </w:p>
        </w:tc>
        <w:tc>
          <w:tcPr>
            <w:tcW w:w="2439" w:type="dxa"/>
            <w:tcBorders/>
            <w:shd w:fill="F2F2F2" w:val="clear"/>
          </w:tcPr>
          <w:p>
            <w:pPr>
              <w:pStyle w:val="TableContents"/>
              <w:bidi w:val="0"/>
              <w:spacing w:before="0" w:after="283"/>
              <w:jc w:val="center"/>
              <w:rPr/>
            </w:pPr>
            <w:r>
              <w:rPr>
                <w:sz w:val="16"/>
              </w:rPr>
              <w:t>Using the Internet at  </w:t>
            </w:r>
            <w:r>
              <w:rPr>
                <w:color w:val="2B7CF4"/>
                <w:sz w:val="16"/>
                <w:u w:val="single"/>
              </w:rPr>
              <w:t>www.envisionreports.com/LRMR</w:t>
            </w:r>
            <w:r>
              <w:rPr/>
              <w:t> </w:t>
            </w:r>
          </w:p>
        </w:tc>
        <w:tc>
          <w:tcPr>
            <w:tcW w:w="86"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86" w:type="dxa"/>
            <w:tcBorders/>
            <w:shd w:fill="F2F2F2" w:val="clear"/>
            <w:vAlign w:val="bottom"/>
          </w:tcPr>
          <w:p>
            <w:pPr>
              <w:pStyle w:val="TableContents"/>
              <w:bidi w:val="0"/>
              <w:spacing w:before="0" w:after="283"/>
              <w:jc w:val="left"/>
              <w:rPr/>
            </w:pPr>
            <w:r>
              <w:rPr/>
              <w:t> </w:t>
            </w:r>
          </w:p>
        </w:tc>
        <w:tc>
          <w:tcPr>
            <w:tcW w:w="2024" w:type="dxa"/>
            <w:tcBorders/>
            <w:shd w:fill="F2F2F2" w:val="clear"/>
          </w:tcPr>
          <w:p>
            <w:pPr>
              <w:pStyle w:val="TableContents"/>
              <w:bidi w:val="0"/>
              <w:jc w:val="center"/>
              <w:rPr/>
            </w:pPr>
            <w:r>
              <w:rPr/>
              <w:t> </w:t>
            </w:r>
            <w:r>
              <w:rPr>
                <w:sz w:val="16"/>
              </w:rPr>
              <w:t>Calling toll-free from the </w:t>
            </w:r>
          </w:p>
          <w:p>
            <w:pPr>
              <w:pStyle w:val="TableContents"/>
              <w:bidi w:val="0"/>
              <w:spacing w:before="0" w:after="0"/>
              <w:jc w:val="center"/>
              <w:rPr>
                <w:rFonts w:ascii="Times New Roman" w:hAnsi="Times New Roman"/>
                <w:sz w:val="16"/>
              </w:rPr>
            </w:pPr>
            <w:r>
              <w:rPr>
                <w:rFonts w:ascii="Times New Roman" w:hAnsi="Times New Roman"/>
                <w:sz w:val="16"/>
              </w:rPr>
              <w:t>United States, U.S.</w:t>
            </w:r>
          </w:p>
          <w:p>
            <w:pPr>
              <w:pStyle w:val="TableContents"/>
              <w:bidi w:val="0"/>
              <w:spacing w:before="0" w:after="0"/>
              <w:jc w:val="center"/>
              <w:rPr>
                <w:rFonts w:ascii="Times New Roman" w:hAnsi="Times New Roman"/>
                <w:sz w:val="16"/>
              </w:rPr>
            </w:pPr>
            <w:r>
              <w:rPr>
                <w:rFonts w:ascii="Times New Roman" w:hAnsi="Times New Roman"/>
                <w:sz w:val="16"/>
              </w:rPr>
              <w:t>territories and</w:t>
            </w:r>
          </w:p>
          <w:p>
            <w:pPr>
              <w:pStyle w:val="TableContents"/>
              <w:bidi w:val="0"/>
              <w:spacing w:before="0" w:after="0"/>
              <w:jc w:val="center"/>
              <w:rPr>
                <w:rFonts w:ascii="Times New Roman" w:hAnsi="Times New Roman"/>
                <w:sz w:val="16"/>
              </w:rPr>
            </w:pPr>
            <w:r>
              <w:rPr>
                <w:rFonts w:ascii="Times New Roman" w:hAnsi="Times New Roman"/>
                <w:sz w:val="16"/>
              </w:rPr>
              <w:t>Canada to</w:t>
            </w:r>
          </w:p>
          <w:p>
            <w:pPr>
              <w:pStyle w:val="TableContents"/>
              <w:bidi w:val="0"/>
              <w:spacing w:before="0" w:after="0"/>
              <w:jc w:val="center"/>
              <w:rPr>
                <w:rFonts w:ascii="Times New Roman" w:hAnsi="Times New Roman"/>
                <w:sz w:val="16"/>
              </w:rPr>
            </w:pPr>
            <w:r>
              <w:rPr>
                <w:rFonts w:ascii="Times New Roman" w:hAnsi="Times New Roman"/>
                <w:sz w:val="16"/>
              </w:rPr>
              <w:t>1-800-652-8683</w:t>
            </w:r>
          </w:p>
          <w:p>
            <w:pPr>
              <w:pStyle w:val="TableContents"/>
              <w:bidi w:val="0"/>
              <w:spacing w:before="0" w:after="20"/>
              <w:jc w:val="left"/>
              <w:rPr/>
            </w:pPr>
            <w:r>
              <w:rPr/>
              <w:t> </w:t>
            </w:r>
          </w:p>
        </w:tc>
        <w:tc>
          <w:tcPr>
            <w:tcW w:w="86" w:type="dxa"/>
            <w:tcBorders/>
            <w:vAlign w:val="bottom"/>
          </w:tcPr>
          <w:p>
            <w:pPr>
              <w:pStyle w:val="TableContents"/>
              <w:bidi w:val="0"/>
              <w:spacing w:before="0" w:after="283"/>
              <w:jc w:val="left"/>
              <w:rPr/>
            </w:pPr>
            <w:r>
              <w:rPr/>
              <w:t> </w:t>
            </w:r>
          </w:p>
        </w:tc>
        <w:tc>
          <w:tcPr>
            <w:tcW w:w="260" w:type="dxa"/>
            <w:tcBorders/>
          </w:tcPr>
          <w:p>
            <w:pPr>
              <w:pStyle w:val="TableContents"/>
              <w:bidi w:val="0"/>
              <w:spacing w:before="0" w:after="283"/>
              <w:jc w:val="left"/>
              <w:rPr>
                <w:sz w:val="4"/>
                <w:szCs w:val="4"/>
              </w:rPr>
            </w:pPr>
            <w:r>
              <w:rPr>
                <w:sz w:val="4"/>
                <w:szCs w:val="4"/>
              </w:rPr>
            </w:r>
          </w:p>
        </w:tc>
        <w:tc>
          <w:tcPr>
            <w:tcW w:w="60" w:type="dxa"/>
            <w:tcBorders/>
            <w:shd w:fill="F2F2F2" w:val="clear"/>
            <w:vAlign w:val="bottom"/>
          </w:tcPr>
          <w:p>
            <w:pPr>
              <w:pStyle w:val="TableContents"/>
              <w:bidi w:val="0"/>
              <w:spacing w:before="0" w:after="283"/>
              <w:jc w:val="left"/>
              <w:rPr/>
            </w:pPr>
            <w:r>
              <w:rPr/>
              <w:t> </w:t>
            </w:r>
          </w:p>
        </w:tc>
        <w:tc>
          <w:tcPr>
            <w:tcW w:w="2753" w:type="dxa"/>
            <w:tcBorders/>
            <w:shd w:fill="F2F2F2" w:val="clear"/>
          </w:tcPr>
          <w:p>
            <w:pPr>
              <w:pStyle w:val="TableContents"/>
              <w:bidi w:val="0"/>
              <w:spacing w:before="0" w:after="0"/>
              <w:jc w:val="center"/>
              <w:rPr>
                <w:rFonts w:ascii="Times New Roman" w:hAnsi="Times New Roman"/>
                <w:sz w:val="16"/>
              </w:rPr>
            </w:pPr>
            <w:r>
              <w:rPr>
                <w:rFonts w:ascii="Times New Roman" w:hAnsi="Times New Roman"/>
                <w:sz w:val="16"/>
              </w:rPr>
              <w:t>You can vote at the meeting at</w:t>
            </w:r>
          </w:p>
          <w:p>
            <w:pPr>
              <w:pStyle w:val="TableContents"/>
              <w:bidi w:val="0"/>
              <w:spacing w:before="0" w:after="20"/>
              <w:jc w:val="center"/>
              <w:rPr>
                <w:rFonts w:ascii="Times New Roman" w:hAnsi="Times New Roman"/>
                <w:sz w:val="16"/>
                <w:u w:val="single"/>
              </w:rPr>
            </w:pPr>
            <w:r>
              <w:rPr>
                <w:rFonts w:ascii="Times New Roman" w:hAnsi="Times New Roman"/>
                <w:sz w:val="16"/>
                <w:u w:val="single"/>
              </w:rPr>
              <w:t>meetnow.global/MN99LW9</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HOW YOUR SHARES WILL BE VOTED </w:t>
      </w:r>
    </w:p>
    <w:p>
      <w:pPr>
        <w:pStyle w:val="TextBody"/>
        <w:bidi w:val="0"/>
        <w:spacing w:before="200" w:after="0"/>
        <w:jc w:val="left"/>
        <w:rPr>
          <w:rFonts w:ascii="Times New Roman" w:hAnsi="Times New Roman"/>
          <w:sz w:val="20"/>
        </w:rPr>
      </w:pPr>
      <w:r>
        <w:rPr>
          <w:rFonts w:ascii="Times New Roman" w:hAnsi="Times New Roman"/>
          <w:sz w:val="20"/>
        </w:rPr>
        <w:t xml:space="preserve">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101"/>
        <w:gridCol w:w="8780"/>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Vote over the Internet or by telephone as instructed above. Only your latest Internet or telephone vote is counted. You may not revoke or change your vote over the Internet or by telephone after 11:59 p.m., Eastern Time, on May 28, 2024. </w:t>
            </w:r>
          </w:p>
        </w:tc>
      </w:tr>
    </w:tbl>
    <w:tbl>
      <w:tblPr>
        <w:tblW w:w="5000" w:type="pct"/>
        <w:jc w:val="left"/>
        <w:tblInd w:w="0" w:type="dxa"/>
        <w:tblLayout w:type="fixed"/>
        <w:tblCellMar>
          <w:top w:w="0" w:type="dxa"/>
          <w:left w:w="0" w:type="dxa"/>
          <w:bottom w:w="0" w:type="dxa"/>
          <w:right w:w="0" w:type="dxa"/>
        </w:tblCellMar>
      </w:tblPr>
      <w:tblGrid>
        <w:gridCol w:w="714"/>
        <w:gridCol w:w="612"/>
        <w:gridCol w:w="102"/>
        <w:gridCol w:w="8777"/>
      </w:tblGrid>
      <w:tr>
        <w:trPr/>
        <w:tc>
          <w:tcPr>
            <w:tcW w:w="714"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 a new proxy card and submit it by mail, which must be received no later than May 28, 2024. Only your latest dated proxy card will be counted. </w:t>
            </w:r>
          </w:p>
        </w:tc>
      </w:tr>
    </w:tbl>
    <w:tbl>
      <w:tblPr>
        <w:tblW w:w="5000" w:type="pct"/>
        <w:jc w:val="left"/>
        <w:tblInd w:w="0" w:type="dxa"/>
        <w:tblLayout w:type="fixed"/>
        <w:tblCellMar>
          <w:top w:w="0" w:type="dxa"/>
          <w:left w:w="0" w:type="dxa"/>
          <w:bottom w:w="0" w:type="dxa"/>
          <w:right w:w="0" w:type="dxa"/>
        </w:tblCellMar>
      </w:tblPr>
      <w:tblGrid>
        <w:gridCol w:w="714"/>
        <w:gridCol w:w="612"/>
        <w:gridCol w:w="101"/>
        <w:gridCol w:w="8778"/>
      </w:tblGrid>
      <w:tr>
        <w:trPr/>
        <w:tc>
          <w:tcPr>
            <w:tcW w:w="714"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Give our Secretary written notice before or during the meeting that you want to revoke your proxy. </w:t>
            </w:r>
          </w:p>
        </w:tc>
      </w:tr>
    </w:tbl>
    <w:tbl>
      <w:tblPr>
        <w:tblW w:w="5000" w:type="pct"/>
        <w:jc w:val="left"/>
        <w:tblInd w:w="0" w:type="dxa"/>
        <w:tblLayout w:type="fixed"/>
        <w:tblCellMar>
          <w:top w:w="0" w:type="dxa"/>
          <w:left w:w="0" w:type="dxa"/>
          <w:bottom w:w="0" w:type="dxa"/>
          <w:right w:w="0" w:type="dxa"/>
        </w:tblCellMar>
      </w:tblPr>
      <w:tblGrid>
        <w:gridCol w:w="713"/>
        <w:gridCol w:w="611"/>
        <w:gridCol w:w="102"/>
        <w:gridCol w:w="8779"/>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Virtually attend the Annual Meeting at </w:t>
            </w:r>
            <w:r>
              <w:rPr>
                <w:rFonts w:ascii="Times New Roman" w:hAnsi="Times New Roman"/>
                <w:sz w:val="20"/>
                <w:u w:val="single"/>
              </w:rPr>
              <w:t>meetnow.global/MN99LW9</w:t>
            </w:r>
            <w:r>
              <w:rPr>
                <w:rFonts w:ascii="Times New Roman" w:hAnsi="Times New Roman"/>
                <w:sz w:val="20"/>
              </w:rPr>
              <w:t xml:space="preserve">. Virtually attending the Annual Meeting will not by itself revoke a previously granted proxy. </w:t>
            </w:r>
          </w:p>
        </w:tc>
      </w:tr>
    </w:tbl>
    <w:p>
      <w:pPr>
        <w:pStyle w:val="TextBody"/>
        <w:bidi w:val="0"/>
        <w:spacing w:before="200" w:after="0"/>
        <w:jc w:val="both"/>
        <w:rPr>
          <w:rFonts w:ascii="Times New Roman" w:hAnsi="Times New Roman"/>
          <w:sz w:val="20"/>
        </w:rPr>
      </w:pPr>
      <w:r>
        <w:rPr>
          <w:rFonts w:ascii="Times New Roman" w:hAnsi="Times New Roman"/>
          <w:sz w:val="20"/>
        </w:rPr>
        <w:t xml:space="preserve">If your shares are held by your broker, bank or other holder of record as a nominee or agent (i.e., the shares are held in street name), and you wish to vote at the Annual Meeting, you should follow the instructions provided by your broker, bank or other holder of record in order to obtain a proxy form from the institution that holds your shares. </w:t>
      </w:r>
    </w:p>
    <w:p>
      <w:pPr>
        <w:pStyle w:val="TextBody"/>
        <w:bidi w:val="0"/>
        <w:spacing w:before="200" w:after="0"/>
        <w:jc w:val="both"/>
        <w:rPr>
          <w:rFonts w:ascii="Times New Roman" w:hAnsi="Times New Roman"/>
          <w:sz w:val="20"/>
        </w:rPr>
      </w:pPr>
      <w:r>
        <w:rPr>
          <w:rFonts w:ascii="Times New Roman" w:hAnsi="Times New Roman"/>
          <w:sz w:val="20"/>
        </w:rPr>
        <w:t xml:space="preserve">Deadline for Voting. The deadline for voting by telephone or Internet, other than by virtually attending the Annual Meeting, is 11:59 p.m. Eastern Time on May 28, 2024. If you are a registered stockholder and virtually attend the Annual Meeting, you may deliver your vote online during the Annual Meeting. </w:t>
      </w:r>
    </w:p>
    <w:p>
      <w:pPr>
        <w:pStyle w:val="TextBody"/>
        <w:bidi w:val="0"/>
        <w:spacing w:before="200" w:after="0"/>
        <w:jc w:val="left"/>
        <w:rPr>
          <w:rFonts w:ascii="Times New Roman" w:hAnsi="Times New Roman"/>
          <w:b/>
          <w:sz w:val="20"/>
        </w:rPr>
      </w:pPr>
      <w:r>
        <w:rPr>
          <w:rFonts w:ascii="Times New Roman" w:hAnsi="Times New Roman"/>
          <w:b/>
          <w:sz w:val="20"/>
        </w:rPr>
        <w:t xml:space="preserve">BROKER VOTING AND VOTES REQUIRED FOR EACH PROPOSAL </w:t>
      </w:r>
    </w:p>
    <w:p>
      <w:pPr>
        <w:pStyle w:val="TextBody"/>
        <w:bidi w:val="0"/>
        <w:spacing w:before="200" w:after="0"/>
        <w:jc w:val="both"/>
        <w:rPr>
          <w:rFonts w:ascii="Times New Roman" w:hAnsi="Times New Roman"/>
          <w:sz w:val="20"/>
        </w:rPr>
      </w:pPr>
      <w:r>
        <w:rPr>
          <w:rFonts w:ascii="Times New Roman" w:hAnsi="Times New Roman"/>
          <w:sz w:val="20"/>
        </w:rPr>
        <w:t xml:space="preserve">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pPr>
            <w:r>
              <w:rPr/>
              <w:t> </w:t>
            </w:r>
          </w:p>
          <w:p>
            <w:pPr>
              <w:pStyle w:val="TableContents"/>
              <w:bidi w:val="0"/>
              <w:spacing w:before="0" w:after="20"/>
              <w:jc w:val="left"/>
              <w:rPr>
                <w:rFonts w:ascii="Times New Roman" w:hAnsi="Times New Roman"/>
                <w:sz w:val="24"/>
              </w:rPr>
            </w:pPr>
            <w:r>
              <w:rPr>
                <w:rFonts w:ascii="Times New Roman" w:hAnsi="Times New Roman"/>
                <w:b/>
                <w:sz w:val="24"/>
              </w:rPr>
              <w:t>GENERAL INFORMATION ABOUT THE MEETING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broker non-votes and abstentions are treated with respect to our proposals: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89"/>
        <w:gridCol w:w="251"/>
        <w:gridCol w:w="2394"/>
        <w:gridCol w:w="251"/>
        <w:gridCol w:w="2178"/>
        <w:gridCol w:w="215"/>
        <w:gridCol w:w="1227"/>
      </w:tblGrid>
      <w:tr>
        <w:trPr/>
        <w:tc>
          <w:tcPr>
            <w:tcW w:w="3689"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51" w:type="dxa"/>
            <w:tcBorders/>
            <w:vAlign w:val="bottom"/>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r>
      <w:tr>
        <w:trPr/>
        <w:tc>
          <w:tcPr>
            <w:tcW w:w="3689" w:type="dxa"/>
            <w:tcBorders>
              <w:top w:val="single" w:sz="2" w:space="0" w:color="000000"/>
              <w:left w:val="single" w:sz="2" w:space="0" w:color="000000"/>
              <w:bottom w:val="single" w:sz="2" w:space="0" w:color="000000"/>
            </w:tcBorders>
            <w:shd w:fill="4DC1E4" w:val="clear"/>
            <w:tcMar>
              <w:top w:w="28" w:type="dxa"/>
              <w:left w:w="160" w:type="dxa"/>
              <w:bottom w:w="28" w:type="dxa"/>
            </w:tcMar>
            <w:vAlign w:val="bottom"/>
          </w:tcPr>
          <w:p>
            <w:pPr>
              <w:pStyle w:val="TableContents"/>
              <w:bidi w:val="0"/>
              <w:spacing w:before="0" w:after="283"/>
              <w:jc w:val="center"/>
              <w:rPr>
                <w:b/>
                <w:color w:val="FFFFFF"/>
              </w:rPr>
            </w:pPr>
            <w:r>
              <w:rPr>
                <w:b/>
                <w:color w:val="FFFFFF"/>
              </w:rPr>
              <w:t>V</w:t>
            </w:r>
            <w:r>
              <w:rPr>
                <w:b/>
                <w:color w:val="FFFFFF"/>
                <w:sz w:val="14"/>
              </w:rPr>
              <w:t>OTING</w:t>
            </w:r>
            <w:r>
              <w:rPr>
                <w:b/>
                <w:color w:val="FFFFFF"/>
              </w:rPr>
              <w:t xml:space="preserve"> M</w:t>
            </w:r>
            <w:r>
              <w:rPr>
                <w:b/>
                <w:color w:val="FFFFFF"/>
                <w:sz w:val="14"/>
              </w:rPr>
              <w:t>ATTERS</w:t>
            </w:r>
          </w:p>
        </w:tc>
        <w:tc>
          <w:tcPr>
            <w:tcW w:w="251"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2394"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center"/>
              <w:rPr>
                <w:b/>
                <w:color w:val="FFFFFF"/>
              </w:rPr>
            </w:pPr>
            <w:r>
              <w:rPr>
                <w:b/>
                <w:color w:val="FFFFFF"/>
              </w:rPr>
              <w:t>V</w:t>
            </w:r>
            <w:r>
              <w:rPr>
                <w:b/>
                <w:color w:val="FFFFFF"/>
                <w:sz w:val="14"/>
              </w:rPr>
              <w:t>OTES</w:t>
            </w:r>
            <w:r>
              <w:rPr>
                <w:b/>
                <w:color w:val="FFFFFF"/>
              </w:rPr>
              <w:t xml:space="preserve"> R</w:t>
            </w:r>
            <w:r>
              <w:rPr>
                <w:b/>
                <w:color w:val="FFFFFF"/>
                <w:sz w:val="14"/>
              </w:rPr>
              <w:t>EQUIRED</w:t>
            </w:r>
          </w:p>
        </w:tc>
        <w:tc>
          <w:tcPr>
            <w:tcW w:w="251"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2178"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center"/>
              <w:rPr>
                <w:b/>
                <w:color w:val="FFFFFF"/>
              </w:rPr>
            </w:pPr>
            <w:r>
              <w:rPr>
                <w:b/>
                <w:color w:val="FFFFFF"/>
              </w:rPr>
              <w:t>T</w:t>
            </w:r>
            <w:r>
              <w:rPr>
                <w:b/>
                <w:color w:val="FFFFFF"/>
                <w:sz w:val="14"/>
              </w:rPr>
              <w:t>REATMENT</w:t>
            </w:r>
            <w:r>
              <w:rPr>
                <w:b/>
                <w:color w:val="FFFFFF"/>
              </w:rPr>
              <w:t xml:space="preserve"> </w:t>
            </w:r>
            <w:r>
              <w:rPr>
                <w:b/>
                <w:color w:val="FFFFFF"/>
                <w:sz w:val="14"/>
              </w:rPr>
              <w:t>OF</w:t>
            </w:r>
            <w:r>
              <w:rPr>
                <w:b/>
                <w:color w:val="FFFFFF"/>
              </w:rPr>
              <w:t xml:space="preserve"> </w:t>
              <w:br/>
              <w:t>V</w:t>
            </w:r>
            <w:r>
              <w:rPr>
                <w:b/>
                <w:color w:val="FFFFFF"/>
                <w:sz w:val="14"/>
              </w:rPr>
              <w:t>OTES</w:t>
            </w:r>
            <w:r>
              <w:rPr>
                <w:b/>
                <w:color w:val="FFFFFF"/>
              </w:rPr>
              <w:t xml:space="preserve"> W</w:t>
            </w:r>
            <w:r>
              <w:rPr>
                <w:b/>
                <w:color w:val="FFFFFF"/>
                <w:sz w:val="14"/>
              </w:rPr>
              <w:t>ITHHELD</w:t>
            </w:r>
            <w:r>
              <w:rPr>
                <w:b/>
                <w:color w:val="FFFFFF"/>
              </w:rPr>
              <w:t>, A</w:t>
            </w:r>
            <w:r>
              <w:rPr>
                <w:b/>
                <w:color w:val="FFFFFF"/>
                <w:sz w:val="14"/>
              </w:rPr>
              <w:t>BSTENTIONS</w:t>
            </w:r>
            <w:r>
              <w:rPr>
                <w:b/>
                <w:color w:val="FFFFFF"/>
              </w:rPr>
              <w:t xml:space="preserve"> </w:t>
            </w:r>
            <w:r>
              <w:rPr>
                <w:b/>
                <w:color w:val="FFFFFF"/>
                <w:sz w:val="14"/>
              </w:rPr>
              <w:t>AND</w:t>
            </w:r>
            <w:r>
              <w:rPr>
                <w:b/>
                <w:color w:val="FFFFFF"/>
              </w:rPr>
              <w:br/>
              <w:t>B</w:t>
            </w:r>
            <w:r>
              <w:rPr>
                <w:b/>
                <w:color w:val="FFFFFF"/>
                <w:sz w:val="14"/>
              </w:rPr>
              <w:t>ROKER</w:t>
            </w:r>
            <w:r>
              <w:rPr>
                <w:b/>
                <w:color w:val="FFFFFF"/>
              </w:rPr>
              <w:t xml:space="preserve"> </w:t>
              <w:br/>
              <w:t>N</w:t>
            </w:r>
            <w:r>
              <w:rPr>
                <w:b/>
                <w:color w:val="FFFFFF"/>
                <w:sz w:val="14"/>
              </w:rPr>
              <w:t>ON</w:t>
            </w:r>
            <w:r>
              <w:rPr>
                <w:b/>
                <w:color w:val="FFFFFF"/>
              </w:rPr>
              <w:t>-V</w:t>
            </w:r>
            <w:r>
              <w:rPr>
                <w:b/>
                <w:color w:val="FFFFFF"/>
                <w:sz w:val="14"/>
              </w:rPr>
              <w:t>OTES</w:t>
            </w:r>
          </w:p>
        </w:tc>
        <w:tc>
          <w:tcPr>
            <w:tcW w:w="215"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227" w:type="dxa"/>
            <w:tcBorders>
              <w:top w:val="single" w:sz="2" w:space="0" w:color="000000"/>
              <w:bottom w:val="single" w:sz="2" w:space="0" w:color="000000"/>
              <w:right w:val="single" w:sz="2" w:space="0" w:color="000000"/>
            </w:tcBorders>
            <w:shd w:fill="4DC1E4" w:val="clear"/>
            <w:tcMar>
              <w:top w:w="28" w:type="dxa"/>
              <w:bottom w:w="28" w:type="dxa"/>
              <w:right w:w="40" w:type="dxa"/>
            </w:tcMar>
            <w:vAlign w:val="bottom"/>
          </w:tcPr>
          <w:p>
            <w:pPr>
              <w:pStyle w:val="TableContents"/>
              <w:bidi w:val="0"/>
              <w:spacing w:before="0" w:after="283"/>
              <w:jc w:val="center"/>
              <w:rPr>
                <w:b/>
                <w:color w:val="FFFFFF"/>
              </w:rPr>
            </w:pPr>
            <w:r>
              <w:rPr>
                <w:b/>
                <w:color w:val="FFFFFF"/>
              </w:rPr>
              <w:t>B</w:t>
            </w:r>
            <w:r>
              <w:rPr>
                <w:b/>
                <w:color w:val="FFFFFF"/>
                <w:sz w:val="14"/>
              </w:rPr>
              <w:t>ROKER</w:t>
            </w:r>
            <w:r>
              <w:rPr>
                <w:b/>
                <w:color w:val="FFFFFF"/>
              </w:rPr>
              <w:t xml:space="preserve"> </w:t>
              <w:br/>
              <w:t>D</w:t>
            </w:r>
            <w:r>
              <w:rPr>
                <w:b/>
                <w:color w:val="FFFFFF"/>
                <w:sz w:val="14"/>
              </w:rPr>
              <w:t>ISCRETIONARY</w:t>
            </w:r>
            <w:r>
              <w:rPr>
                <w:b/>
                <w:color w:val="FFFFFF"/>
              </w:rPr>
              <w:br/>
              <w:t>V</w:t>
            </w:r>
            <w:r>
              <w:rPr>
                <w:b/>
                <w:color w:val="FFFFFF"/>
                <w:sz w:val="14"/>
              </w:rPr>
              <w:t>OTING</w:t>
            </w:r>
          </w:p>
        </w:tc>
      </w:tr>
      <w:tr>
        <w:trPr>
          <w:trHeight w:val="30" w:hRule="atLeast"/>
        </w:trPr>
        <w:tc>
          <w:tcPr>
            <w:tcW w:w="3689" w:type="dxa"/>
            <w:tcBorders>
              <w:left w:val="single" w:sz="2" w:space="0" w:color="000000"/>
            </w:tcBorders>
            <w:tcMar>
              <w:left w:w="160" w:type="dxa"/>
            </w:tcMar>
            <w:vAlign w:val="center"/>
          </w:tcPr>
          <w:p>
            <w:pPr>
              <w:pStyle w:val="TableContents"/>
              <w:bidi w:val="0"/>
              <w:spacing w:before="0" w:after="283"/>
              <w:jc w:val="left"/>
              <w:rPr/>
            </w:pPr>
            <w:r>
              <w:rPr/>
              <w:t> </w:t>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2429" w:type="dxa"/>
            <w:gridSpan w:val="2"/>
            <w:tcBorders/>
            <w:vAlign w:val="center"/>
          </w:tcPr>
          <w:p>
            <w:pPr>
              <w:pStyle w:val="TableContents"/>
              <w:bidi w:val="0"/>
              <w:spacing w:before="0" w:after="283"/>
              <w:jc w:val="left"/>
              <w:rPr>
                <w:sz w:val="4"/>
                <w:szCs w:val="4"/>
              </w:rPr>
            </w:pPr>
            <w:r>
              <w:rPr>
                <w:sz w:val="4"/>
                <w:szCs w:val="4"/>
              </w:rPr>
            </w:r>
          </w:p>
        </w:tc>
        <w:tc>
          <w:tcPr>
            <w:tcW w:w="144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689" w:type="dxa"/>
            <w:tcBorders>
              <w:left w:val="single" w:sz="2" w:space="0" w:color="000000"/>
              <w:bottom w:val="single" w:sz="2" w:space="0" w:color="000000"/>
            </w:tcBorders>
            <w:tcMar>
              <w:left w:w="160" w:type="dxa"/>
              <w:bottom w:w="80" w:type="dxa"/>
            </w:tcMar>
          </w:tcPr>
          <w:p>
            <w:pPr>
              <w:pStyle w:val="TableContents"/>
              <w:bidi w:val="0"/>
              <w:spacing w:before="0" w:after="283"/>
              <w:jc w:val="left"/>
              <w:rPr>
                <w:color w:val="4DC1E4"/>
              </w:rPr>
            </w:pPr>
            <w:r>
              <w:rPr>
                <w:b/>
                <w:color w:val="4DC1E4"/>
              </w:rPr>
              <w:t>PROPOSAL 1</w:t>
            </w:r>
            <w:r>
              <w:rPr>
                <w:color w:val="4DC1E4"/>
              </w:rPr>
              <w:t>: Election of Class I Directors for a Three-Year Term Expiring at the 2027 Annual Meeting of Stockholders</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394" w:type="dxa"/>
            <w:tcBorders>
              <w:bottom w:val="single" w:sz="2" w:space="0" w:color="000000"/>
            </w:tcBorders>
            <w:tcMar>
              <w:bottom w:w="80" w:type="dxa"/>
            </w:tcMar>
          </w:tcPr>
          <w:p>
            <w:pPr>
              <w:pStyle w:val="TableContents"/>
              <w:bidi w:val="0"/>
              <w:spacing w:before="0" w:after="283"/>
              <w:jc w:val="left"/>
              <w:rPr/>
            </w:pPr>
            <w:r>
              <w:rPr/>
              <w:t>Plurality of the votes cast</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178" w:type="dxa"/>
            <w:tcBorders>
              <w:bottom w:val="single" w:sz="2" w:space="0" w:color="000000"/>
            </w:tcBorders>
            <w:tcMar>
              <w:bottom w:w="80" w:type="dxa"/>
            </w:tcMar>
            <w:vAlign w:val="bottom"/>
          </w:tcPr>
          <w:p>
            <w:pPr>
              <w:pStyle w:val="TableContents"/>
              <w:bidi w:val="0"/>
              <w:spacing w:before="0" w:after="283"/>
              <w:jc w:val="left"/>
              <w:rPr/>
            </w:pPr>
            <w:r>
              <w:rPr/>
              <w:t>Votes withheld and broker non-votes will not be taken into account in determining the outcome of the proposal</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2" w:space="0" w:color="000000"/>
              <w:right w:val="single" w:sz="2" w:space="0" w:color="000000"/>
            </w:tcBorders>
            <w:tcMar>
              <w:bottom w:w="80" w:type="dxa"/>
              <w:right w:w="28" w:type="dxa"/>
            </w:tcMar>
          </w:tcPr>
          <w:p>
            <w:pPr>
              <w:pStyle w:val="TableContents"/>
              <w:bidi w:val="0"/>
              <w:spacing w:before="0" w:after="283"/>
              <w:jc w:val="left"/>
              <w:rPr/>
            </w:pPr>
            <w:r>
              <w:rPr/>
              <w:t>No</w:t>
            </w:r>
          </w:p>
        </w:tc>
      </w:tr>
      <w:tr>
        <w:trPr>
          <w:trHeight w:val="30" w:hRule="atLeast"/>
        </w:trPr>
        <w:tc>
          <w:tcPr>
            <w:tcW w:w="3689" w:type="dxa"/>
            <w:tcBorders>
              <w:left w:val="single" w:sz="2" w:space="0" w:color="000000"/>
            </w:tcBorders>
            <w:tcMar>
              <w:left w:w="160" w:type="dxa"/>
            </w:tcMar>
            <w:vAlign w:val="center"/>
          </w:tcPr>
          <w:p>
            <w:pPr>
              <w:pStyle w:val="TableContents"/>
              <w:bidi w:val="0"/>
              <w:spacing w:before="0" w:after="283"/>
              <w:jc w:val="left"/>
              <w:rPr/>
            </w:pPr>
            <w:r>
              <w:rPr/>
              <w:t> </w:t>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2429" w:type="dxa"/>
            <w:gridSpan w:val="2"/>
            <w:tcBorders/>
            <w:vAlign w:val="center"/>
          </w:tcPr>
          <w:p>
            <w:pPr>
              <w:pStyle w:val="TableContents"/>
              <w:bidi w:val="0"/>
              <w:spacing w:before="0" w:after="283"/>
              <w:jc w:val="left"/>
              <w:rPr>
                <w:sz w:val="4"/>
                <w:szCs w:val="4"/>
              </w:rPr>
            </w:pPr>
            <w:r>
              <w:rPr>
                <w:sz w:val="4"/>
                <w:szCs w:val="4"/>
              </w:rPr>
            </w:r>
          </w:p>
        </w:tc>
        <w:tc>
          <w:tcPr>
            <w:tcW w:w="144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689" w:type="dxa"/>
            <w:tcBorders>
              <w:left w:val="single" w:sz="2" w:space="0" w:color="000000"/>
              <w:bottom w:val="single" w:sz="2" w:space="0" w:color="000000"/>
            </w:tcBorders>
            <w:tcMar>
              <w:left w:w="160" w:type="dxa"/>
              <w:bottom w:w="80" w:type="dxa"/>
            </w:tcMar>
          </w:tcPr>
          <w:p>
            <w:pPr>
              <w:pStyle w:val="TableContents"/>
              <w:bidi w:val="0"/>
              <w:spacing w:before="0" w:after="283"/>
              <w:jc w:val="left"/>
              <w:rPr>
                <w:color w:val="4DC1E4"/>
              </w:rPr>
            </w:pPr>
            <w:r>
              <w:rPr>
                <w:b/>
                <w:color w:val="4DC1E4"/>
              </w:rPr>
              <w:t>PROPOSAL 2</w:t>
            </w:r>
            <w:r>
              <w:rPr>
                <w:color w:val="4DC1E4"/>
              </w:rPr>
              <w:t>: Approval, on an Advisory Basis, of the Compensation of our Named Executive Officers in 2023</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394" w:type="dxa"/>
            <w:tcBorders>
              <w:bottom w:val="single" w:sz="2" w:space="0" w:color="000000"/>
            </w:tcBorders>
            <w:tcMar>
              <w:bottom w:w="80" w:type="dxa"/>
            </w:tcMar>
          </w:tcPr>
          <w:p>
            <w:pPr>
              <w:pStyle w:val="TableContents"/>
              <w:bidi w:val="0"/>
              <w:spacing w:before="0" w:after="283"/>
              <w:jc w:val="left"/>
              <w:rPr/>
            </w:pPr>
            <w:r>
              <w:rPr/>
              <w:t>Majority of the votes cast</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178" w:type="dxa"/>
            <w:tcBorders>
              <w:bottom w:val="single" w:sz="2" w:space="0" w:color="000000"/>
            </w:tcBorders>
            <w:tcMar>
              <w:bottom w:w="80" w:type="dxa"/>
            </w:tcMar>
            <w:vAlign w:val="bottom"/>
          </w:tcPr>
          <w:p>
            <w:pPr>
              <w:pStyle w:val="TableContents"/>
              <w:bidi w:val="0"/>
              <w:spacing w:before="0" w:after="283"/>
              <w:jc w:val="left"/>
              <w:rPr/>
            </w:pPr>
            <w:r>
              <w:rPr/>
              <w:t>Abstentions and broker non-votes will not be taken into account in determining the outcome of the proposal</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2" w:space="0" w:color="000000"/>
              <w:right w:val="single" w:sz="2" w:space="0" w:color="000000"/>
            </w:tcBorders>
            <w:tcMar>
              <w:bottom w:w="80" w:type="dxa"/>
              <w:right w:w="28" w:type="dxa"/>
            </w:tcMar>
          </w:tcPr>
          <w:p>
            <w:pPr>
              <w:pStyle w:val="TableContents"/>
              <w:bidi w:val="0"/>
              <w:spacing w:before="0" w:after="283"/>
              <w:jc w:val="left"/>
              <w:rPr/>
            </w:pPr>
            <w:r>
              <w:rPr/>
              <w:t>No</w:t>
            </w:r>
          </w:p>
        </w:tc>
      </w:tr>
      <w:tr>
        <w:trPr>
          <w:trHeight w:val="30" w:hRule="atLeast"/>
        </w:trPr>
        <w:tc>
          <w:tcPr>
            <w:tcW w:w="3689" w:type="dxa"/>
            <w:tcBorders>
              <w:left w:val="single" w:sz="2" w:space="0" w:color="000000"/>
            </w:tcBorders>
            <w:tcMar>
              <w:left w:w="160" w:type="dxa"/>
            </w:tcMar>
            <w:vAlign w:val="center"/>
          </w:tcPr>
          <w:p>
            <w:pPr>
              <w:pStyle w:val="TableContents"/>
              <w:bidi w:val="0"/>
              <w:spacing w:before="0" w:after="283"/>
              <w:jc w:val="left"/>
              <w:rPr/>
            </w:pPr>
            <w:r>
              <w:rPr/>
              <w:t> </w:t>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2429" w:type="dxa"/>
            <w:gridSpan w:val="2"/>
            <w:tcBorders/>
            <w:vAlign w:val="center"/>
          </w:tcPr>
          <w:p>
            <w:pPr>
              <w:pStyle w:val="TableContents"/>
              <w:bidi w:val="0"/>
              <w:spacing w:before="0" w:after="283"/>
              <w:jc w:val="left"/>
              <w:rPr>
                <w:sz w:val="4"/>
                <w:szCs w:val="4"/>
              </w:rPr>
            </w:pPr>
            <w:r>
              <w:rPr>
                <w:sz w:val="4"/>
                <w:szCs w:val="4"/>
              </w:rPr>
            </w:r>
          </w:p>
        </w:tc>
        <w:tc>
          <w:tcPr>
            <w:tcW w:w="144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689" w:type="dxa"/>
            <w:tcBorders>
              <w:left w:val="single" w:sz="2" w:space="0" w:color="000000"/>
              <w:bottom w:val="single" w:sz="2" w:space="0" w:color="000000"/>
            </w:tcBorders>
            <w:tcMar>
              <w:left w:w="160" w:type="dxa"/>
              <w:bottom w:w="80" w:type="dxa"/>
            </w:tcMar>
          </w:tcPr>
          <w:p>
            <w:pPr>
              <w:pStyle w:val="TableContents"/>
              <w:bidi w:val="0"/>
              <w:spacing w:before="0" w:after="283"/>
              <w:jc w:val="left"/>
              <w:rPr>
                <w:color w:val="4DC1E4"/>
              </w:rPr>
            </w:pPr>
            <w:r>
              <w:rPr>
                <w:b/>
                <w:color w:val="4DC1E4"/>
              </w:rPr>
              <w:t>PROPOSAL 3</w:t>
            </w:r>
            <w:r>
              <w:rPr>
                <w:color w:val="4DC1E4"/>
              </w:rPr>
              <w:t>: Ratification of Appointment of PricewaterhouseCoopers LLP as our Independent Registered Public Accounting Firm for the 2024 Fiscal Year</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394" w:type="dxa"/>
            <w:tcBorders>
              <w:bottom w:val="single" w:sz="2" w:space="0" w:color="000000"/>
            </w:tcBorders>
            <w:tcMar>
              <w:bottom w:w="80" w:type="dxa"/>
            </w:tcMar>
          </w:tcPr>
          <w:p>
            <w:pPr>
              <w:pStyle w:val="TableContents"/>
              <w:bidi w:val="0"/>
              <w:spacing w:before="0" w:after="283"/>
              <w:jc w:val="left"/>
              <w:rPr/>
            </w:pPr>
            <w:r>
              <w:rPr/>
              <w:t>Majority of the votes cast</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178" w:type="dxa"/>
            <w:tcBorders>
              <w:bottom w:val="single" w:sz="2" w:space="0" w:color="000000"/>
            </w:tcBorders>
            <w:tcMar>
              <w:bottom w:w="80" w:type="dxa"/>
            </w:tcMar>
          </w:tcPr>
          <w:p>
            <w:pPr>
              <w:pStyle w:val="TableContents"/>
              <w:bidi w:val="0"/>
              <w:spacing w:before="0" w:after="283"/>
              <w:jc w:val="left"/>
              <w:rPr/>
            </w:pPr>
            <w:r>
              <w:rPr/>
              <w:t>Abstentions and broker non-votes will not be taken into account in determining the outcome of the proposal</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2" w:space="0" w:color="000000"/>
              <w:right w:val="single" w:sz="2" w:space="0" w:color="000000"/>
            </w:tcBorders>
            <w:tcMar>
              <w:bottom w:w="80" w:type="dxa"/>
              <w:right w:w="28" w:type="dxa"/>
            </w:tcMar>
          </w:tcPr>
          <w:p>
            <w:pPr>
              <w:pStyle w:val="TableContents"/>
              <w:bidi w:val="0"/>
              <w:spacing w:before="0" w:after="283"/>
              <w:jc w:val="left"/>
              <w:rPr/>
            </w:pPr>
            <w:r>
              <w:rPr/>
              <w:t>Yes</w:t>
            </w:r>
          </w:p>
        </w:tc>
      </w:tr>
      <w:tr>
        <w:trPr>
          <w:trHeight w:val="30" w:hRule="atLeast"/>
        </w:trPr>
        <w:tc>
          <w:tcPr>
            <w:tcW w:w="3689" w:type="dxa"/>
            <w:tcBorders>
              <w:left w:val="single" w:sz="2" w:space="0" w:color="000000"/>
            </w:tcBorders>
            <w:tcMar>
              <w:left w:w="160" w:type="dxa"/>
            </w:tcMar>
            <w:vAlign w:val="center"/>
          </w:tcPr>
          <w:p>
            <w:pPr>
              <w:pStyle w:val="TableContents"/>
              <w:bidi w:val="0"/>
              <w:spacing w:before="0" w:after="283"/>
              <w:jc w:val="left"/>
              <w:rPr/>
            </w:pPr>
            <w:r>
              <w:rPr/>
              <w:t> </w:t>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2429" w:type="dxa"/>
            <w:gridSpan w:val="2"/>
            <w:tcBorders/>
            <w:vAlign w:val="center"/>
          </w:tcPr>
          <w:p>
            <w:pPr>
              <w:pStyle w:val="TableContents"/>
              <w:bidi w:val="0"/>
              <w:spacing w:before="0" w:after="283"/>
              <w:jc w:val="left"/>
              <w:rPr>
                <w:sz w:val="4"/>
                <w:szCs w:val="4"/>
              </w:rPr>
            </w:pPr>
            <w:r>
              <w:rPr>
                <w:sz w:val="4"/>
                <w:szCs w:val="4"/>
              </w:rPr>
            </w:r>
          </w:p>
        </w:tc>
        <w:tc>
          <w:tcPr>
            <w:tcW w:w="144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689" w:type="dxa"/>
            <w:tcBorders>
              <w:left w:val="single" w:sz="2" w:space="0" w:color="000000"/>
              <w:bottom w:val="single" w:sz="2" w:space="0" w:color="000000"/>
            </w:tcBorders>
            <w:tcMar>
              <w:left w:w="160" w:type="dxa"/>
              <w:bottom w:w="80" w:type="dxa"/>
            </w:tcMar>
          </w:tcPr>
          <w:p>
            <w:pPr>
              <w:pStyle w:val="TableContents"/>
              <w:bidi w:val="0"/>
              <w:spacing w:before="0" w:after="283"/>
              <w:jc w:val="left"/>
              <w:rPr>
                <w:color w:val="4DC1E4"/>
              </w:rPr>
            </w:pPr>
            <w:r>
              <w:rPr>
                <w:b/>
                <w:color w:val="4DC1E4"/>
              </w:rPr>
              <w:t>PROPOSAL 4</w:t>
            </w:r>
            <w:r>
              <w:rPr>
                <w:color w:val="4DC1E4"/>
              </w:rPr>
              <w:t>: Approval of an amendment to our Ninth Amended and Restated Certificate of Incorporation, as amended, to reflect Delaware law provisions regarding officer exculpation</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394" w:type="dxa"/>
            <w:tcBorders>
              <w:bottom w:val="single" w:sz="2" w:space="0" w:color="000000"/>
            </w:tcBorders>
            <w:tcMar>
              <w:bottom w:w="80" w:type="dxa"/>
            </w:tcMar>
          </w:tcPr>
          <w:p>
            <w:pPr>
              <w:pStyle w:val="TableContents"/>
              <w:bidi w:val="0"/>
              <w:spacing w:before="0" w:after="283"/>
              <w:jc w:val="left"/>
              <w:rPr/>
            </w:pPr>
            <w:r>
              <w:rPr/>
              <w:t>Majority of the outstanding shares of common stock entitled to vote</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178" w:type="dxa"/>
            <w:tcBorders>
              <w:bottom w:val="single" w:sz="2" w:space="0" w:color="000000"/>
            </w:tcBorders>
            <w:tcMar>
              <w:bottom w:w="80" w:type="dxa"/>
            </w:tcMar>
          </w:tcPr>
          <w:p>
            <w:pPr>
              <w:pStyle w:val="TableContents"/>
              <w:bidi w:val="0"/>
              <w:spacing w:before="0" w:after="283"/>
              <w:jc w:val="left"/>
              <w:rPr/>
            </w:pPr>
            <w:r>
              <w:rPr/>
              <w:t>Abstentions and broker non-votes will have the effect of a vote against the proposal</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2" w:space="0" w:color="000000"/>
              <w:right w:val="single" w:sz="2" w:space="0" w:color="000000"/>
            </w:tcBorders>
            <w:tcMar>
              <w:bottom w:w="80" w:type="dxa"/>
              <w:right w:w="28" w:type="dxa"/>
            </w:tcMar>
          </w:tcPr>
          <w:p>
            <w:pPr>
              <w:pStyle w:val="TableContents"/>
              <w:bidi w:val="0"/>
              <w:spacing w:before="0" w:after="283"/>
              <w:jc w:val="left"/>
              <w:rPr/>
            </w:pPr>
            <w:r>
              <w:rPr/>
              <w:t>No</w:t>
            </w:r>
          </w:p>
        </w:tc>
      </w:tr>
      <w:tr>
        <w:trPr>
          <w:trHeight w:val="30" w:hRule="atLeast"/>
        </w:trPr>
        <w:tc>
          <w:tcPr>
            <w:tcW w:w="3689" w:type="dxa"/>
            <w:tcBorders>
              <w:left w:val="single" w:sz="2" w:space="0" w:color="000000"/>
            </w:tcBorders>
            <w:tcMar>
              <w:left w:w="160" w:type="dxa"/>
            </w:tcMar>
            <w:vAlign w:val="center"/>
          </w:tcPr>
          <w:p>
            <w:pPr>
              <w:pStyle w:val="TableContents"/>
              <w:bidi w:val="0"/>
              <w:spacing w:before="0" w:after="283"/>
              <w:jc w:val="left"/>
              <w:rPr/>
            </w:pPr>
            <w:r>
              <w:rPr/>
              <w:t> </w:t>
            </w:r>
          </w:p>
        </w:tc>
        <w:tc>
          <w:tcPr>
            <w:tcW w:w="2645" w:type="dxa"/>
            <w:gridSpan w:val="2"/>
            <w:tcBorders/>
            <w:vAlign w:val="center"/>
          </w:tcPr>
          <w:p>
            <w:pPr>
              <w:pStyle w:val="TableContents"/>
              <w:bidi w:val="0"/>
              <w:spacing w:before="0" w:after="283"/>
              <w:jc w:val="left"/>
              <w:rPr>
                <w:sz w:val="4"/>
                <w:szCs w:val="4"/>
              </w:rPr>
            </w:pPr>
            <w:r>
              <w:rPr>
                <w:sz w:val="4"/>
                <w:szCs w:val="4"/>
              </w:rPr>
            </w:r>
          </w:p>
        </w:tc>
        <w:tc>
          <w:tcPr>
            <w:tcW w:w="2429" w:type="dxa"/>
            <w:gridSpan w:val="2"/>
            <w:tcBorders/>
            <w:vAlign w:val="center"/>
          </w:tcPr>
          <w:p>
            <w:pPr>
              <w:pStyle w:val="TableContents"/>
              <w:bidi w:val="0"/>
              <w:spacing w:before="0" w:after="283"/>
              <w:jc w:val="left"/>
              <w:rPr>
                <w:sz w:val="4"/>
                <w:szCs w:val="4"/>
              </w:rPr>
            </w:pPr>
            <w:r>
              <w:rPr>
                <w:sz w:val="4"/>
                <w:szCs w:val="4"/>
              </w:rPr>
            </w:r>
          </w:p>
        </w:tc>
        <w:tc>
          <w:tcPr>
            <w:tcW w:w="144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3689" w:type="dxa"/>
            <w:tcBorders>
              <w:left w:val="single" w:sz="2" w:space="0" w:color="000000"/>
              <w:bottom w:val="single" w:sz="2" w:space="0" w:color="000000"/>
            </w:tcBorders>
            <w:tcMar>
              <w:left w:w="160" w:type="dxa"/>
              <w:bottom w:w="80" w:type="dxa"/>
            </w:tcMar>
          </w:tcPr>
          <w:p>
            <w:pPr>
              <w:pStyle w:val="TableContents"/>
              <w:bidi w:val="0"/>
              <w:spacing w:before="0" w:after="283"/>
              <w:jc w:val="left"/>
              <w:rPr>
                <w:color w:val="4DC1E4"/>
              </w:rPr>
            </w:pPr>
            <w:r>
              <w:rPr>
                <w:b/>
                <w:color w:val="4DC1E4"/>
              </w:rPr>
              <w:t>PROPOSAL 5</w:t>
            </w:r>
            <w:r>
              <w:rPr>
                <w:color w:val="4DC1E4"/>
              </w:rPr>
              <w:t>: Approval of an adjournment of the Annual Meeting to the extent there are insufficient votes at the Annual Meeting to approve Proposal 4</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394" w:type="dxa"/>
            <w:tcBorders>
              <w:bottom w:val="single" w:sz="2" w:space="0" w:color="000000"/>
            </w:tcBorders>
            <w:tcMar>
              <w:bottom w:w="80" w:type="dxa"/>
            </w:tcMar>
          </w:tcPr>
          <w:p>
            <w:pPr>
              <w:pStyle w:val="TableContents"/>
              <w:bidi w:val="0"/>
              <w:spacing w:before="0" w:after="283"/>
              <w:jc w:val="left"/>
              <w:rPr/>
            </w:pPr>
            <w:r>
              <w:rPr/>
              <w:t>Majority of the votes cast</w:t>
            </w:r>
          </w:p>
        </w:tc>
        <w:tc>
          <w:tcPr>
            <w:tcW w:w="251" w:type="dxa"/>
            <w:tcBorders>
              <w:bottom w:val="single" w:sz="2" w:space="0" w:color="000000"/>
            </w:tcBorders>
            <w:tcMar>
              <w:bottom w:w="28" w:type="dxa"/>
            </w:tcMar>
            <w:vAlign w:val="bottom"/>
          </w:tcPr>
          <w:p>
            <w:pPr>
              <w:pStyle w:val="TableContents"/>
              <w:bidi w:val="0"/>
              <w:spacing w:before="0" w:after="283"/>
              <w:jc w:val="left"/>
              <w:rPr/>
            </w:pPr>
            <w:r>
              <w:rPr/>
              <w:t>  </w:t>
            </w:r>
          </w:p>
        </w:tc>
        <w:tc>
          <w:tcPr>
            <w:tcW w:w="2178" w:type="dxa"/>
            <w:tcBorders>
              <w:bottom w:val="single" w:sz="2" w:space="0" w:color="000000"/>
            </w:tcBorders>
            <w:tcMar>
              <w:bottom w:w="80" w:type="dxa"/>
            </w:tcMar>
          </w:tcPr>
          <w:p>
            <w:pPr>
              <w:pStyle w:val="TableContents"/>
              <w:bidi w:val="0"/>
              <w:spacing w:before="0" w:after="283"/>
              <w:jc w:val="left"/>
              <w:rPr/>
            </w:pPr>
            <w:r>
              <w:rPr/>
              <w:t>Abstentions and broker non-votes will not be taken into account in determining the outcome of the proposal</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227" w:type="dxa"/>
            <w:tcBorders>
              <w:bottom w:val="single" w:sz="2" w:space="0" w:color="000000"/>
              <w:right w:val="single" w:sz="2" w:space="0" w:color="000000"/>
            </w:tcBorders>
            <w:tcMar>
              <w:bottom w:w="80" w:type="dxa"/>
              <w:right w:w="28" w:type="dxa"/>
            </w:tcMar>
          </w:tcPr>
          <w:p>
            <w:pPr>
              <w:pStyle w:val="TableContents"/>
              <w:bidi w:val="0"/>
              <w:spacing w:before="0" w:after="283"/>
              <w:jc w:val="left"/>
              <w:rPr/>
            </w:pPr>
            <w:r>
              <w:rPr/>
              <w:t>No</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QUORUM </w:t>
      </w:r>
    </w:p>
    <w:p>
      <w:pPr>
        <w:pStyle w:val="TextBody"/>
        <w:bidi w:val="0"/>
        <w:spacing w:before="200" w:after="0"/>
        <w:jc w:val="both"/>
        <w:rPr>
          <w:rFonts w:ascii="Times New Roman" w:hAnsi="Times New Roman"/>
          <w:sz w:val="20"/>
        </w:rPr>
      </w:pPr>
      <w:r>
        <w:rPr>
          <w:rFonts w:ascii="Times New Roman" w:hAnsi="Times New Roman"/>
          <w:sz w:val="20"/>
        </w:rPr>
        <w:t xml:space="preserve">We must have a quorum to conduct business at the Annual Meeting. A quorum consists of the presence at the Annual Meeting, either attending the meeting virtually or represented by proxy, of the holders of a majority of the outstanding shares of our common stock entitled to vote. For the purpose of establishing a quorum, abstentions, including brokers holding customers shares of record who cause abstentions to be recorded at the meeting, and broker non-votes are considered stockholders who are present and entitled to vote, and count toward the quorum. If there is no quorum, the holders of a majority of shares virtually attending the Annual Meeting or represented by proxy or the presiding officer of the meeting may adjourn the Annual Meeting to another date. </w:t>
      </w:r>
    </w:p>
    <w:p>
      <w:pPr>
        <w:pStyle w:val="TextBody"/>
        <w:bidi w:val="0"/>
        <w:spacing w:before="200" w:after="0"/>
        <w:jc w:val="left"/>
        <w:rPr>
          <w:rFonts w:ascii="Times New Roman" w:hAnsi="Times New Roman"/>
          <w:b/>
          <w:sz w:val="20"/>
        </w:rPr>
      </w:pPr>
      <w:r>
        <w:rPr>
          <w:rFonts w:ascii="Times New Roman" w:hAnsi="Times New Roman"/>
          <w:b/>
          <w:sz w:val="20"/>
        </w:rPr>
        <w:t xml:space="preserve">PROXY SOLICITATION COSTS </w:t>
      </w:r>
    </w:p>
    <w:p>
      <w:pPr>
        <w:pStyle w:val="TextBody"/>
        <w:bidi w:val="0"/>
        <w:spacing w:before="200" w:after="0"/>
        <w:jc w:val="both"/>
        <w:rPr>
          <w:rFonts w:ascii="Times New Roman" w:hAnsi="Times New Roman"/>
          <w:sz w:val="20"/>
        </w:rPr>
      </w:pPr>
      <w:r>
        <w:rPr>
          <w:rFonts w:ascii="Times New Roman" w:hAnsi="Times New Roman"/>
          <w:sz w:val="20"/>
        </w:rPr>
        <w:t xml:space="preserve">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6" w:name="summary636298_4"/>
            <w:bookmarkEnd w:id="6"/>
            <w:r>
              <w:rPr>
                <w:rFonts w:ascii="Times New Roman" w:hAnsi="Times New Roman"/>
                <w:b/>
                <w:sz w:val="24"/>
              </w:rPr>
              <w:t>BOARD OF DIRECTORS</w:t>
            </w:r>
          </w:p>
        </w:tc>
      </w:tr>
    </w:tbl>
    <w:p>
      <w:pPr>
        <w:pStyle w:val="TextBody"/>
        <w:bidi w:val="0"/>
        <w:spacing w:before="0" w:after="0"/>
        <w:jc w:val="left"/>
        <w:rPr/>
      </w:pPr>
      <w:r>
        <w:rPr/>
        <w:t> </w:t>
      </w:r>
    </w:p>
    <w:p>
      <w:pPr>
        <w:pStyle w:val="TextBody"/>
        <w:bidi w:val="0"/>
        <w:spacing w:before="0" w:after="0"/>
        <w:jc w:val="left"/>
        <w:rPr>
          <w:rFonts w:ascii="Times New Roman" w:hAnsi="Times New Roman"/>
          <w:color w:val="4DC1E4"/>
          <w:sz w:val="20"/>
        </w:rPr>
      </w:pPr>
      <w:r>
        <w:rPr>
          <w:rFonts w:ascii="Times New Roman" w:hAnsi="Times New Roman"/>
          <w:color w:val="4DC1E4"/>
          <w:sz w:val="20"/>
        </w:rPr>
        <w:t xml:space="preserve">Our Board has nominated Jonathan Leff and Jeffrey W. Sherman, M.D., FACP for re-election as Class I directors at our Annual Meeting to hold office until our 2027 Annual Meeting of Stockholders. </w:t>
      </w:r>
    </w:p>
    <w:p>
      <w:pPr>
        <w:pStyle w:val="TextBody"/>
        <w:bidi w:val="0"/>
        <w:spacing w:before="200" w:after="0"/>
        <w:jc w:val="both"/>
        <w:rPr>
          <w:rFonts w:ascii="Times New Roman" w:hAnsi="Times New Roman"/>
          <w:sz w:val="20"/>
        </w:rPr>
      </w:pPr>
      <w:r>
        <w:rPr>
          <w:rFonts w:ascii="Times New Roman" w:hAnsi="Times New Roman"/>
          <w:sz w:val="20"/>
        </w:rPr>
        <w:t xml:space="preserve">Our Board is the Companys ultimate decision-making body, except with respect to those matters reserved to the stockholders. Our Board selects the members of our senior management team, who in turn are responsible for the day-to-day operations of the Company. Our Board acts as an advisor and counselor to senior management and oversees its performance. </w:t>
      </w:r>
    </w:p>
    <w:p>
      <w:pPr>
        <w:pStyle w:val="TextBody"/>
        <w:bidi w:val="0"/>
        <w:spacing w:before="200" w:after="0"/>
        <w:jc w:val="both"/>
        <w:rPr>
          <w:rFonts w:ascii="Times New Roman" w:hAnsi="Times New Roman"/>
          <w:sz w:val="20"/>
        </w:rPr>
      </w:pPr>
      <w:r>
        <w:rPr>
          <w:rFonts w:ascii="Times New Roman" w:hAnsi="Times New Roman"/>
          <w:sz w:val="20"/>
        </w:rPr>
        <w:t xml:space="preserve">Our Board is divided into three classes, with each class holding office for a three-year term. Jonathan Leff and Jeffrey W. Sherman, M.D., FACP, current Class I directors, have been nominated by our Board for re-election at the Annual Meeting for three-year terms that will expire at our 2027 Annual Meeting of Stockholders and until their successors, if any, are elected or appointed, or their earlier death, resignation, or removal. 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 </w:t>
      </w:r>
    </w:p>
    <w:p>
      <w:pPr>
        <w:pStyle w:val="TextBody"/>
        <w:bidi w:val="0"/>
        <w:spacing w:before="200" w:after="0"/>
        <w:jc w:val="left"/>
        <w:rPr>
          <w:rFonts w:ascii="Times New Roman" w:hAnsi="Times New Roman"/>
          <w:b/>
          <w:sz w:val="20"/>
        </w:rPr>
      </w:pPr>
      <w:bookmarkStart w:id="7" w:name="summary636298_5"/>
      <w:bookmarkEnd w:id="7"/>
      <w:r>
        <w:rPr>
          <w:rFonts w:ascii="Times New Roman" w:hAnsi="Times New Roman"/>
          <w:b/>
          <w:sz w:val="20"/>
        </w:rPr>
        <w:t xml:space="preserve">BOARD STRUCTURE AND COMPOSITION </w:t>
      </w:r>
    </w:p>
    <w:p>
      <w:pPr>
        <w:pStyle w:val="TextBody"/>
        <w:bidi w:val="0"/>
        <w:spacing w:before="200" w:after="0"/>
        <w:jc w:val="both"/>
        <w:rPr>
          <w:rFonts w:ascii="Times New Roman" w:hAnsi="Times New Roman"/>
          <w:sz w:val="20"/>
        </w:rPr>
      </w:pPr>
      <w:r>
        <w:rPr>
          <w:rFonts w:ascii="Times New Roman" w:hAnsi="Times New Roman"/>
          <w:sz w:val="20"/>
        </w:rPr>
        <w:t xml:space="preserve">The Nominating and Corporate Governance Committee is responsible for recommending the composition and structure of our Board and for developing criteria for Board membership. The Nominating and Corporate Governance Committee regularly reviews director competencies, qualities, and experiences, with the goal of ensuring that our Board is comprised of an effective team of directors who function collegially and who can apply their experience toward meaningful contributions to our business strategy and oversight of our performance, risk management, organizational development and succession planning. </w:t>
      </w:r>
    </w:p>
    <w:p>
      <w:pPr>
        <w:pStyle w:val="TextBody"/>
        <w:bidi w:val="0"/>
        <w:spacing w:before="200" w:after="0"/>
        <w:jc w:val="both"/>
        <w:rPr>
          <w:rFonts w:ascii="Times New Roman" w:hAnsi="Times New Roman"/>
          <w:sz w:val="20"/>
        </w:rPr>
      </w:pPr>
      <w:r>
        <w:rPr>
          <w:rFonts w:ascii="Times New Roman" w:hAnsi="Times New Roman"/>
          <w:sz w:val="20"/>
        </w:rPr>
        <w:t xml:space="preserve">Our Amended and Restated Bylaws (the Bylaws) provide that the number of members of our Board shall be fixed by the Board from time to time. Our Board is currently fixed at six members. Our Board is divided into three classes with staggered three-year terms. The Nominating and Corporate Governance Committee is responsible for identifying individuals that it believes are qualified to become Board members. </w:t>
      </w:r>
    </w:p>
    <w:p>
      <w:pPr>
        <w:pStyle w:val="TextBody"/>
        <w:bidi w:val="0"/>
        <w:spacing w:before="200" w:after="0"/>
        <w:jc w:val="left"/>
        <w:rPr>
          <w:rFonts w:ascii="Times New Roman" w:hAnsi="Times New Roman"/>
          <w:b/>
          <w:sz w:val="20"/>
        </w:rPr>
      </w:pPr>
      <w:bookmarkStart w:id="8" w:name="summary636298_6"/>
      <w:bookmarkEnd w:id="8"/>
      <w:r>
        <w:rPr>
          <w:rFonts w:ascii="Times New Roman" w:hAnsi="Times New Roman"/>
          <w:b/>
          <w:sz w:val="20"/>
        </w:rPr>
        <w:t xml:space="preserve">CRITERIA FOR BOARD MEMBERSHIP </w:t>
      </w:r>
    </w:p>
    <w:p>
      <w:pPr>
        <w:pStyle w:val="TextBody"/>
        <w:bidi w:val="0"/>
        <w:spacing w:before="200" w:after="0"/>
        <w:jc w:val="left"/>
        <w:rPr>
          <w:rFonts w:ascii="Times New Roman" w:hAnsi="Times New Roman"/>
          <w:sz w:val="20"/>
        </w:rPr>
      </w:pPr>
      <w:r>
        <w:rPr>
          <w:rFonts w:ascii="Times New Roman" w:hAnsi="Times New Roman"/>
          <w:sz w:val="20"/>
        </w:rPr>
        <w:t xml:space="preserve">The Nominating and Corporate Governance Committee considers certain criteria in identifying director nominees. Important general criteria and considerations for Board membership include: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283"/>
              <w:jc w:val="center"/>
              <w:rPr>
                <w:b/>
                <w:color w:val="FFFFFF"/>
              </w:rPr>
            </w:pPr>
            <w:r>
              <w:rPr>
                <w:b/>
                <w:color w:val="FFFFFF"/>
              </w:rPr>
              <w:t>G</w:t>
            </w:r>
            <w:r>
              <w:rPr>
                <w:b/>
                <w:color w:val="FFFFFF"/>
                <w:sz w:val="14"/>
              </w:rPr>
              <w:t>ENERAL</w:t>
            </w:r>
            <w:r>
              <w:rPr>
                <w:b/>
                <w:color w:val="FFFFFF"/>
              </w:rPr>
              <w:t xml:space="preserve"> C</w:t>
            </w:r>
            <w:r>
              <w:rPr>
                <w:b/>
                <w:color w:val="FFFFFF"/>
                <w:sz w:val="14"/>
              </w:rPr>
              <w:t>RITERIA</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612"/>
        <w:gridCol w:w="101"/>
        <w:gridCol w:w="9084"/>
      </w:tblGrid>
      <w:tr>
        <w:trPr/>
        <w:tc>
          <w:tcPr>
            <w:tcW w:w="408"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contribute to the Boards range of talent, skill, and experience to provide sound and prudent guidance with respect to the Companys strategy and operations, including, but not limited to: </w:t>
            </w:r>
          </w:p>
        </w:tc>
      </w:tr>
    </w:tbl>
    <w:tbl>
      <w:tblPr>
        <w:tblW w:w="5000" w:type="pct"/>
        <w:jc w:val="left"/>
        <w:tblInd w:w="0" w:type="dxa"/>
        <w:tblLayout w:type="fixed"/>
        <w:tblCellMar>
          <w:top w:w="0" w:type="dxa"/>
          <w:left w:w="0" w:type="dxa"/>
          <w:bottom w:w="0" w:type="dxa"/>
          <w:right w:w="0" w:type="dxa"/>
        </w:tblCellMar>
      </w:tblPr>
      <w:tblGrid>
        <w:gridCol w:w="1938"/>
        <w:gridCol w:w="304"/>
        <w:gridCol w:w="7963"/>
      </w:tblGrid>
      <w:tr>
        <w:trPr/>
        <w:tc>
          <w:tcPr>
            <w:tcW w:w="1938"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o</w:t>
            </w:r>
          </w:p>
        </w:tc>
        <w:tc>
          <w:tcPr>
            <w:tcW w:w="796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at senior levels in public companies; </w:t>
            </w:r>
          </w:p>
        </w:tc>
      </w:tr>
    </w:tbl>
    <w:tbl>
      <w:tblPr>
        <w:tblW w:w="5000" w:type="pct"/>
        <w:jc w:val="left"/>
        <w:tblInd w:w="0" w:type="dxa"/>
        <w:tblLayout w:type="fixed"/>
        <w:tblCellMar>
          <w:top w:w="0" w:type="dxa"/>
          <w:left w:w="0" w:type="dxa"/>
          <w:bottom w:w="0" w:type="dxa"/>
          <w:right w:w="0" w:type="dxa"/>
        </w:tblCellMar>
      </w:tblPr>
      <w:tblGrid>
        <w:gridCol w:w="1939"/>
        <w:gridCol w:w="304"/>
        <w:gridCol w:w="7962"/>
      </w:tblGrid>
      <w:tr>
        <w:trPr/>
        <w:tc>
          <w:tcPr>
            <w:tcW w:w="193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o</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 expertise; </w:t>
            </w:r>
          </w:p>
        </w:tc>
      </w:tr>
    </w:tbl>
    <w:tbl>
      <w:tblPr>
        <w:tblW w:w="5000" w:type="pct"/>
        <w:jc w:val="left"/>
        <w:tblInd w:w="0" w:type="dxa"/>
        <w:tblLayout w:type="fixed"/>
        <w:tblCellMar>
          <w:top w:w="0" w:type="dxa"/>
          <w:left w:w="0" w:type="dxa"/>
          <w:bottom w:w="0" w:type="dxa"/>
          <w:right w:w="0" w:type="dxa"/>
        </w:tblCellMar>
      </w:tblPr>
      <w:tblGrid>
        <w:gridCol w:w="1938"/>
        <w:gridCol w:w="307"/>
        <w:gridCol w:w="7960"/>
      </w:tblGrid>
      <w:tr>
        <w:trPr/>
        <w:tc>
          <w:tcPr>
            <w:tcW w:w="1938"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o</w:t>
            </w:r>
          </w:p>
        </w:tc>
        <w:tc>
          <w:tcPr>
            <w:tcW w:w="796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Experience in leadership roles in clinical and commercial-stage companies in the biotechnology or healthcare fields; </w:t>
            </w:r>
          </w:p>
        </w:tc>
      </w:tr>
    </w:tbl>
    <w:tbl>
      <w:tblPr>
        <w:tblW w:w="5000" w:type="pct"/>
        <w:jc w:val="left"/>
        <w:tblInd w:w="0" w:type="dxa"/>
        <w:tblLayout w:type="fixed"/>
        <w:tblCellMar>
          <w:top w:w="0" w:type="dxa"/>
          <w:left w:w="0" w:type="dxa"/>
          <w:bottom w:w="0" w:type="dxa"/>
          <w:right w:w="0" w:type="dxa"/>
        </w:tblCellMar>
      </w:tblPr>
      <w:tblGrid>
        <w:gridCol w:w="407"/>
        <w:gridCol w:w="612"/>
        <w:gridCol w:w="102"/>
        <w:gridCol w:w="9084"/>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Personal integrity and ethical character, commitment and independence of thought and judgment; </w:t>
            </w:r>
          </w:p>
        </w:tc>
      </w:tr>
    </w:tbl>
    <w:tbl>
      <w:tblPr>
        <w:tblW w:w="5000" w:type="pct"/>
        <w:jc w:val="left"/>
        <w:tblInd w:w="0" w:type="dxa"/>
        <w:tblLayout w:type="fixed"/>
        <w:tblCellMar>
          <w:top w:w="0" w:type="dxa"/>
          <w:left w:w="0" w:type="dxa"/>
          <w:bottom w:w="0" w:type="dxa"/>
          <w:right w:w="0" w:type="dxa"/>
        </w:tblCellMar>
      </w:tblPr>
      <w:tblGrid>
        <w:gridCol w:w="407"/>
        <w:gridCol w:w="612"/>
        <w:gridCol w:w="102"/>
        <w:gridCol w:w="9084"/>
      </w:tblGrid>
      <w:tr>
        <w:trPr/>
        <w:tc>
          <w:tcPr>
            <w:tcW w:w="407"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Capability to fairly and equally act in the best interest of our stockholders; </w:t>
            </w:r>
          </w:p>
        </w:tc>
      </w:tr>
    </w:tbl>
    <w:tbl>
      <w:tblPr>
        <w:tblW w:w="5000" w:type="pct"/>
        <w:jc w:val="left"/>
        <w:tblInd w:w="0" w:type="dxa"/>
        <w:tblLayout w:type="fixed"/>
        <w:tblCellMar>
          <w:top w:w="0" w:type="dxa"/>
          <w:left w:w="0" w:type="dxa"/>
          <w:bottom w:w="0" w:type="dxa"/>
          <w:right w:w="0" w:type="dxa"/>
        </w:tblCellMar>
      </w:tblPr>
      <w:tblGrid>
        <w:gridCol w:w="407"/>
        <w:gridCol w:w="611"/>
        <w:gridCol w:w="102"/>
        <w:gridCol w:w="9085"/>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Confidence and willingness to express ideas and engage in constructive discussion with other Board members and management, to actively participate in the Boards decision-making process and make difficult decisions in the best interest of the Company and its stockholders; </w:t>
            </w:r>
          </w:p>
        </w:tc>
      </w:tr>
    </w:tbl>
    <w:tbl>
      <w:tblPr>
        <w:tblW w:w="5000" w:type="pct"/>
        <w:jc w:val="left"/>
        <w:tblInd w:w="0" w:type="dxa"/>
        <w:tblLayout w:type="fixed"/>
        <w:tblCellMar>
          <w:top w:w="0" w:type="dxa"/>
          <w:left w:w="0" w:type="dxa"/>
          <w:bottom w:w="0" w:type="dxa"/>
          <w:right w:w="0" w:type="dxa"/>
        </w:tblCellMar>
      </w:tblPr>
      <w:tblGrid>
        <w:gridCol w:w="407"/>
        <w:gridCol w:w="611"/>
        <w:gridCol w:w="101"/>
        <w:gridCol w:w="9086"/>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Ability to contribute to the diversity of personal and professional experiences, skills, knowledge, opinions, perspectives, and backgrounds on the Board; </w:t>
            </w:r>
          </w:p>
        </w:tc>
      </w:tr>
    </w:tbl>
    <w:tbl>
      <w:tblPr>
        <w:tblW w:w="5000" w:type="pct"/>
        <w:jc w:val="left"/>
        <w:tblInd w:w="0" w:type="dxa"/>
        <w:tblLayout w:type="fixed"/>
        <w:tblCellMar>
          <w:top w:w="0" w:type="dxa"/>
          <w:left w:w="0" w:type="dxa"/>
          <w:bottom w:w="0" w:type="dxa"/>
          <w:right w:w="0" w:type="dxa"/>
        </w:tblCellMar>
      </w:tblPr>
      <w:tblGrid>
        <w:gridCol w:w="406"/>
        <w:gridCol w:w="612"/>
        <w:gridCol w:w="102"/>
        <w:gridCol w:w="9085"/>
      </w:tblGrid>
      <w:tr>
        <w:trPr/>
        <w:tc>
          <w:tcPr>
            <w:tcW w:w="406"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Willingness and ability to devote sufficient time, energy and attention to the affairs of the Company and the Board; and </w:t>
            </w:r>
          </w:p>
        </w:tc>
      </w:tr>
    </w:tbl>
    <w:tbl>
      <w:tblPr>
        <w:tblW w:w="5000" w:type="pct"/>
        <w:jc w:val="left"/>
        <w:tblInd w:w="0" w:type="dxa"/>
        <w:tblLayout w:type="fixed"/>
        <w:tblCellMar>
          <w:top w:w="0" w:type="dxa"/>
          <w:left w:w="0" w:type="dxa"/>
          <w:bottom w:w="0" w:type="dxa"/>
          <w:right w:w="0" w:type="dxa"/>
        </w:tblCellMar>
      </w:tblPr>
      <w:tblGrid>
        <w:gridCol w:w="407"/>
        <w:gridCol w:w="611"/>
        <w:gridCol w:w="102"/>
        <w:gridCol w:w="9085"/>
      </w:tblGrid>
      <w:tr>
        <w:trPr/>
        <w:tc>
          <w:tcPr>
            <w:tcW w:w="407"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Lack of actual and potential conflicts of interest.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BOARD OF DIRECTORS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Nominating and Corporate Governance Committee also considers, on an ongoing basis, the background, experience, skills and overall service to the Company, including level of participation and quality of performance, of the incumbent directors that are important to our current and future business needs, including, among others, the combined mix of experience in the following areas: finance, executive management, the formation and development of start-up companies in the life sciences industry, public company governance and management and biopharmaceutical product development/commercialization. </w:t>
      </w:r>
    </w:p>
    <w:p>
      <w:pPr>
        <w:pStyle w:val="TextBody"/>
        <w:bidi w:val="0"/>
        <w:spacing w:before="200" w:after="0"/>
        <w:jc w:val="both"/>
        <w:rPr>
          <w:rFonts w:ascii="Times New Roman" w:hAnsi="Times New Roman"/>
          <w:sz w:val="20"/>
        </w:rPr>
      </w:pPr>
      <w:r>
        <w:rPr>
          <w:rFonts w:ascii="Times New Roman" w:hAnsi="Times New Roman"/>
          <w:sz w:val="20"/>
        </w:rPr>
        <w:t xml:space="preserve">In recruiting and selecting Board candidates, the Nominating and Corporate Governance Committee considers the size of the Board and the skills of the candidates. The Nominating and Corporate Governance Committee reviews the professional experience and qualifications of each Board member and candidate to determine whether a particular Board member or candidate possesses the necessary skills and/or other attributes to qualify him or her for service on a particular committee.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While the Company does not have a formal policy on Board diversity, the Company seeks to maintain a Board comprised of talented and dedicated directors whose skills and backgrounds reflect the diverse nature of the business environment in which the Company operates. The Nominating and Corporate Governance Committee considers the value of diversity on the Board in evaluating director nominees and accordingly, includes in their evaluation consideration of their ability to contribute to the diversity of personal and professional experiences, skills, knowledge, opinions, perspectives and backgrounds on the Board. </w:t>
      </w:r>
    </w:p>
    <w:p>
      <w:pPr>
        <w:pStyle w:val="TextBody"/>
        <w:bidi w:val="0"/>
        <w:spacing w:before="200" w:after="0"/>
        <w:jc w:val="left"/>
        <w:rPr>
          <w:rFonts w:ascii="Times New Roman" w:hAnsi="Times New Roman"/>
          <w:b/>
          <w:sz w:val="20"/>
        </w:rPr>
      </w:pPr>
      <w:r>
        <w:rPr>
          <w:rFonts w:ascii="Times New Roman" w:hAnsi="Times New Roman"/>
          <w:b/>
          <w:sz w:val="20"/>
        </w:rPr>
        <w:t xml:space="preserve">Potential Director Candidates </w:t>
      </w:r>
    </w:p>
    <w:p>
      <w:pPr>
        <w:pStyle w:val="TextBody"/>
        <w:bidi w:val="0"/>
        <w:spacing w:before="200" w:after="0"/>
        <w:jc w:val="both"/>
        <w:rPr>
          <w:rFonts w:ascii="Times New Roman" w:hAnsi="Times New Roman"/>
          <w:sz w:val="20"/>
        </w:rPr>
      </w:pPr>
      <w:r>
        <w:rPr>
          <w:rFonts w:ascii="Times New Roman" w:hAnsi="Times New Roman"/>
          <w:sz w:val="20"/>
        </w:rPr>
        <w:t xml:space="preserve">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Nominating and Corporate Governance Committees nominees. </w:t>
      </w:r>
    </w:p>
    <w:p>
      <w:pPr>
        <w:pStyle w:val="TextBody"/>
        <w:bidi w:val="0"/>
        <w:spacing w:before="200" w:after="0"/>
        <w:jc w:val="left"/>
        <w:rPr>
          <w:rFonts w:ascii="Times New Roman" w:hAnsi="Times New Roman"/>
          <w:b/>
          <w:sz w:val="20"/>
        </w:rPr>
      </w:pPr>
      <w:bookmarkStart w:id="9" w:name="summary636298_7"/>
      <w:bookmarkEnd w:id="9"/>
      <w:r>
        <w:rPr>
          <w:rFonts w:ascii="Times New Roman" w:hAnsi="Times New Roman"/>
          <w:b/>
          <w:sz w:val="20"/>
        </w:rPr>
        <w:t xml:space="preserve">BOARD DIVERSITY </w:t>
      </w:r>
    </w:p>
    <w:p>
      <w:pPr>
        <w:pStyle w:val="TextBody"/>
        <w:bidi w:val="0"/>
        <w:spacing w:before="200" w:after="0"/>
        <w:jc w:val="both"/>
        <w:rPr>
          <w:rFonts w:ascii="Times New Roman" w:hAnsi="Times New Roman"/>
          <w:sz w:val="20"/>
        </w:rPr>
      </w:pPr>
      <w:r>
        <w:rPr>
          <w:rFonts w:ascii="Times New Roman" w:hAnsi="Times New Roman"/>
          <w:sz w:val="20"/>
        </w:rPr>
        <w:t xml:space="preserve">Board diversity and inclusion is critical to the success of our Company. While we do not have a formal policy on Board diversity, the Board is committed to building a Board that consists of the optimal mix of skills, expertise, knowledge, backgrounds, personal qualities and diversity so that the Board is capable of effectively overseeing the execution of our business and meeting the Companys evolving needs, with diversity reflecting gender, age, race, ethnicity, sexual orientation, gender identity, social and economic background, professional experience and perspectives. The Nominating and Corporate Governance Committee considers the value of diversity on the Board in evaluating director candidates. Accordingly, the Nominating and Corporate Governance Committees evaluation of director nominees includes consideration of their ability to contribute to the diversity of personal and professional experiences, skills, knowledge, opinions, perspectives and backgrounds on the Board.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BOARD OF DIRECTORS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As presently constituted, the Board represents a deliberate mix of members who have a deep understanding of our business as well as members who have different skill sets and points of view. The matrix below summarizes the self-identified gender and demographic background statistics for our Board. Each of the categories listed in the matrix below has the meaning given to it in Nasdaq Listing Rule 5605(f).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44"/>
        <w:gridCol w:w="120"/>
        <w:gridCol w:w="1497"/>
        <w:gridCol w:w="120"/>
        <w:gridCol w:w="1548"/>
        <w:gridCol w:w="120"/>
        <w:gridCol w:w="1699"/>
        <w:gridCol w:w="102"/>
        <w:gridCol w:w="2055"/>
      </w:tblGrid>
      <w:tr>
        <w:trPr/>
        <w:tc>
          <w:tcPr>
            <w:tcW w:w="294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10205" w:type="dxa"/>
            <w:gridSpan w:val="9"/>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9"/>
            <w:tcBorders>
              <w:left w:val="single" w:sz="2" w:space="0" w:color="000000"/>
              <w:right w:val="single" w:sz="2" w:space="0" w:color="000000"/>
            </w:tcBorders>
            <w:shd w:fill="4DC1E4" w:val="clear"/>
            <w:tcMar>
              <w:left w:w="160" w:type="dxa"/>
              <w:right w:w="40" w:type="dxa"/>
            </w:tcMar>
            <w:vAlign w:val="bottom"/>
          </w:tcPr>
          <w:p>
            <w:pPr>
              <w:pStyle w:val="TableContents"/>
              <w:bidi w:val="0"/>
              <w:spacing w:before="0" w:after="283"/>
              <w:jc w:val="center"/>
              <w:rPr>
                <w:b/>
                <w:color w:val="FFFFFF"/>
              </w:rPr>
            </w:pPr>
            <w:r>
              <w:rPr>
                <w:b/>
                <w:color w:val="FFFFFF"/>
              </w:rPr>
              <w:t>Board Diversity Matrix (As of April 29, 2024)</w:t>
            </w:r>
          </w:p>
        </w:tc>
      </w:tr>
      <w:tr>
        <w:trPr/>
        <w:tc>
          <w:tcPr>
            <w:tcW w:w="2944"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Total Number of Directors</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7141" w:type="dxa"/>
            <w:gridSpan w:val="7"/>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6</w:t>
            </w:r>
          </w:p>
        </w:tc>
      </w:tr>
      <w:tr>
        <w:trPr/>
        <w:tc>
          <w:tcPr>
            <w:tcW w:w="2944" w:type="dxa"/>
            <w:tcBorders>
              <w:left w:val="single" w:sz="2" w:space="0" w:color="000000"/>
              <w:bottom w:val="single" w:sz="2" w:space="0" w:color="000000"/>
              <w:right w:val="single" w:sz="2" w:space="0" w:color="000000"/>
            </w:tcBorders>
            <w:shd w:fill="4DC1E4" w:val="clear"/>
            <w:tcMar>
              <w:left w:w="160" w:type="dxa"/>
              <w:bottom w:w="28" w:type="dxa"/>
              <w:right w:w="28" w:type="dxa"/>
            </w:tcMar>
          </w:tcPr>
          <w:p>
            <w:pPr>
              <w:pStyle w:val="TableContents"/>
              <w:bidi w:val="0"/>
              <w:spacing w:before="0" w:after="283"/>
              <w:jc w:val="left"/>
              <w:rPr/>
            </w:pPr>
            <w:r>
              <w:rPr/>
              <w:t> </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shd w:fill="4DC1E4" w:val="clear"/>
            <w:tcMar>
              <w:bottom w:w="60" w:type="dxa"/>
              <w:right w:w="28" w:type="dxa"/>
            </w:tcMar>
            <w:vAlign w:val="bottom"/>
          </w:tcPr>
          <w:p>
            <w:pPr>
              <w:pStyle w:val="TableContents"/>
              <w:bidi w:val="0"/>
              <w:spacing w:before="0" w:after="283"/>
              <w:jc w:val="center"/>
              <w:rPr>
                <w:color w:val="FFFFFF"/>
              </w:rPr>
            </w:pPr>
            <w:r>
              <w:rPr>
                <w:color w:val="FFFFFF"/>
              </w:rPr>
              <w:t>  </w:t>
            </w:r>
            <w:r>
              <w:rPr>
                <w:i/>
                <w:color w:val="FFFFFF"/>
              </w:rPr>
              <w:t>Female</w:t>
            </w:r>
            <w:r>
              <w:rPr>
                <w:color w:val="FFFFFF"/>
              </w:rPr>
              <w:t>  </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shd w:fill="4DC1E4" w:val="clear"/>
            <w:tcMar>
              <w:bottom w:w="60" w:type="dxa"/>
              <w:right w:w="28" w:type="dxa"/>
            </w:tcMar>
            <w:vAlign w:val="bottom"/>
          </w:tcPr>
          <w:p>
            <w:pPr>
              <w:pStyle w:val="TableContents"/>
              <w:bidi w:val="0"/>
              <w:spacing w:before="0" w:after="283"/>
              <w:jc w:val="center"/>
              <w:rPr>
                <w:color w:val="FFFFFF"/>
              </w:rPr>
            </w:pPr>
            <w:r>
              <w:rPr>
                <w:color w:val="FFFFFF"/>
              </w:rPr>
              <w:t>   </w:t>
            </w:r>
            <w:r>
              <w:rPr>
                <w:i/>
                <w:color w:val="FFFFFF"/>
              </w:rPr>
              <w:t>Male</w:t>
            </w:r>
            <w:r>
              <w:rPr>
                <w:color w:val="FFFFFF"/>
              </w:rPr>
              <w:t>   </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shd w:fill="4DC1E4" w:val="clear"/>
            <w:tcMar>
              <w:bottom w:w="60" w:type="dxa"/>
              <w:right w:w="28" w:type="dxa"/>
            </w:tcMar>
            <w:vAlign w:val="bottom"/>
          </w:tcPr>
          <w:p>
            <w:pPr>
              <w:pStyle w:val="TableContents"/>
              <w:bidi w:val="0"/>
              <w:spacing w:before="0" w:after="283"/>
              <w:jc w:val="center"/>
              <w:rPr>
                <w:color w:val="FFFFFF"/>
              </w:rPr>
            </w:pPr>
            <w:r>
              <w:rPr>
                <w:color w:val="FFFFFF"/>
              </w:rPr>
              <w:t> </w:t>
            </w:r>
            <w:r>
              <w:rPr>
                <w:i/>
                <w:color w:val="FFFFFF"/>
              </w:rPr>
              <w:t xml:space="preserve">Non-Binary </w:t>
            </w:r>
            <w:r>
              <w:rPr>
                <w:color w:val="FFFFFF"/>
              </w:rPr>
              <w:t> </w:t>
            </w:r>
          </w:p>
        </w:tc>
        <w:tc>
          <w:tcPr>
            <w:tcW w:w="102"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shd w:fill="4DC1E4" w:val="clear"/>
            <w:tcMar>
              <w:bottom w:w="60" w:type="dxa"/>
              <w:right w:w="28" w:type="dxa"/>
            </w:tcMar>
            <w:vAlign w:val="bottom"/>
          </w:tcPr>
          <w:p>
            <w:pPr>
              <w:pStyle w:val="TableContents"/>
              <w:bidi w:val="0"/>
              <w:spacing w:before="0" w:after="283"/>
              <w:jc w:val="center"/>
              <w:rPr>
                <w:color w:val="FFFFFF"/>
              </w:rPr>
            </w:pPr>
            <w:r>
              <w:rPr>
                <w:color w:val="FFFFFF"/>
              </w:rPr>
              <w:t> </w:t>
            </w:r>
            <w:r>
              <w:rPr>
                <w:i/>
                <w:color w:val="FFFFFF"/>
              </w:rPr>
              <w:t>Did Not Disclose </w:t>
              <w:br/>
              <w:t>Gender</w:t>
            </w:r>
          </w:p>
        </w:tc>
      </w:tr>
      <w:tr>
        <w:trPr/>
        <w:tc>
          <w:tcPr>
            <w:tcW w:w="2944" w:type="dxa"/>
            <w:tcBorders>
              <w:left w:val="single" w:sz="2" w:space="0" w:color="000000"/>
              <w:bottom w:val="single" w:sz="2" w:space="0" w:color="000000"/>
            </w:tcBorders>
            <w:shd w:fill="4DC1E4" w:val="clear"/>
            <w:tcMar>
              <w:left w:w="160" w:type="dxa"/>
              <w:bottom w:w="28" w:type="dxa"/>
            </w:tcMar>
          </w:tcPr>
          <w:p>
            <w:pPr>
              <w:pStyle w:val="TableContents"/>
              <w:bidi w:val="0"/>
              <w:spacing w:before="0" w:after="0"/>
              <w:jc w:val="left"/>
              <w:rPr>
                <w:rFonts w:ascii="Times New Roman" w:hAnsi="Times New Roman"/>
                <w:i/>
                <w:color w:val="FFFFFF"/>
                <w:sz w:val="20"/>
              </w:rPr>
            </w:pPr>
            <w:r>
              <w:rPr>
                <w:rFonts w:ascii="Times New Roman" w:hAnsi="Times New Roman"/>
                <w:i/>
                <w:color w:val="FFFFFF"/>
                <w:sz w:val="20"/>
              </w:rPr>
              <w:t>Part I: Gender Identity</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497"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548"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699"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2"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0"/>
              <w:jc w:val="both"/>
              <w:rPr>
                <w:rFonts w:ascii="Times New Roman" w:hAnsi="Times New Roman"/>
                <w:sz w:val="20"/>
              </w:rPr>
            </w:pPr>
            <w:r>
              <w:rPr>
                <w:rFonts w:ascii="Times New Roman" w:hAnsi="Times New Roman"/>
                <w:sz w:val="20"/>
              </w:rPr>
              <w:t>Directors</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1</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4</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1</w:t>
            </w:r>
          </w:p>
        </w:tc>
      </w:tr>
      <w:tr>
        <w:trPr/>
        <w:tc>
          <w:tcPr>
            <w:tcW w:w="2944" w:type="dxa"/>
            <w:tcBorders>
              <w:left w:val="single" w:sz="2" w:space="0" w:color="000000"/>
              <w:bottom w:val="single" w:sz="2" w:space="0" w:color="000000"/>
              <w:right w:val="single" w:sz="2" w:space="0" w:color="000000"/>
            </w:tcBorders>
            <w:shd w:fill="4DC1E4" w:val="clear"/>
            <w:tcMar>
              <w:left w:w="160" w:type="dxa"/>
              <w:bottom w:w="28" w:type="dxa"/>
              <w:right w:w="28" w:type="dxa"/>
            </w:tcMar>
          </w:tcPr>
          <w:p>
            <w:pPr>
              <w:pStyle w:val="TableContents"/>
              <w:bidi w:val="0"/>
              <w:spacing w:before="0" w:after="283"/>
              <w:jc w:val="left"/>
              <w:rPr>
                <w:i/>
                <w:color w:val="FFFFFF"/>
              </w:rPr>
            </w:pPr>
            <w:r>
              <w:rPr>
                <w:i/>
                <w:color w:val="FFFFFF"/>
              </w:rPr>
              <w:t>Part II: Demographic Background</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shd w:fill="4DC1E4" w:val="clear"/>
            <w:tcMar>
              <w:bottom w:w="28" w:type="dxa"/>
              <w:right w:w="28" w:type="dxa"/>
            </w:tcMar>
            <w:vAlign w:val="center"/>
          </w:tcPr>
          <w:p>
            <w:pPr>
              <w:pStyle w:val="TableContents"/>
              <w:bidi w:val="0"/>
              <w:spacing w:before="0" w:after="283"/>
              <w:jc w:val="left"/>
              <w:rPr/>
            </w:pPr>
            <w:r>
              <w:rPr/>
              <w:t> </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shd w:fill="4DC1E4" w:val="clear"/>
            <w:tcMar>
              <w:bottom w:w="28" w:type="dxa"/>
              <w:right w:w="28" w:type="dxa"/>
            </w:tcMar>
            <w:vAlign w:val="center"/>
          </w:tcPr>
          <w:p>
            <w:pPr>
              <w:pStyle w:val="TableContents"/>
              <w:bidi w:val="0"/>
              <w:spacing w:before="0" w:after="283"/>
              <w:jc w:val="left"/>
              <w:rPr/>
            </w:pPr>
            <w:r>
              <w:rPr/>
              <w:t> </w:t>
            </w:r>
          </w:p>
        </w:tc>
        <w:tc>
          <w:tcPr>
            <w:tcW w:w="12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shd w:fill="4DC1E4" w:val="clear"/>
            <w:tcMar>
              <w:bottom w:w="28" w:type="dxa"/>
              <w:right w:w="28" w:type="dxa"/>
            </w:tcMar>
            <w:vAlign w:val="center"/>
          </w:tcPr>
          <w:p>
            <w:pPr>
              <w:pStyle w:val="TableContents"/>
              <w:bidi w:val="0"/>
              <w:spacing w:before="0" w:after="283"/>
              <w:jc w:val="left"/>
              <w:rPr/>
            </w:pPr>
            <w:r>
              <w:rPr/>
              <w:t> </w:t>
            </w:r>
          </w:p>
        </w:tc>
        <w:tc>
          <w:tcPr>
            <w:tcW w:w="102"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shd w:fill="4DC1E4" w:val="clear"/>
            <w:tcMar>
              <w:bottom w:w="28" w:type="dxa"/>
              <w:right w:w="28" w:type="dxa"/>
            </w:tcMar>
            <w:vAlign w:val="center"/>
          </w:tcPr>
          <w:p>
            <w:pPr>
              <w:pStyle w:val="TableContents"/>
              <w:bidi w:val="0"/>
              <w:spacing w:before="0" w:after="283"/>
              <w:jc w:val="left"/>
              <w:rPr/>
            </w:pPr>
            <w:r>
              <w:rPr/>
              <w:t> </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African American or Black</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left"/>
              <w:rPr/>
            </w:pPr>
            <w:r>
              <w:rPr/>
              <w:t>Alaskan Native or Native American</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Asian</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Hispanic or Latinx</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left"/>
              <w:rPr/>
            </w:pPr>
            <w:r>
              <w:rPr/>
              <w:t>Native Hawaiian or Pacific Islander</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White</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4</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1617"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668"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1819" w:type="dxa"/>
            <w:gridSpan w:val="2"/>
            <w:tcBorders>
              <w:right w:val="single" w:sz="2" w:space="0" w:color="000000"/>
            </w:tcBorders>
            <w:tcMar>
              <w:right w:w="28" w:type="dxa"/>
            </w:tcMar>
            <w:vAlign w:val="center"/>
          </w:tcPr>
          <w:p>
            <w:pPr>
              <w:pStyle w:val="TableContents"/>
              <w:bidi w:val="0"/>
              <w:spacing w:before="0" w:after="283"/>
              <w:jc w:val="left"/>
              <w:rPr/>
            </w:pPr>
            <w:r>
              <w:rPr/>
              <w:t> </w:t>
            </w:r>
          </w:p>
        </w:tc>
        <w:tc>
          <w:tcPr>
            <w:tcW w:w="215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left"/>
              <w:rPr/>
            </w:pPr>
            <w:r>
              <w:rPr/>
              <w:t>Two or More Races or Ethnicities</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97"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48"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99"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2055" w:type="dxa"/>
            <w:tcBorders>
              <w:bottom w:val="single" w:sz="2" w:space="0" w:color="000000"/>
              <w:right w:val="single" w:sz="2" w:space="0" w:color="000000"/>
            </w:tcBorders>
            <w:tcMar>
              <w:bottom w:w="40" w:type="dxa"/>
              <w:right w:w="28"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7261" w:type="dxa"/>
            <w:gridSpan w:val="8"/>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LGBTQ+</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7141" w:type="dxa"/>
            <w:gridSpan w:val="7"/>
            <w:tcBorders>
              <w:bottom w:val="single" w:sz="2" w:space="0" w:color="000000"/>
              <w:right w:val="single" w:sz="2" w:space="0" w:color="000000"/>
            </w:tcBorders>
            <w:tcMar>
              <w:bottom w:w="40" w:type="dxa"/>
              <w:right w:w="40" w:type="dxa"/>
            </w:tcMar>
            <w:vAlign w:val="center"/>
          </w:tcPr>
          <w:p>
            <w:pPr>
              <w:pStyle w:val="TableContents"/>
              <w:bidi w:val="0"/>
              <w:spacing w:before="0" w:after="283"/>
              <w:jc w:val="center"/>
              <w:rPr/>
            </w:pPr>
            <w:r>
              <w:rPr/>
              <w:t></w:t>
            </w:r>
          </w:p>
        </w:tc>
      </w:tr>
      <w:tr>
        <w:trPr>
          <w:trHeight w:val="30" w:hRule="atLeast"/>
        </w:trPr>
        <w:tc>
          <w:tcPr>
            <w:tcW w:w="2944"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7261" w:type="dxa"/>
            <w:gridSpan w:val="8"/>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944" w:type="dxa"/>
            <w:tcBorders>
              <w:left w:val="single" w:sz="2" w:space="0" w:color="000000"/>
              <w:bottom w:val="single" w:sz="2" w:space="0" w:color="000000"/>
              <w:right w:val="single" w:sz="2" w:space="0" w:color="000000"/>
            </w:tcBorders>
            <w:tcMar>
              <w:left w:w="160" w:type="dxa"/>
              <w:bottom w:w="40" w:type="dxa"/>
              <w:right w:w="28" w:type="dxa"/>
            </w:tcMar>
            <w:vAlign w:val="bottom"/>
          </w:tcPr>
          <w:p>
            <w:pPr>
              <w:pStyle w:val="TableContents"/>
              <w:bidi w:val="0"/>
              <w:spacing w:before="0" w:after="283"/>
              <w:jc w:val="left"/>
              <w:rPr/>
            </w:pPr>
            <w:r>
              <w:rPr/>
              <w:t>Did Not Disclose Demographic Background</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7141" w:type="dxa"/>
            <w:gridSpan w:val="7"/>
            <w:tcBorders>
              <w:bottom w:val="single" w:sz="2" w:space="0" w:color="000000"/>
              <w:right w:val="single" w:sz="2" w:space="0" w:color="000000"/>
            </w:tcBorders>
            <w:tcMar>
              <w:bottom w:w="40" w:type="dxa"/>
              <w:right w:w="40" w:type="dxa"/>
            </w:tcMar>
            <w:vAlign w:val="center"/>
          </w:tcPr>
          <w:p>
            <w:pPr>
              <w:pStyle w:val="TableContents"/>
              <w:bidi w:val="0"/>
              <w:spacing w:before="0" w:after="283"/>
              <w:jc w:val="center"/>
              <w:rPr/>
            </w:pPr>
            <w:r>
              <w:rPr/>
              <w:t>2</w:t>
            </w:r>
          </w:p>
        </w:tc>
      </w:tr>
    </w:tbl>
    <w:p>
      <w:pPr>
        <w:pStyle w:val="TextBody"/>
        <w:bidi w:val="0"/>
        <w:spacing w:before="360" w:after="0"/>
        <w:jc w:val="both"/>
        <w:rPr>
          <w:rFonts w:ascii="Times New Roman" w:hAnsi="Times New Roman"/>
          <w:b/>
          <w:sz w:val="20"/>
        </w:rPr>
      </w:pPr>
      <w:bookmarkStart w:id="10" w:name="summary636298_8"/>
      <w:bookmarkEnd w:id="10"/>
      <w:r>
        <w:rPr>
          <w:rFonts w:ascii="Times New Roman" w:hAnsi="Times New Roman"/>
          <w:b/>
          <w:sz w:val="20"/>
        </w:rPr>
        <w:t xml:space="preserve">BOARD OVERSIGHT OF COMPANY CULTURE AND ENVIRONMENTAL, SOCIAL AND GOVERNANCE HIGHLIGHTS </w:t>
      </w:r>
    </w:p>
    <w:p>
      <w:pPr>
        <w:pStyle w:val="TextBody"/>
        <w:bidi w:val="0"/>
        <w:spacing w:before="200" w:after="0"/>
        <w:jc w:val="both"/>
        <w:rPr>
          <w:rFonts w:ascii="Times New Roman" w:hAnsi="Times New Roman"/>
          <w:sz w:val="20"/>
        </w:rPr>
      </w:pPr>
      <w:r>
        <w:rPr>
          <w:rFonts w:ascii="Times New Roman" w:hAnsi="Times New Roman"/>
          <w:sz w:val="20"/>
        </w:rPr>
        <w:t xml:space="preserve">Our Board is committed to fostering a strong culture of compliance and ethical conduct and has structured its committees and their activities to support its commitment. Our Board supports managements promotion of a corporate culture of integrity, ethical behavior and compliance with laws and regulations and for ensuring that the Companys culture and its strategy are aligned. Our Board expects all directors, as well as officers and employees, to conduct themselves in a manner consistent with our Code of Business Conduct and Ethics (the Code of Conduct) and our values. Our Board believes that a strong culture of integrity, ethics and compliance is fundamental to the conduct of the Companys business, and is necessary for effective risk management, maintaining investor trust, and successful corporate governance. </w:t>
      </w:r>
    </w:p>
    <w:p>
      <w:pPr>
        <w:pStyle w:val="TextBody"/>
        <w:bidi w:val="0"/>
        <w:spacing w:before="200" w:after="0"/>
        <w:jc w:val="both"/>
        <w:rPr>
          <w:rFonts w:ascii="Times New Roman" w:hAnsi="Times New Roman"/>
          <w:sz w:val="20"/>
        </w:rPr>
      </w:pPr>
      <w:r>
        <w:rPr>
          <w:rFonts w:ascii="Times New Roman" w:hAnsi="Times New Roman"/>
          <w:sz w:val="20"/>
        </w:rPr>
        <w:t xml:space="preserve">We believe corporate responsibility is essential for good governance because it strengthens the accountability of our Board and management team. We view Environmental, Social and Governance (ESG) initiatives as long-term value drivers for the Company and our stockholders. Our focus on, and commitment to ESG initiatives,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 </w:t>
      </w:r>
    </w:p>
    <w:p>
      <w:pPr>
        <w:pStyle w:val="TextBody"/>
        <w:bidi w:val="0"/>
        <w:spacing w:before="200" w:after="0"/>
        <w:jc w:val="both"/>
        <w:rPr>
          <w:rFonts w:ascii="Times New Roman" w:hAnsi="Times New Roman"/>
          <w:sz w:val="20"/>
        </w:rPr>
      </w:pPr>
      <w:r>
        <w:rPr>
          <w:rFonts w:ascii="Times New Roman" w:hAnsi="Times New Roman"/>
          <w:sz w:val="20"/>
        </w:rPr>
        <w:t xml:space="preserve">The following is a summary of our current ESG policies and practices: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Separate Chairperson of the Board and Chief Executive Officer:</w:t>
            </w:r>
            <w:r>
              <w:rPr>
                <w:rFonts w:ascii="Times New Roman" w:hAnsi="Times New Roman"/>
                <w:sz w:val="20"/>
              </w:rPr>
              <w:t xml:space="preserve"> The offices of Chief Executive Officer (CEO) and Chairperson of the Board are separated, which allows our CEO to focus on strategic planning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BOARD OF DIRECTORS </w:t>
            </w:r>
            <w:r>
              <w:rPr>
                <w:rFonts w:ascii="Times New Roman" w:hAnsi="Times New Roman"/>
                <w:b/>
                <w:i/>
                <w:sz w:val="24"/>
              </w:rPr>
              <w:t>(continued)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and execution, as well as our day-to-day business operations, while allowing the Chairperson of the Board to lead the Board in its fundamental role of providing advice to, and oversight of, management. While our Bylaws do not require the Chairperson of the Board and CEO positions to be separate, our Board believes that having separate positions is the appropriate leadership structure for us currently and demonstrates our commitment to good corporate governance. </w:t>
            </w:r>
          </w:p>
        </w:tc>
      </w:tr>
    </w:tbl>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sz w:val="20"/>
              </w:rPr>
              <w:t>Independent Committees:</w:t>
            </w:r>
            <w:r>
              <w:rPr>
                <w:rFonts w:ascii="Times New Roman" w:hAnsi="Times New Roman"/>
                <w:sz w:val="20"/>
              </w:rPr>
              <w:t xml:space="preserve"> Each of our committees consist entirely of independent directors. </w:t>
            </w:r>
          </w:p>
        </w:tc>
      </w:tr>
    </w:tbl>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Regularly Held Executive Sessions:</w:t>
            </w:r>
            <w:r>
              <w:rPr>
                <w:rFonts w:ascii="Times New Roman" w:hAnsi="Times New Roman"/>
                <w:sz w:val="20"/>
              </w:rPr>
              <w:t xml:space="preserve"> The independent directors of our Board meet separately in executive session on a regular basis to discuss matters relating to the Company and the Board, without members of the management team present. </w:t>
            </w:r>
          </w:p>
        </w:tc>
      </w:tr>
    </w:tbl>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Code of Conduct:</w:t>
            </w:r>
            <w:r>
              <w:rPr>
                <w:rFonts w:ascii="Times New Roman" w:hAnsi="Times New Roman"/>
                <w:sz w:val="20"/>
              </w:rPr>
              <w:t xml:space="preserve"> All of our directors, officers and employees are subject to the Code of Conduct, which is available on our website at </w:t>
            </w:r>
            <w:r>
              <w:rPr>
                <w:rFonts w:ascii="Times New Roman" w:hAnsi="Times New Roman"/>
                <w:color w:val="2B7CF4"/>
                <w:sz w:val="20"/>
                <w:u w:val="single"/>
              </w:rPr>
              <w:t>www.larimartx.com</w:t>
            </w:r>
            <w:r>
              <w:rPr>
                <w:rFonts w:ascii="Times New Roman" w:hAnsi="Times New Roman"/>
                <w:sz w:val="20"/>
              </w:rPr>
              <w:t xml:space="preserve"> under Investors  Corporate Governance. </w:t>
            </w:r>
          </w:p>
        </w:tc>
      </w:tr>
    </w:tbl>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Human Capital Management:</w:t>
            </w:r>
            <w:r>
              <w:rPr>
                <w:rFonts w:ascii="Times New Roman" w:hAnsi="Times New Roman"/>
                <w:sz w:val="20"/>
              </w:rPr>
              <w:t xml:space="preserve"> We are committed to the health and welfare of our employees. We support the development of our employees with a competitive compensation and benefits package, health and wellness programs, internal advancement, and individualized development opportunities. </w:t>
            </w:r>
          </w:p>
        </w:tc>
      </w:tr>
    </w:tbl>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b/>
                <w:sz w:val="20"/>
              </w:rPr>
              <w:t>Diversity and Inclusion:</w:t>
            </w:r>
            <w:r>
              <w:rPr>
                <w:rFonts w:ascii="Times New Roman" w:hAnsi="Times New Roman"/>
                <w:sz w:val="20"/>
              </w:rPr>
              <w:t xml:space="preserve"> We strive to create a workplace culture that supports a diverse, multi-cultural workforce, treats individuals fairly, and provides an inclusive environment where all employees are empowered to contribute and succeed. As of April 1, 2024, women comprise 53% of our employee workforce and 54% of our employee leaders at the level of director or above. We do not require our employees to self-identify as racial and ethnic minorities and therefore do not maintain metrics on this information. </w:t>
            </w:r>
          </w:p>
        </w:tc>
      </w:tr>
    </w:tbl>
    <w:p>
      <w:pPr>
        <w:pStyle w:val="TextBody"/>
        <w:bidi w:val="0"/>
        <w:spacing w:before="200" w:after="0"/>
        <w:jc w:val="both"/>
        <w:rPr>
          <w:rFonts w:ascii="Times New Roman" w:hAnsi="Times New Roman"/>
          <w:color w:val="4DC1E4"/>
          <w:sz w:val="20"/>
        </w:rPr>
      </w:pPr>
      <w:r>
        <w:rPr>
          <w:rFonts w:ascii="Times New Roman" w:hAnsi="Times New Roman"/>
          <w:color w:val="4DC1E4"/>
          <w:sz w:val="20"/>
        </w:rPr>
        <w:t xml:space="preserve">In each of the director nominee and continuing director biographies that follow, we highlight the specific experience, qualifications, attributes and skills that led the Board to conclude that the director nominee or continuing director should serve on our Board at this time. </w:t>
      </w:r>
    </w:p>
    <w:p>
      <w:pPr>
        <w:pStyle w:val="TextBody"/>
        <w:bidi w:val="0"/>
        <w:spacing w:before="200" w:after="0"/>
        <w:jc w:val="left"/>
        <w:rPr>
          <w:rFonts w:ascii="Times New Roman" w:hAnsi="Times New Roman"/>
          <w:b/>
          <w:sz w:val="20"/>
        </w:rPr>
      </w:pPr>
      <w:bookmarkStart w:id="11" w:name="summary636298_9"/>
      <w:bookmarkEnd w:id="11"/>
      <w:r>
        <w:rPr>
          <w:rFonts w:ascii="Times New Roman" w:hAnsi="Times New Roman"/>
          <w:b/>
          <w:sz w:val="20"/>
        </w:rPr>
        <w:t xml:space="preserve">DIRECTOR NOMINEES </w:t>
      </w:r>
    </w:p>
    <w:p>
      <w:pPr>
        <w:pStyle w:val="TextBody"/>
        <w:bidi w:val="0"/>
        <w:spacing w:before="200" w:after="0"/>
        <w:jc w:val="left"/>
        <w:rPr>
          <w:rFonts w:ascii="Times New Roman" w:hAnsi="Times New Roman"/>
          <w:b/>
          <w:i/>
          <w:sz w:val="20"/>
        </w:rPr>
      </w:pPr>
      <w:r>
        <w:rPr>
          <w:rFonts w:ascii="Times New Roman" w:hAnsi="Times New Roman"/>
          <w:b/>
          <w:i/>
          <w:sz w:val="20"/>
        </w:rPr>
        <w:t xml:space="preserve">CLASS I DIRECTORS   PRESENT TERMS EXPIRING AT THE ANNUAL MEETING AND PROPOSED TERMS TO EXPIRE AT THE 2027 ANNUAL MEETING OF STOCKHOLDERS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6"/>
        <w:gridCol w:w="121"/>
        <w:gridCol w:w="3294"/>
        <w:gridCol w:w="121"/>
        <w:gridCol w:w="3203"/>
      </w:tblGrid>
      <w:tr>
        <w:trPr/>
        <w:tc>
          <w:tcPr>
            <w:tcW w:w="346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0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5"/>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shd w:fill="4DC1E4" w:val="clear"/>
            <w:tcMar>
              <w:left w:w="160" w:type="dxa"/>
              <w:bottom w:w="60" w:type="dxa"/>
              <w:right w:w="40" w:type="dxa"/>
            </w:tcMar>
            <w:vAlign w:val="center"/>
          </w:tcPr>
          <w:p>
            <w:pPr>
              <w:pStyle w:val="TableContents"/>
              <w:bidi w:val="0"/>
              <w:spacing w:lineRule="atLeast" w:line="300" w:before="0" w:after="0"/>
              <w:jc w:val="left"/>
              <w:rPr>
                <w:color w:val="FFFFFF"/>
              </w:rPr>
            </w:pPr>
            <w:r>
              <w:rPr>
                <w:color w:val="FFFFFF"/>
              </w:rPr>
              <w:t> </w:t>
            </w:r>
            <w:r>
              <w:rPr>
                <w:rFonts w:ascii="Times New Roman" w:hAnsi="Times New Roman"/>
                <w:b/>
                <w:color w:val="FFFFFF"/>
                <w:sz w:val="20"/>
              </w:rPr>
              <w:t>J</w:t>
            </w:r>
            <w:r>
              <w:rPr>
                <w:rFonts w:ascii="Times New Roman" w:hAnsi="Times New Roman"/>
                <w:b/>
                <w:color w:val="FFFFFF"/>
                <w:sz w:val="14"/>
              </w:rPr>
              <w:t>ONATHAN</w:t>
            </w:r>
            <w:r>
              <w:rPr>
                <w:rFonts w:ascii="Times New Roman" w:hAnsi="Times New Roman"/>
                <w:b/>
                <w:color w:val="FFFFFF"/>
                <w:sz w:val="20"/>
              </w:rPr>
              <w:t xml:space="preserve"> L</w:t>
            </w:r>
            <w:r>
              <w:rPr>
                <w:rFonts w:ascii="Times New Roman" w:hAnsi="Times New Roman"/>
                <w:b/>
                <w:color w:val="FFFFFF"/>
                <w:sz w:val="14"/>
              </w:rPr>
              <w:t>EFF</w:t>
            </w:r>
          </w:p>
        </w:tc>
      </w:tr>
      <w:tr>
        <w:trPr/>
        <w:tc>
          <w:tcPr>
            <w:tcW w:w="3466" w:type="dxa"/>
            <w:tcBorders>
              <w:left w:val="single" w:sz="2" w:space="0" w:color="000000"/>
              <w:bottom w:val="single" w:sz="2" w:space="0" w:color="000000"/>
            </w:tcBorders>
            <w:tcMar>
              <w:left w:w="160" w:type="dxa"/>
              <w:bottom w:w="28" w:type="dxa"/>
            </w:tcMar>
          </w:tcPr>
          <w:p>
            <w:pPr>
              <w:pStyle w:val="TableContents"/>
              <w:bidi w:val="0"/>
              <w:spacing w:before="0" w:after="0"/>
              <w:jc w:val="left"/>
              <w:rPr/>
            </w:pPr>
            <w:r>
              <w:rPr/>
              <w:t> </w:t>
            </w:r>
            <w:r>
              <w:rPr>
                <w:rFonts w:ascii="Times New Roman" w:hAnsi="Times New Roman"/>
                <w:b/>
                <w:sz w:val="20"/>
              </w:rPr>
              <w:t>Age:</w:t>
            </w:r>
            <w:r>
              <w:rPr>
                <w:rFonts w:ascii="Times New Roman" w:hAnsi="Times New Roman"/>
                <w:sz w:val="20"/>
              </w:rPr>
              <w:t xml:space="preserve"> 55 </w:t>
              <w:br/>
              <w:t> </w:t>
            </w:r>
            <w:r>
              <w:rPr>
                <w:rFonts w:ascii="Times New Roman" w:hAnsi="Times New Roman"/>
                <w:b/>
                <w:sz w:val="20"/>
              </w:rPr>
              <w:t>Director Since:</w:t>
            </w:r>
            <w:r>
              <w:rPr>
                <w:rFonts w:ascii="Times New Roman" w:hAnsi="Times New Roman"/>
                <w:sz w:val="20"/>
              </w:rPr>
              <w:t xml:space="preserve"> 2020</w:t>
            </w:r>
          </w:p>
          <w:p>
            <w:pPr>
              <w:pStyle w:val="TableContents"/>
              <w:bidi w:val="0"/>
              <w:spacing w:before="0" w:after="20"/>
              <w:jc w:val="left"/>
              <w:rPr/>
            </w:pPr>
            <w:r>
              <w:rPr/>
              <w:t> </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94" w:type="dxa"/>
            <w:tcBorders>
              <w:bottom w:val="single" w:sz="2" w:space="0" w:color="000000"/>
              <w:right w:val="single" w:sz="2" w:space="0" w:color="000000"/>
            </w:tcBorders>
            <w:tcMar>
              <w:bottom w:w="28"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b/>
                <w:sz w:val="20"/>
              </w:rPr>
              <w:t>Committee Memberships:</w:t>
            </w:r>
            <w:r>
              <w:rPr>
                <w:rFonts w:ascii="Times New Roman" w:hAnsi="Times New Roman"/>
                <w:sz w:val="20"/>
              </w:rPr>
              <w:t xml:space="preserve"> Compensation, Nominating and Corporate Governance (Chair)</w:t>
            </w:r>
          </w:p>
          <w:p>
            <w:pPr>
              <w:pStyle w:val="TableContents"/>
              <w:bidi w:val="0"/>
              <w:spacing w:before="0" w:after="20"/>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3203"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b/>
                <w:sz w:val="20"/>
              </w:rPr>
              <w:t>Other Public Directorships:</w:t>
            </w:r>
            <w:r>
              <w:rPr>
                <w:rFonts w:ascii="Times New Roman" w:hAnsi="Times New Roman"/>
                <w:sz w:val="20"/>
              </w:rPr>
              <w:t xml:space="preserve"> None</w:t>
            </w:r>
          </w:p>
          <w:p>
            <w:pPr>
              <w:pStyle w:val="TableContents"/>
              <w:bidi w:val="0"/>
              <w:spacing w:before="0" w:after="20"/>
              <w:jc w:val="left"/>
              <w:rPr/>
            </w:pPr>
            <w:r>
              <w:rPr/>
              <w:t> </w:t>
            </w:r>
          </w:p>
        </w:tc>
      </w:tr>
    </w:tbl>
    <w:p>
      <w:pPr>
        <w:pStyle w:val="TextBody"/>
        <w:bidi w:val="0"/>
        <w:spacing w:before="200" w:after="0"/>
        <w:jc w:val="both"/>
        <w:rPr>
          <w:rFonts w:ascii="Times New Roman" w:hAnsi="Times New Roman"/>
          <w:sz w:val="20"/>
        </w:rPr>
      </w:pPr>
      <w:r>
        <w:rPr>
          <w:rFonts w:ascii="Times New Roman" w:hAnsi="Times New Roman"/>
          <w:b/>
          <w:sz w:val="20"/>
        </w:rPr>
        <w:t>Jonathan Leff</w:t>
      </w:r>
      <w:r>
        <w:rPr>
          <w:rFonts w:ascii="Times New Roman" w:hAnsi="Times New Roman"/>
          <w:sz w:val="20"/>
        </w:rPr>
        <w:t xml:space="preserve"> has served as a member of the Board since May 2020. Mr. Leff served as a member of the Chondrial Board from December 2016 until May 2020. Mr. Leff is a partner at Deerfield Management Company, L.P. and Chairman of the Deerfield Institute. He joined Deerfield in 2013 and focuses on venture capital and structured investments in biotechnology and pharmaceuticals. Prior thereto, Mr. Leff served as Managing Director at Warburg Pincus LLC from 2000 to 2012, where he led the firms investment efforts in biotechnology and pharmaceuticals. Mr. Leff also previously served as a member of the Executive Committee of the Board of the National Venture Capital Association (NVCA) and led NVCAs life sciences industry efforts as Chair of NVCAs Medical Innovation and Competitiveness Coalition. He also served on the Emerging Companies Section Board of the Biotechnology Industry Organization. Mr. Leff is a board member of several not-for-profit organizations, including the Spinal Muscular Atrophy Foundation and the Columbia University Medical Center Board of Advisors. Mr. Leff also previously served on the boards of several other publicly-traded biotechnology and pharmaceutical companies, including ARS Pharmaceuticals, Inc. from 2018 to 2023, Proteon Therapeutics, Inc. from 2017 to 2019 and Mirum Pharmaceuticals, Inc. from 2018 to 2019. He currently serves on the boards of several private biopharmaceutical companies and has previously served on the boards of other privately held biopharmaceutical companies. Mr. Leff received his A.B. from Harvard University, MBA from the Stanford University Graduate School of Business and M.S. in Biotechnology from Johns Hopkins University. </w:t>
      </w:r>
    </w:p>
    <w:p>
      <w:pPr>
        <w:pStyle w:val="TextBody"/>
        <w:bidi w:val="0"/>
        <w:spacing w:before="200" w:after="0"/>
        <w:jc w:val="both"/>
        <w:rPr>
          <w:rFonts w:ascii="Times New Roman" w:hAnsi="Times New Roman"/>
          <w:sz w:val="20"/>
        </w:rPr>
      </w:pPr>
      <w:r>
        <w:rPr>
          <w:rFonts w:ascii="Times New Roman" w:hAnsi="Times New Roman"/>
          <w:b/>
          <w:i/>
          <w:sz w:val="20"/>
        </w:rPr>
        <w:t>Skills &amp; Qualifications:</w:t>
      </w:r>
      <w:r>
        <w:rPr>
          <w:rFonts w:ascii="Times New Roman" w:hAnsi="Times New Roman"/>
          <w:sz w:val="20"/>
        </w:rPr>
        <w:t xml:space="preserve"> Mr. Leffs qualifications to sit on the Board include his extensive leadership, executive, managerial and business experience with life sciences companies, including experience in the investment, development and sale of multiple companies in the life sciences sector.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BOARD OF DIRECTORS </w:t>
            </w:r>
            <w:r>
              <w:rPr>
                <w:rFonts w:ascii="Times New Roman" w:hAnsi="Times New Roman"/>
                <w:b/>
                <w:i/>
                <w:sz w:val="24"/>
              </w:rPr>
              <w:t>(continued)</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0"/>
        <w:gridCol w:w="120"/>
        <w:gridCol w:w="3295"/>
        <w:gridCol w:w="120"/>
        <w:gridCol w:w="3190"/>
      </w:tblGrid>
      <w:tr>
        <w:trPr/>
        <w:tc>
          <w:tcPr>
            <w:tcW w:w="34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9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5"/>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shd w:fill="4DC1E4" w:val="clear"/>
            <w:tcMar>
              <w:left w:w="160" w:type="dxa"/>
              <w:bottom w:w="60" w:type="dxa"/>
              <w:right w:w="40" w:type="dxa"/>
            </w:tcMar>
            <w:vAlign w:val="center"/>
          </w:tcPr>
          <w:p>
            <w:pPr>
              <w:pStyle w:val="TableContents"/>
              <w:bidi w:val="0"/>
              <w:spacing w:lineRule="atLeast" w:line="300" w:before="0" w:after="0"/>
              <w:jc w:val="left"/>
              <w:rPr>
                <w:color w:val="FFFFFF"/>
              </w:rPr>
            </w:pPr>
            <w:r>
              <w:rPr>
                <w:color w:val="FFFFFF"/>
              </w:rPr>
              <w:t> </w:t>
            </w:r>
            <w:r>
              <w:rPr>
                <w:rFonts w:ascii="Times New Roman" w:hAnsi="Times New Roman"/>
                <w:b/>
                <w:color w:val="FFFFFF"/>
                <w:sz w:val="20"/>
              </w:rPr>
              <w:t>J</w:t>
            </w:r>
            <w:r>
              <w:rPr>
                <w:rFonts w:ascii="Times New Roman" w:hAnsi="Times New Roman"/>
                <w:b/>
                <w:color w:val="FFFFFF"/>
                <w:sz w:val="14"/>
              </w:rPr>
              <w:t>EFFREY</w:t>
            </w:r>
            <w:r>
              <w:rPr>
                <w:rFonts w:ascii="Times New Roman" w:hAnsi="Times New Roman"/>
                <w:b/>
                <w:color w:val="FFFFFF"/>
                <w:sz w:val="20"/>
              </w:rPr>
              <w:t xml:space="preserve"> W. S</w:t>
            </w:r>
            <w:r>
              <w:rPr>
                <w:rFonts w:ascii="Times New Roman" w:hAnsi="Times New Roman"/>
                <w:b/>
                <w:color w:val="FFFFFF"/>
                <w:sz w:val="14"/>
              </w:rPr>
              <w:t>HERMAN</w:t>
            </w:r>
            <w:r>
              <w:rPr>
                <w:rFonts w:ascii="Times New Roman" w:hAnsi="Times New Roman"/>
                <w:b/>
                <w:color w:val="FFFFFF"/>
                <w:sz w:val="20"/>
              </w:rPr>
              <w:t>, M.D., FACP</w:t>
            </w:r>
          </w:p>
        </w:tc>
      </w:tr>
      <w:tr>
        <w:trPr/>
        <w:tc>
          <w:tcPr>
            <w:tcW w:w="3480" w:type="dxa"/>
            <w:tcBorders>
              <w:left w:val="single" w:sz="2" w:space="0" w:color="000000"/>
              <w:bottom w:val="single" w:sz="2" w:space="0" w:color="000000"/>
            </w:tcBorders>
            <w:tcMar>
              <w:left w:w="160" w:type="dxa"/>
              <w:bottom w:w="28" w:type="dxa"/>
            </w:tcMar>
          </w:tcPr>
          <w:p>
            <w:pPr>
              <w:pStyle w:val="TableContents"/>
              <w:bidi w:val="0"/>
              <w:spacing w:before="0" w:after="0"/>
              <w:jc w:val="left"/>
              <w:rPr/>
            </w:pPr>
            <w:r>
              <w:rPr/>
              <w:t> </w:t>
            </w:r>
            <w:r>
              <w:rPr>
                <w:rFonts w:ascii="Times New Roman" w:hAnsi="Times New Roman"/>
                <w:b/>
                <w:sz w:val="20"/>
              </w:rPr>
              <w:t>Age:</w:t>
            </w:r>
            <w:r>
              <w:rPr>
                <w:rFonts w:ascii="Times New Roman" w:hAnsi="Times New Roman"/>
                <w:sz w:val="20"/>
              </w:rPr>
              <w:t xml:space="preserve"> 69 </w:t>
              <w:br/>
              <w:t> </w:t>
            </w:r>
            <w:r>
              <w:rPr>
                <w:rFonts w:ascii="Times New Roman" w:hAnsi="Times New Roman"/>
                <w:b/>
                <w:sz w:val="20"/>
              </w:rPr>
              <w:t>Director Since:</w:t>
            </w:r>
            <w:r>
              <w:rPr>
                <w:rFonts w:ascii="Times New Roman" w:hAnsi="Times New Roman"/>
                <w:sz w:val="20"/>
              </w:rPr>
              <w:t xml:space="preserve"> 2023</w:t>
            </w:r>
          </w:p>
          <w:p>
            <w:pPr>
              <w:pStyle w:val="TableContents"/>
              <w:bidi w:val="0"/>
              <w:spacing w:before="0" w:after="20"/>
              <w:jc w:val="left"/>
              <w:rPr/>
            </w:pPr>
            <w:r>
              <w:rPr/>
              <w:t> </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95" w:type="dxa"/>
            <w:tcBorders>
              <w:bottom w:val="single" w:sz="2" w:space="0" w:color="000000"/>
              <w:right w:val="single" w:sz="2" w:space="0" w:color="000000"/>
            </w:tcBorders>
            <w:tcMar>
              <w:bottom w:w="28" w:type="dxa"/>
              <w:right w:w="28" w:type="dxa"/>
            </w:tcMar>
            <w:vAlign w:val="bottom"/>
          </w:tcPr>
          <w:p>
            <w:pPr>
              <w:pStyle w:val="TableContents"/>
              <w:bidi w:val="0"/>
              <w:spacing w:before="0" w:after="0"/>
              <w:jc w:val="left"/>
              <w:rPr>
                <w:rFonts w:ascii="Times New Roman" w:hAnsi="Times New Roman"/>
                <w:sz w:val="20"/>
              </w:rPr>
            </w:pPr>
            <w:r>
              <w:rPr>
                <w:rFonts w:ascii="Times New Roman" w:hAnsi="Times New Roman"/>
                <w:b/>
                <w:sz w:val="20"/>
              </w:rPr>
              <w:t xml:space="preserve">Committee Memberships: </w:t>
            </w:r>
            <w:r>
              <w:rPr>
                <w:rFonts w:ascii="Times New Roman" w:hAnsi="Times New Roman"/>
                <w:sz w:val="20"/>
              </w:rPr>
              <w:t>Nominating and Corporate Governance</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3190"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b/>
                <w:sz w:val="20"/>
              </w:rPr>
              <w:t>Other Public Directorships:</w:t>
            </w:r>
            <w:r>
              <w:rPr>
                <w:rFonts w:ascii="Times New Roman" w:hAnsi="Times New Roman"/>
                <w:sz w:val="20"/>
              </w:rPr>
              <w:t xml:space="preserve"> </w:t>
            </w:r>
          </w:p>
          <w:p>
            <w:pPr>
              <w:pStyle w:val="TableContents"/>
              <w:bidi w:val="0"/>
              <w:spacing w:before="0" w:after="0"/>
              <w:jc w:val="left"/>
              <w:rPr>
                <w:rFonts w:ascii="Times New Roman" w:hAnsi="Times New Roman"/>
                <w:sz w:val="20"/>
              </w:rPr>
            </w:pPr>
            <w:r>
              <w:rPr>
                <w:rFonts w:ascii="Times New Roman" w:hAnsi="Times New Roman"/>
                <w:sz w:val="20"/>
              </w:rPr>
              <w:t>Xeris Biopharma Holdings, Inc.</w:t>
            </w:r>
          </w:p>
          <w:p>
            <w:pPr>
              <w:pStyle w:val="TableContents"/>
              <w:bidi w:val="0"/>
              <w:spacing w:before="0" w:after="20"/>
              <w:jc w:val="left"/>
              <w:rPr/>
            </w:pPr>
            <w:r>
              <w:rPr/>
              <w:t> </w:t>
            </w:r>
          </w:p>
        </w:tc>
      </w:tr>
    </w:tbl>
    <w:p>
      <w:pPr>
        <w:pStyle w:val="TextBody"/>
        <w:bidi w:val="0"/>
        <w:spacing w:before="240" w:after="0"/>
        <w:jc w:val="both"/>
        <w:rPr>
          <w:rFonts w:ascii="Times New Roman" w:hAnsi="Times New Roman"/>
          <w:sz w:val="20"/>
        </w:rPr>
      </w:pPr>
      <w:r>
        <w:rPr>
          <w:rFonts w:ascii="Times New Roman" w:hAnsi="Times New Roman"/>
          <w:b/>
          <w:sz w:val="20"/>
        </w:rPr>
        <w:t>Jeffrey W. Sherman, M.D., FACP</w:t>
      </w:r>
      <w:r>
        <w:rPr>
          <w:rFonts w:ascii="Times New Roman" w:hAnsi="Times New Roman"/>
          <w:sz w:val="20"/>
        </w:rPr>
        <w:t xml:space="preserve"> has served as a member of the Board since October 2023. Dr. Sherman has served as a consultant at Amgen Inc. since October 2023. From 2009 to October 2023, Dr. Sherman held several positions of increasing responsibility at Horizon Therapeutics Public Limited Company (Horizon Therapeutics), a biotechnology company acquired by Amgen Inc. in October 2023, most recently serving as the Executive Vice President, Chief Medical Officer. Before joining Horizon Therapeutics, he held positions at pharmaceutical companies such as IDM Pharma, Inc., Takeda Global Research and Development, NeoPharm Inc., G.D. Searle, LLC/Pharmacia Corporation and Bristol-Myers Squibb. Dr. Sherman is a member of a number of professional societies, a board member of the Center for Healthcare Innovation, a member of the board of advisors of the Center for Information and Study on Clinical Research Participation, a former steering committee member of the U.S. Food &amp; Drug Administration sponsored Clinical Trial Transformation Initiative, a former board chairperson and now inaugural fellow of the Drug Information Association, a former member of the Global Genes Medical and Scientific Advisory Board, and involved with the National Organization for Rare Disorders and the European Organization for Rare Diseases. He has served as an Adjunct Assistant Professor of Medicine at the Northwestern University Feinberg School of Medicine and is a member of the executive committee of the alumni board, an advisory board member of the Stanford University School of Medicine Master of Science in Translational Research and Applied Medicine program, and a diplomat of the National Board of Medical Examiners and the American Board of Internal Medicine. Dr. Sherman currently serves on the board of directors of Xeris Biopharma Holdings, Inc. (Xeris Biopharma), a publicly traded biopharmaceutical company, and previously served on the boards of directors of Strongbridge Biopharma plc (Strongbridge) from October 2016 until October 2021 and Xeris Pharmaceuticals, Inc. (Xeris) from April 2018 until October 2021. Xeris acquired Strongbridge in October 2021 and in connection therewith both Xeris and Strongbridge became wholly owned subsidiaries of Xeris Biopharma. Additionally, Dr. Sherman serves on the board of directors of Sorriso Pharmaceuticals, Inc. Dr. Sherman holds a B.A. in Biology from Lake Forest College and a M.D. from the Chicago Medical School at Rosalind Franklin University of Medicine and Science. He completed an internal medicine internship, residency and chief medical residency at the McGaw Medical Center at Northwestern University Feinberg School of Medicine, an infectious diseases fellowship at the University of California, San Francisco (UCSF), and was a research associate at the Howard Hughes Medical Institute at UCSF. </w:t>
      </w:r>
    </w:p>
    <w:p>
      <w:pPr>
        <w:pStyle w:val="TextBody"/>
        <w:bidi w:val="0"/>
        <w:spacing w:before="200" w:after="0"/>
        <w:jc w:val="both"/>
        <w:rPr>
          <w:rFonts w:ascii="Times New Roman" w:hAnsi="Times New Roman"/>
          <w:sz w:val="20"/>
        </w:rPr>
      </w:pPr>
      <w:r>
        <w:rPr>
          <w:rFonts w:ascii="Times New Roman" w:hAnsi="Times New Roman"/>
          <w:b/>
          <w:i/>
          <w:sz w:val="20"/>
        </w:rPr>
        <w:t>Skills &amp; Qualifications:</w:t>
      </w:r>
      <w:r>
        <w:rPr>
          <w:rFonts w:ascii="Times New Roman" w:hAnsi="Times New Roman"/>
          <w:sz w:val="20"/>
        </w:rPr>
        <w:t xml:space="preserve"> Dr. Shermans qualifications to sit on the Board include his extensive pharmaceutical experience, including experience in regulatory and clinical strategy and therapeutic development for rare diseases. </w:t>
      </w:r>
    </w:p>
    <w:p>
      <w:pPr>
        <w:pStyle w:val="TextBody"/>
        <w:bidi w:val="0"/>
        <w:spacing w:before="200" w:after="0"/>
        <w:jc w:val="left"/>
        <w:rPr>
          <w:rFonts w:ascii="Times New Roman" w:hAnsi="Times New Roman"/>
          <w:b/>
          <w:sz w:val="20"/>
        </w:rPr>
      </w:pPr>
      <w:bookmarkStart w:id="12" w:name="summary636298_10"/>
      <w:bookmarkEnd w:id="12"/>
      <w:r>
        <w:rPr>
          <w:rFonts w:ascii="Times New Roman" w:hAnsi="Times New Roman"/>
          <w:b/>
          <w:sz w:val="20"/>
        </w:rPr>
        <w:t xml:space="preserve">CONTINUING DIRECTORS </w:t>
      </w:r>
    </w:p>
    <w:p>
      <w:pPr>
        <w:pStyle w:val="TextBody"/>
        <w:bidi w:val="0"/>
        <w:spacing w:before="200" w:after="0"/>
        <w:jc w:val="left"/>
        <w:rPr>
          <w:rFonts w:ascii="Times New Roman" w:hAnsi="Times New Roman"/>
          <w:b/>
          <w:i/>
          <w:sz w:val="20"/>
        </w:rPr>
      </w:pPr>
      <w:r>
        <w:rPr>
          <w:rFonts w:ascii="Times New Roman" w:hAnsi="Times New Roman"/>
          <w:b/>
          <w:i/>
          <w:sz w:val="20"/>
        </w:rPr>
        <w:t xml:space="preserve">CLASS II DIRECTORS   TERMS EXPIRING AT THE 2025 ANNUAL MEETING OF STOCKHOLDERS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4"/>
        <w:gridCol w:w="120"/>
        <w:gridCol w:w="3258"/>
        <w:gridCol w:w="120"/>
        <w:gridCol w:w="3233"/>
      </w:tblGrid>
      <w:tr>
        <w:trPr/>
        <w:tc>
          <w:tcPr>
            <w:tcW w:w="347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5"/>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shd w:fill="4DC1E4" w:val="clear"/>
            <w:tcMar>
              <w:left w:w="160" w:type="dxa"/>
              <w:bottom w:w="60" w:type="dxa"/>
              <w:right w:w="40" w:type="dxa"/>
            </w:tcMar>
            <w:vAlign w:val="center"/>
          </w:tcPr>
          <w:p>
            <w:pPr>
              <w:pStyle w:val="TableContents"/>
              <w:bidi w:val="0"/>
              <w:spacing w:lineRule="atLeast" w:line="300" w:before="0" w:after="0"/>
              <w:jc w:val="left"/>
              <w:rPr>
                <w:color w:val="FFFFFF"/>
              </w:rPr>
            </w:pPr>
            <w:r>
              <w:rPr>
                <w:color w:val="FFFFFF"/>
              </w:rPr>
              <w:t> </w:t>
            </w:r>
            <w:r>
              <w:rPr>
                <w:rFonts w:ascii="Times New Roman" w:hAnsi="Times New Roman"/>
                <w:b/>
                <w:color w:val="FFFFFF"/>
                <w:sz w:val="20"/>
              </w:rPr>
              <w:t>T</w:t>
            </w:r>
            <w:r>
              <w:rPr>
                <w:rFonts w:ascii="Times New Roman" w:hAnsi="Times New Roman"/>
                <w:b/>
                <w:color w:val="FFFFFF"/>
                <w:sz w:val="14"/>
              </w:rPr>
              <w:t>HOMAS</w:t>
            </w:r>
            <w:r>
              <w:rPr>
                <w:rFonts w:ascii="Times New Roman" w:hAnsi="Times New Roman"/>
                <w:b/>
                <w:color w:val="FFFFFF"/>
                <w:sz w:val="20"/>
              </w:rPr>
              <w:t xml:space="preserve"> E. H</w:t>
            </w:r>
            <w:r>
              <w:rPr>
                <w:rFonts w:ascii="Times New Roman" w:hAnsi="Times New Roman"/>
                <w:b/>
                <w:color w:val="FFFFFF"/>
                <w:sz w:val="14"/>
              </w:rPr>
              <w:t>AMILTON</w:t>
            </w:r>
          </w:p>
        </w:tc>
      </w:tr>
      <w:tr>
        <w:trPr/>
        <w:tc>
          <w:tcPr>
            <w:tcW w:w="347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Age:</w:t>
            </w:r>
            <w:r>
              <w:rPr/>
              <w:t xml:space="preserve"> 56 </w:t>
              <w:br/>
              <w:t> </w:t>
            </w:r>
            <w:r>
              <w:rPr>
                <w:b/>
              </w:rPr>
              <w:t>Director Since:</w:t>
            </w:r>
            <w:r>
              <w:rPr/>
              <w:t xml:space="preserve"> 2020</w:t>
            </w:r>
          </w:p>
        </w:tc>
        <w:tc>
          <w:tcPr>
            <w:tcW w:w="12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58" w:type="dxa"/>
            <w:tcBorders>
              <w:bottom w:val="single" w:sz="2" w:space="0" w:color="000000"/>
              <w:right w:val="single" w:sz="2" w:space="0" w:color="000000"/>
            </w:tcBorders>
            <w:tcMar>
              <w:bottom w:w="28" w:type="dxa"/>
              <w:right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Committee Memberships:</w:t>
            </w:r>
          </w:p>
          <w:p>
            <w:pPr>
              <w:pStyle w:val="TableContents"/>
              <w:bidi w:val="0"/>
              <w:spacing w:before="0" w:after="0"/>
              <w:jc w:val="left"/>
              <w:rPr>
                <w:rFonts w:ascii="Times New Roman" w:hAnsi="Times New Roman"/>
                <w:sz w:val="20"/>
              </w:rPr>
            </w:pPr>
            <w:r>
              <w:rPr>
                <w:rFonts w:ascii="Times New Roman" w:hAnsi="Times New Roman"/>
                <w:sz w:val="20"/>
              </w:rPr>
              <w:t>Audit, Nominating and Corporate Governance</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3233" w:type="dxa"/>
            <w:tcBorders>
              <w:bottom w:val="single" w:sz="2" w:space="0" w:color="000000"/>
              <w:right w:val="single" w:sz="2" w:space="0" w:color="000000"/>
            </w:tcBorders>
            <w:tcMar>
              <w:bottom w:w="28" w:type="dxa"/>
              <w:right w:w="40" w:type="dxa"/>
            </w:tcMar>
          </w:tcPr>
          <w:p>
            <w:pPr>
              <w:pStyle w:val="TableContents"/>
              <w:bidi w:val="0"/>
              <w:spacing w:before="0" w:after="283"/>
              <w:jc w:val="left"/>
              <w:rPr/>
            </w:pPr>
            <w:r>
              <w:rPr>
                <w:b/>
              </w:rPr>
              <w:t>Other Public Directorships:</w:t>
            </w:r>
            <w:r>
              <w:rPr/>
              <w:t xml:space="preserve"> Annaly Capital Management Inc.</w:t>
            </w:r>
          </w:p>
        </w:tc>
      </w:tr>
    </w:tbl>
    <w:p>
      <w:pPr>
        <w:pStyle w:val="TextBody"/>
        <w:bidi w:val="0"/>
        <w:spacing w:before="200" w:after="0"/>
        <w:jc w:val="both"/>
        <w:rPr>
          <w:rFonts w:ascii="Times New Roman" w:hAnsi="Times New Roman"/>
          <w:sz w:val="20"/>
        </w:rPr>
      </w:pPr>
      <w:r>
        <w:rPr>
          <w:rFonts w:ascii="Times New Roman" w:hAnsi="Times New Roman"/>
          <w:b/>
          <w:sz w:val="20"/>
        </w:rPr>
        <w:t>Thomas E. Hamilton</w:t>
      </w:r>
      <w:r>
        <w:rPr>
          <w:rFonts w:ascii="Times New Roman" w:hAnsi="Times New Roman"/>
          <w:sz w:val="20"/>
        </w:rPr>
        <w:t xml:space="preserve"> has served as a member of the Board since May 2020. Mr. Hamilton served as the Chairman of the board of directors of Chondrial Therapeutics, Inc. (Chondrial), with which we completed a business combination with in 2020, from Chondrials founding in 2013 until May 2020. Since 2013, Mr. Hamilton has served as the managing member of Friedreichs Ataxia Life Sciences, an early stage biotech investment company focused on bridging the gap to cure Friedreichs ataxia. From 2013 to 2019, Mr. Hamilton served as the president, chief executive officer and owner of Construction Forms, Inc. (Construction Forms), an industrial manufacturing company based in Port Washington, Wisconsin. Prior to founding Construction Forms, Mr. Hamilton spent 25 years in several leadership positions in the financial industry. Most recently, Mr. Hamilton served as a Managing Director and Strategic Advisor to the Head of Fixed Income, Currencies and Commodities at Barclays Capital in New York, New York. Prior to Barclays, Mr. Hamilton held various managing director roles at Citigroup, Inc. and Salomon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BOARD OF DIRECTORS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Brothers, Inc., where he began his career. He also serves as a director and executive committee member of the Friedreichs Ataxia Research Alliance and is the co-founder of his own charitable scientific effort, the CureFA Foundation. Since March 2019, Mr. Hamilton has served as a Director and as a member of the audit committee, risk committee and compensation committee of the board of Annaly Capital Management, Inc., a leading diversified capital manager that invests in and finances residential and commercial assets. Mr. Hamilton holds a B.S. in finance from the University of Dayton. </w:t>
      </w:r>
    </w:p>
    <w:p>
      <w:pPr>
        <w:pStyle w:val="TextBody"/>
        <w:bidi w:val="0"/>
        <w:spacing w:before="200" w:after="0"/>
        <w:jc w:val="both"/>
        <w:rPr>
          <w:rFonts w:ascii="Times New Roman" w:hAnsi="Times New Roman"/>
          <w:sz w:val="20"/>
        </w:rPr>
      </w:pPr>
      <w:r>
        <w:rPr>
          <w:rFonts w:ascii="Times New Roman" w:hAnsi="Times New Roman"/>
          <w:b/>
          <w:i/>
          <w:sz w:val="20"/>
        </w:rPr>
        <w:t>Skills &amp; Qualifications:</w:t>
      </w:r>
      <w:r>
        <w:rPr>
          <w:rFonts w:ascii="Times New Roman" w:hAnsi="Times New Roman"/>
          <w:sz w:val="20"/>
        </w:rPr>
        <w:t xml:space="preserve"> Mr. Hamiltons qualifications to sit on the Board include his extensive experience in the financial industry and leadership in developing a cure for Friedreichs ataxia, including leadership roles in organizations focused on the development of a cure for Friedreichs ataxia. </w:t>
      </w:r>
    </w:p>
    <w:p>
      <w:pPr>
        <w:pStyle w:val="TextBody"/>
        <w:bidi w:val="0"/>
        <w:spacing w:before="200" w:after="0"/>
        <w:jc w:val="left"/>
        <w:rPr>
          <w:rFonts w:ascii="Times New Roman" w:hAnsi="Times New Roman"/>
          <w:b/>
          <w:i/>
          <w:sz w:val="20"/>
        </w:rPr>
      </w:pPr>
      <w:r>
        <w:rPr>
          <w:rFonts w:ascii="Times New Roman" w:hAnsi="Times New Roman"/>
          <w:b/>
          <w:i/>
          <w:sz w:val="20"/>
        </w:rPr>
        <w:t xml:space="preserve">CLASS III DIRECTORS   TERMS EXPIRING AT THE 2026 ANNUAL MEETING OF STOCKHOLDERS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0"/>
        <w:gridCol w:w="122"/>
        <w:gridCol w:w="3302"/>
        <w:gridCol w:w="122"/>
        <w:gridCol w:w="3179"/>
      </w:tblGrid>
      <w:tr>
        <w:trPr/>
        <w:tc>
          <w:tcPr>
            <w:tcW w:w="3480"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30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7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5"/>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shd w:fill="4DC1E4" w:val="clear"/>
            <w:tcMar>
              <w:left w:w="160" w:type="dxa"/>
              <w:bottom w:w="60" w:type="dxa"/>
              <w:right w:w="40" w:type="dxa"/>
            </w:tcMar>
            <w:vAlign w:val="center"/>
          </w:tcPr>
          <w:p>
            <w:pPr>
              <w:pStyle w:val="TableContents"/>
              <w:bidi w:val="0"/>
              <w:spacing w:lineRule="atLeast" w:line="300" w:before="0" w:after="0"/>
              <w:jc w:val="left"/>
              <w:rPr>
                <w:color w:val="FFFFFF"/>
              </w:rPr>
            </w:pPr>
            <w:r>
              <w:rPr>
                <w:color w:val="FFFFFF"/>
              </w:rPr>
              <w:t> </w:t>
            </w:r>
            <w:r>
              <w:rPr>
                <w:rFonts w:ascii="Times New Roman" w:hAnsi="Times New Roman"/>
                <w:b/>
                <w:color w:val="FFFFFF"/>
                <w:sz w:val="20"/>
              </w:rPr>
              <w:t>F</w:t>
            </w:r>
            <w:r>
              <w:rPr>
                <w:rFonts w:ascii="Times New Roman" w:hAnsi="Times New Roman"/>
                <w:b/>
                <w:color w:val="FFFFFF"/>
                <w:sz w:val="14"/>
              </w:rPr>
              <w:t>RANK</w:t>
            </w:r>
            <w:r>
              <w:rPr>
                <w:rFonts w:ascii="Times New Roman" w:hAnsi="Times New Roman"/>
                <w:b/>
                <w:color w:val="FFFFFF"/>
                <w:sz w:val="20"/>
              </w:rPr>
              <w:t xml:space="preserve"> T</w:t>
            </w:r>
            <w:r>
              <w:rPr>
                <w:rFonts w:ascii="Times New Roman" w:hAnsi="Times New Roman"/>
                <w:b/>
                <w:color w:val="FFFFFF"/>
                <w:sz w:val="14"/>
              </w:rPr>
              <w:t>HOMAS</w:t>
            </w:r>
          </w:p>
        </w:tc>
      </w:tr>
      <w:tr>
        <w:trPr/>
        <w:tc>
          <w:tcPr>
            <w:tcW w:w="3480"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Age:</w:t>
            </w:r>
            <w:r>
              <w:rPr/>
              <w:t xml:space="preserve"> 54 </w:t>
              <w:br/>
              <w:t> </w:t>
            </w:r>
            <w:r>
              <w:rPr>
                <w:b/>
              </w:rPr>
              <w:t>Director Since:</w:t>
            </w:r>
            <w:r>
              <w:rPr/>
              <w:t xml:space="preserve"> 2014</w:t>
            </w:r>
          </w:p>
        </w:tc>
        <w:tc>
          <w:tcPr>
            <w:tcW w:w="122"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302" w:type="dxa"/>
            <w:tcBorders>
              <w:bottom w:val="single" w:sz="2" w:space="0" w:color="000000"/>
              <w:right w:val="single" w:sz="2" w:space="0" w:color="000000"/>
            </w:tcBorders>
            <w:tcMar>
              <w:bottom w:w="28" w:type="dxa"/>
              <w:right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Committee Memberships:</w:t>
            </w:r>
          </w:p>
          <w:p>
            <w:pPr>
              <w:pStyle w:val="TableContents"/>
              <w:bidi w:val="0"/>
              <w:spacing w:before="0" w:after="0"/>
              <w:jc w:val="left"/>
              <w:rPr>
                <w:rFonts w:ascii="Times New Roman" w:hAnsi="Times New Roman"/>
                <w:sz w:val="20"/>
              </w:rPr>
            </w:pPr>
            <w:r>
              <w:rPr>
                <w:rFonts w:ascii="Times New Roman" w:hAnsi="Times New Roman"/>
                <w:sz w:val="20"/>
              </w:rPr>
              <w:t>Audit (Chair), Compensation</w:t>
            </w:r>
          </w:p>
          <w:p>
            <w:pPr>
              <w:pStyle w:val="TableContents"/>
              <w:bidi w:val="0"/>
              <w:spacing w:before="0" w:after="20"/>
              <w:jc w:val="left"/>
              <w:rPr/>
            </w:pPr>
            <w:r>
              <w:rPr/>
              <w:t> </w:t>
            </w:r>
          </w:p>
        </w:tc>
        <w:tc>
          <w:tcPr>
            <w:tcW w:w="122" w:type="dxa"/>
            <w:tcBorders>
              <w:bottom w:val="single" w:sz="2" w:space="0" w:color="000000"/>
            </w:tcBorders>
            <w:tcMar>
              <w:bottom w:w="28" w:type="dxa"/>
            </w:tcMar>
            <w:vAlign w:val="bottom"/>
          </w:tcPr>
          <w:p>
            <w:pPr>
              <w:pStyle w:val="TableContents"/>
              <w:bidi w:val="0"/>
              <w:spacing w:before="0" w:after="283"/>
              <w:jc w:val="left"/>
              <w:rPr/>
            </w:pPr>
            <w:r>
              <w:rPr/>
              <w:t>  </w:t>
            </w:r>
          </w:p>
        </w:tc>
        <w:tc>
          <w:tcPr>
            <w:tcW w:w="3179"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b/>
                <w:sz w:val="20"/>
              </w:rPr>
            </w:pPr>
            <w:r>
              <w:rPr>
                <w:rFonts w:ascii="Times New Roman" w:hAnsi="Times New Roman"/>
                <w:b/>
                <w:sz w:val="20"/>
              </w:rPr>
              <w:t>Other Public Directorships:</w:t>
            </w:r>
          </w:p>
          <w:p>
            <w:pPr>
              <w:pStyle w:val="TableContents"/>
              <w:bidi w:val="0"/>
              <w:spacing w:before="0" w:after="20"/>
              <w:jc w:val="left"/>
              <w:rPr>
                <w:rFonts w:ascii="Times New Roman" w:hAnsi="Times New Roman"/>
                <w:sz w:val="20"/>
              </w:rPr>
            </w:pPr>
            <w:r>
              <w:rPr>
                <w:rFonts w:ascii="Times New Roman" w:hAnsi="Times New Roman"/>
                <w:sz w:val="20"/>
              </w:rPr>
              <w:t>Spero Therapeutics, Inc.</w:t>
            </w:r>
          </w:p>
        </w:tc>
      </w:tr>
    </w:tbl>
    <w:p>
      <w:pPr>
        <w:pStyle w:val="TextBody"/>
        <w:bidi w:val="0"/>
        <w:spacing w:before="200" w:after="0"/>
        <w:jc w:val="both"/>
        <w:rPr>
          <w:rFonts w:ascii="Times New Roman" w:hAnsi="Times New Roman"/>
          <w:sz w:val="20"/>
        </w:rPr>
      </w:pPr>
      <w:r>
        <w:rPr>
          <w:rFonts w:ascii="Times New Roman" w:hAnsi="Times New Roman"/>
          <w:b/>
          <w:sz w:val="20"/>
        </w:rPr>
        <w:t>Frank Thomas</w:t>
      </w:r>
      <w:r>
        <w:rPr>
          <w:rFonts w:ascii="Times New Roman" w:hAnsi="Times New Roman"/>
          <w:sz w:val="20"/>
        </w:rPr>
        <w:t xml:space="preserve"> has served as a member of the Board since June 2014. Mr. Thomas has been the President and Chief Operating Officer of Orchard Therapeutics plc (Orchard), a biotechnology company dedicated to using gene therapy to end the devastation caused by genetic and other severe diseases, since March 2020. Mr. Thomas served as Chief Operating Officer and Chief Financial Officer of Orchard from January 2020 to March 2020 and the Chief Financial Officer and Chief Business Officer of Orchard from January 2018 to December 2019. In January 2024, Orchard was acquired by Kyowa Kirin Co., Ltd., a Japan-based global specialty pharmaceutical company. Prior to joining Orchard, Mr. Thomas served as President and Chief Operating Officer of AMAG Pharmaceuticals, Inc. (AMAG), a publicly traded, specialty pharmaceutical company, from April 2015 to April 2017, and previously served as AMAGs Executive Vice President and Chief Operating Officer from May 2012 through April 2015, and as Executive Vice President, Chief Financial Officer and Treasurer from August 2011 through May 2012. Prior to joining AMAG, he served in various executive roles at public and private biotechnology and medical diagnostics companies, including Molecular Biometrics, Inc., a commercial stage medical diagnostics company, Critical Therapeutics, Inc. (Critical Therapeutics), a public biopharmaceutical company, and Esperion Therapeutics, Inc., a publicly traded biopharmaceutical company. His roles at these companies ranged at various times from Chief Executive Officer, Chief Operating Officer and Chief Financial Officer. He also served on the board of directors of Critical Therapeutics. Since July 2017, Mr. Thomas has served on the board of directors of Spero Therapeutics, Inc., a publicly traded biopharmaceutical company. Mr. Thomas was a member of the board of directors of the Massachusetts Biotechnology Council from 2007 to 2015. Mr. Thomas holds a B.B.A. from the University of Michigan, Ann Arbor. </w:t>
      </w:r>
    </w:p>
    <w:p>
      <w:pPr>
        <w:pStyle w:val="TextBody"/>
        <w:bidi w:val="0"/>
        <w:spacing w:before="200" w:after="0"/>
        <w:jc w:val="both"/>
        <w:rPr>
          <w:rFonts w:ascii="Times New Roman" w:hAnsi="Times New Roman"/>
          <w:sz w:val="20"/>
        </w:rPr>
      </w:pPr>
      <w:r>
        <w:rPr>
          <w:rFonts w:ascii="Times New Roman" w:hAnsi="Times New Roman"/>
          <w:b/>
          <w:i/>
          <w:sz w:val="20"/>
        </w:rPr>
        <w:t>Skills &amp; Qualifications:</w:t>
      </w:r>
      <w:r>
        <w:rPr>
          <w:rFonts w:ascii="Times New Roman" w:hAnsi="Times New Roman"/>
          <w:sz w:val="20"/>
        </w:rPr>
        <w:t xml:space="preserve"> Mr. Thomas qualifications to sit on the Board include his extensive management experience at biopharmaceutical companies and with financial matters, including senior leadership roles at various biopharmaceutical companies.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4"/>
        <w:gridCol w:w="121"/>
        <w:gridCol w:w="3279"/>
        <w:gridCol w:w="121"/>
        <w:gridCol w:w="3190"/>
      </w:tblGrid>
      <w:tr>
        <w:trPr/>
        <w:tc>
          <w:tcPr>
            <w:tcW w:w="34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5"/>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shd w:fill="4DC1E4" w:val="clear"/>
            <w:tcMar>
              <w:left w:w="160" w:type="dxa"/>
              <w:bottom w:w="60" w:type="dxa"/>
              <w:right w:w="40" w:type="dxa"/>
            </w:tcMar>
            <w:vAlign w:val="center"/>
          </w:tcPr>
          <w:p>
            <w:pPr>
              <w:pStyle w:val="TableContents"/>
              <w:bidi w:val="0"/>
              <w:spacing w:lineRule="atLeast" w:line="300" w:before="0" w:after="0"/>
              <w:jc w:val="left"/>
              <w:rPr>
                <w:color w:val="FFFFFF"/>
              </w:rPr>
            </w:pPr>
            <w:r>
              <w:rPr>
                <w:color w:val="FFFFFF"/>
              </w:rPr>
              <w:t> </w:t>
            </w:r>
            <w:r>
              <w:rPr>
                <w:rFonts w:ascii="Times New Roman" w:hAnsi="Times New Roman"/>
                <w:b/>
                <w:color w:val="FFFFFF"/>
                <w:sz w:val="20"/>
              </w:rPr>
              <w:t>C</w:t>
            </w:r>
            <w:r>
              <w:rPr>
                <w:rFonts w:ascii="Times New Roman" w:hAnsi="Times New Roman"/>
                <w:b/>
                <w:color w:val="FFFFFF"/>
                <w:sz w:val="14"/>
              </w:rPr>
              <w:t>AROLE</w:t>
            </w:r>
            <w:r>
              <w:rPr>
                <w:rFonts w:ascii="Times New Roman" w:hAnsi="Times New Roman"/>
                <w:b/>
                <w:color w:val="FFFFFF"/>
                <w:sz w:val="20"/>
              </w:rPr>
              <w:t xml:space="preserve"> S. B</w:t>
            </w:r>
            <w:r>
              <w:rPr>
                <w:rFonts w:ascii="Times New Roman" w:hAnsi="Times New Roman"/>
                <w:b/>
                <w:color w:val="FFFFFF"/>
                <w:sz w:val="14"/>
              </w:rPr>
              <w:t>EN</w:t>
            </w:r>
            <w:r>
              <w:rPr>
                <w:rFonts w:ascii="Times New Roman" w:hAnsi="Times New Roman"/>
                <w:b/>
                <w:color w:val="FFFFFF"/>
                <w:sz w:val="20"/>
              </w:rPr>
              <w:t>-M</w:t>
            </w:r>
            <w:r>
              <w:rPr>
                <w:rFonts w:ascii="Times New Roman" w:hAnsi="Times New Roman"/>
                <w:b/>
                <w:color w:val="FFFFFF"/>
                <w:sz w:val="14"/>
              </w:rPr>
              <w:t>AIMON</w:t>
            </w:r>
            <w:r>
              <w:rPr>
                <w:rFonts w:ascii="Times New Roman" w:hAnsi="Times New Roman"/>
                <w:b/>
                <w:color w:val="FFFFFF"/>
                <w:sz w:val="20"/>
              </w:rPr>
              <w:t>, M.D.</w:t>
            </w:r>
          </w:p>
        </w:tc>
      </w:tr>
      <w:tr>
        <w:trPr/>
        <w:tc>
          <w:tcPr>
            <w:tcW w:w="3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Age:</w:t>
            </w:r>
            <w:r>
              <w:rPr/>
              <w:t xml:space="preserve"> 65 </w:t>
              <w:br/>
              <w:t> </w:t>
            </w:r>
            <w:r>
              <w:rPr>
                <w:b/>
              </w:rPr>
              <w:t>Director Since:</w:t>
            </w:r>
            <w:r>
              <w:rPr/>
              <w:t xml:space="preserve"> 2020</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79" w:type="dxa"/>
            <w:tcBorders>
              <w:bottom w:val="single" w:sz="2" w:space="0" w:color="000000"/>
              <w:right w:val="single" w:sz="2" w:space="0" w:color="000000"/>
            </w:tcBorders>
            <w:tcMar>
              <w:bottom w:w="28" w:type="dxa"/>
              <w:right w:w="28" w:type="dxa"/>
            </w:tcMar>
          </w:tcPr>
          <w:p>
            <w:pPr>
              <w:pStyle w:val="TableContents"/>
              <w:bidi w:val="0"/>
              <w:spacing w:before="0" w:after="0"/>
              <w:jc w:val="left"/>
              <w:rPr>
                <w:rFonts w:ascii="Times New Roman" w:hAnsi="Times New Roman"/>
                <w:b/>
                <w:sz w:val="20"/>
              </w:rPr>
            </w:pPr>
            <w:r>
              <w:rPr>
                <w:rFonts w:ascii="Times New Roman" w:hAnsi="Times New Roman"/>
                <w:b/>
                <w:sz w:val="20"/>
              </w:rPr>
              <w:t>Committee Memberships:</w:t>
            </w:r>
          </w:p>
          <w:p>
            <w:pPr>
              <w:pStyle w:val="TableContents"/>
              <w:bidi w:val="0"/>
              <w:spacing w:before="0" w:after="0"/>
              <w:jc w:val="left"/>
              <w:rPr>
                <w:rFonts w:ascii="Times New Roman" w:hAnsi="Times New Roman"/>
                <w:sz w:val="20"/>
              </w:rPr>
            </w:pPr>
            <w:r>
              <w:rPr>
                <w:rFonts w:ascii="Times New Roman" w:hAnsi="Times New Roman"/>
                <w:sz w:val="20"/>
              </w:rPr>
              <w:t>None</w:t>
            </w:r>
          </w:p>
          <w:p>
            <w:pPr>
              <w:pStyle w:val="TableContents"/>
              <w:bidi w:val="0"/>
              <w:spacing w:before="0" w:after="20"/>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3190"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b/>
                <w:sz w:val="20"/>
              </w:rPr>
            </w:pPr>
            <w:r>
              <w:rPr>
                <w:rFonts w:ascii="Times New Roman" w:hAnsi="Times New Roman"/>
                <w:b/>
                <w:sz w:val="20"/>
              </w:rPr>
              <w:t>Other Public Directorships:</w:t>
            </w:r>
          </w:p>
          <w:p>
            <w:pPr>
              <w:pStyle w:val="TableContents"/>
              <w:bidi w:val="0"/>
              <w:spacing w:before="0" w:after="0"/>
              <w:jc w:val="left"/>
              <w:rPr>
                <w:rFonts w:ascii="Times New Roman" w:hAnsi="Times New Roman"/>
                <w:sz w:val="20"/>
              </w:rPr>
            </w:pPr>
            <w:r>
              <w:rPr>
                <w:rFonts w:ascii="Times New Roman" w:hAnsi="Times New Roman"/>
                <w:sz w:val="20"/>
              </w:rPr>
              <w:t>None</w:t>
            </w:r>
          </w:p>
          <w:p>
            <w:pPr>
              <w:pStyle w:val="TableContents"/>
              <w:bidi w:val="0"/>
              <w:spacing w:before="0" w:after="20"/>
              <w:jc w:val="left"/>
              <w:rPr/>
            </w:pPr>
            <w:r>
              <w:rPr/>
              <w:t> </w:t>
            </w:r>
          </w:p>
        </w:tc>
      </w:tr>
    </w:tbl>
    <w:p>
      <w:pPr>
        <w:pStyle w:val="TextBody"/>
        <w:bidi w:val="0"/>
        <w:spacing w:before="240" w:after="0"/>
        <w:jc w:val="both"/>
        <w:rPr>
          <w:rFonts w:ascii="Times New Roman" w:hAnsi="Times New Roman"/>
          <w:sz w:val="20"/>
        </w:rPr>
      </w:pPr>
      <w:r>
        <w:rPr>
          <w:rFonts w:ascii="Times New Roman" w:hAnsi="Times New Roman"/>
          <w:b/>
          <w:sz w:val="20"/>
        </w:rPr>
        <w:t>Carole S. Ben-Maimon, M.D.</w:t>
      </w:r>
      <w:r>
        <w:rPr>
          <w:rFonts w:ascii="Times New Roman" w:hAnsi="Times New Roman"/>
          <w:sz w:val="20"/>
        </w:rPr>
        <w:t xml:space="preserve"> has served as a member of the Board since May 2020. Dr. Ben-Maimon has served as the President and Chief Executive Officer of the Company since May 2020. Dr. Ben-Maimon served as the President, Chief Executive Officer of Chondrial and as a member of Chondrials board of directors from December 2016 until May 2020. Prior thereto and from 2014 to 2016, she served as an independent consultant at CSGB Consulting, LLC, where she participated in the evaluation of investment opportunities in the brand and generic industry on behalf of investment firms. Prior thereto, from September 2011 to November 2014, Dr. Ben-Maimon was the President of Global Pharmaceuticals, a subsidiary of Impax Laboratories (Impax), which was responsible for Impaxs generic business. Prior to Global Pharmaceuticals, she served as Senior Vice President, Corporate Strategy at Qualitest Pharmaceuticals, Inc. (Qualitest) from July 2009 to July 2010. Prior to her role at Qualitest, she served as Founder,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BOARD OF DIRECTORS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President and Chief Executive Officer and director of Alita Pharmaceuticals, Inc., an early stage, privately held specialty pharmaceutical company, from September 2006 to June 2009. Dr. Ben-Maimon also held executive positions with and served as a member of the board with Barr Pharmaceuticals Inc. (Barr) from 2001 to 2006, including as President and Chief Operating Officer of Duramed Research, Inc., a wholly-owned subsidiary of Barr, where she led Barrs branded female healthcare business and also served as a member of its board of directors. Prior to that, from 1993 to 2001, Dr. Ben-Maimon was at Teva Pharmaceutical Industries in various roles, including being responsible for research and development and public policy in North America from 2000 to 2001. From 2016 to 2022, Dr. Ben-Maimon served as a member of the board of directors and the audit and nominating and corporate governance committees of the board of Teligent, Inc. Dr. Ben-Maimon also serves on the board of directors of a privately-held pharmaceutical company and on the board of a not-for-profit hospital in Philadelphia, Pennsylvania. Dr. Ben-Maimon received her B.S. from the University of Pennsylvania and her M.D. from Jefferson Medical College. She completed clinical and research training in internal medicine and nephrology at Thomas Jefferson University. </w:t>
      </w:r>
    </w:p>
    <w:p>
      <w:pPr>
        <w:pStyle w:val="TextBody"/>
        <w:bidi w:val="0"/>
        <w:spacing w:before="200" w:after="0"/>
        <w:jc w:val="both"/>
        <w:rPr>
          <w:rFonts w:ascii="Times New Roman" w:hAnsi="Times New Roman"/>
          <w:sz w:val="20"/>
        </w:rPr>
      </w:pPr>
      <w:r>
        <w:rPr>
          <w:rFonts w:ascii="Times New Roman" w:hAnsi="Times New Roman"/>
          <w:b/>
          <w:i/>
          <w:sz w:val="20"/>
        </w:rPr>
        <w:t>Skills &amp; Qualifications:</w:t>
      </w:r>
      <w:r>
        <w:rPr>
          <w:rFonts w:ascii="Times New Roman" w:hAnsi="Times New Roman"/>
          <w:sz w:val="20"/>
        </w:rPr>
        <w:t xml:space="preserve"> Dr. Ben-Maimons qualifications to sit on the Board include her knowledge of Larimars business, as well as her extensive leadership and biopharmaceutical industry experience, including senior leadership roles at publicly-traded life sciences companies.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94"/>
        <w:gridCol w:w="121"/>
        <w:gridCol w:w="3279"/>
        <w:gridCol w:w="121"/>
        <w:gridCol w:w="3190"/>
      </w:tblGrid>
      <w:tr>
        <w:trPr/>
        <w:tc>
          <w:tcPr>
            <w:tcW w:w="34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05" w:type="dxa"/>
            <w:gridSpan w:val="5"/>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r>
      <w:tr>
        <w:trPr/>
        <w:tc>
          <w:tcPr>
            <w:tcW w:w="10205" w:type="dxa"/>
            <w:gridSpan w:val="5"/>
            <w:tcBorders>
              <w:left w:val="single" w:sz="2" w:space="0" w:color="000000"/>
              <w:bottom w:val="single" w:sz="2" w:space="0" w:color="000000"/>
              <w:right w:val="single" w:sz="2" w:space="0" w:color="000000"/>
            </w:tcBorders>
            <w:shd w:fill="4DC1E4" w:val="clear"/>
            <w:tcMar>
              <w:left w:w="160" w:type="dxa"/>
              <w:bottom w:w="60" w:type="dxa"/>
              <w:right w:w="40" w:type="dxa"/>
            </w:tcMar>
            <w:vAlign w:val="center"/>
          </w:tcPr>
          <w:p>
            <w:pPr>
              <w:pStyle w:val="TableContents"/>
              <w:bidi w:val="0"/>
              <w:spacing w:lineRule="atLeast" w:line="300" w:before="0" w:after="0"/>
              <w:jc w:val="left"/>
              <w:rPr>
                <w:color w:val="FFFFFF"/>
              </w:rPr>
            </w:pPr>
            <w:r>
              <w:rPr>
                <w:color w:val="FFFFFF"/>
              </w:rPr>
              <w:t> </w:t>
            </w:r>
            <w:r>
              <w:rPr>
                <w:rFonts w:ascii="Times New Roman" w:hAnsi="Times New Roman"/>
                <w:b/>
                <w:color w:val="FFFFFF"/>
                <w:sz w:val="20"/>
              </w:rPr>
              <w:t>J</w:t>
            </w:r>
            <w:r>
              <w:rPr>
                <w:rFonts w:ascii="Times New Roman" w:hAnsi="Times New Roman"/>
                <w:b/>
                <w:color w:val="FFFFFF"/>
                <w:sz w:val="14"/>
              </w:rPr>
              <w:t>OSEPH</w:t>
            </w:r>
            <w:r>
              <w:rPr>
                <w:rFonts w:ascii="Times New Roman" w:hAnsi="Times New Roman"/>
                <w:b/>
                <w:color w:val="FFFFFF"/>
                <w:sz w:val="20"/>
              </w:rPr>
              <w:t xml:space="preserve"> T</w:t>
            </w:r>
            <w:r>
              <w:rPr>
                <w:rFonts w:ascii="Times New Roman" w:hAnsi="Times New Roman"/>
                <w:b/>
                <w:color w:val="FFFFFF"/>
                <w:sz w:val="14"/>
              </w:rPr>
              <w:t>RUITT</w:t>
            </w:r>
          </w:p>
        </w:tc>
      </w:tr>
      <w:tr>
        <w:trPr/>
        <w:tc>
          <w:tcPr>
            <w:tcW w:w="3494"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b/>
              </w:rPr>
              <w:t>Age:</w:t>
            </w:r>
            <w:r>
              <w:rPr/>
              <w:t xml:space="preserve"> 59 </w:t>
              <w:br/>
              <w:t> </w:t>
            </w:r>
            <w:r>
              <w:rPr>
                <w:b/>
              </w:rPr>
              <w:t>Director Since:</w:t>
            </w:r>
            <w:r>
              <w:rPr/>
              <w:t xml:space="preserve"> 2020</w:t>
            </w:r>
          </w:p>
        </w:tc>
        <w:tc>
          <w:tcPr>
            <w:tcW w:w="121"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279" w:type="dxa"/>
            <w:tcBorders>
              <w:bottom w:val="single" w:sz="2" w:space="0" w:color="000000"/>
              <w:right w:val="single" w:sz="2" w:space="0" w:color="000000"/>
            </w:tcBorders>
            <w:tcMar>
              <w:bottom w:w="28" w:type="dxa"/>
              <w:right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Committee Memberships:</w:t>
            </w:r>
          </w:p>
          <w:p>
            <w:pPr>
              <w:pStyle w:val="TableContents"/>
              <w:bidi w:val="0"/>
              <w:spacing w:before="0" w:after="0"/>
              <w:jc w:val="left"/>
              <w:rPr>
                <w:rFonts w:ascii="Times New Roman" w:hAnsi="Times New Roman"/>
                <w:sz w:val="20"/>
              </w:rPr>
            </w:pPr>
            <w:r>
              <w:rPr>
                <w:rFonts w:ascii="Times New Roman" w:hAnsi="Times New Roman"/>
                <w:sz w:val="20"/>
              </w:rPr>
              <w:t>Audit, Compensation (Chair)</w:t>
            </w:r>
          </w:p>
          <w:p>
            <w:pPr>
              <w:pStyle w:val="TableContents"/>
              <w:bidi w:val="0"/>
              <w:spacing w:before="0" w:after="20"/>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3190"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b/>
                <w:sz w:val="20"/>
              </w:rPr>
            </w:pPr>
            <w:r>
              <w:rPr>
                <w:rFonts w:ascii="Times New Roman" w:hAnsi="Times New Roman"/>
                <w:b/>
                <w:sz w:val="20"/>
              </w:rPr>
              <w:t>Other Public Directorships:</w:t>
            </w:r>
          </w:p>
          <w:p>
            <w:pPr>
              <w:pStyle w:val="TableContents"/>
              <w:bidi w:val="0"/>
              <w:spacing w:before="0" w:after="20"/>
              <w:jc w:val="left"/>
              <w:rPr>
                <w:rFonts w:ascii="Times New Roman" w:hAnsi="Times New Roman"/>
                <w:sz w:val="20"/>
              </w:rPr>
            </w:pPr>
            <w:r>
              <w:rPr>
                <w:rFonts w:ascii="Times New Roman" w:hAnsi="Times New Roman"/>
                <w:sz w:val="20"/>
              </w:rPr>
              <w:t>None</w:t>
            </w:r>
          </w:p>
        </w:tc>
      </w:tr>
    </w:tbl>
    <w:p>
      <w:pPr>
        <w:pStyle w:val="TextBody"/>
        <w:bidi w:val="0"/>
        <w:spacing w:before="200" w:after="0"/>
        <w:jc w:val="both"/>
        <w:rPr>
          <w:rFonts w:ascii="Times New Roman" w:hAnsi="Times New Roman"/>
          <w:sz w:val="20"/>
        </w:rPr>
      </w:pPr>
      <w:r>
        <w:rPr>
          <w:rFonts w:ascii="Times New Roman" w:hAnsi="Times New Roman"/>
          <w:b/>
          <w:sz w:val="20"/>
        </w:rPr>
        <w:t>Joseph Truitt</w:t>
      </w:r>
      <w:r>
        <w:rPr>
          <w:rFonts w:ascii="Times New Roman" w:hAnsi="Times New Roman"/>
          <w:sz w:val="20"/>
        </w:rPr>
        <w:t xml:space="preserve"> has served as a member of the Board since May 2020. Mr. Truitt has served as the Chief Executive Officer of iECURE, Inc., a gene editing company, since March 2021 and has served on the board of Code Biotherapeutics, Inc., a gene therapy development company since December 2020. From May 2020 through December 2020, Mr. Truitt served as Chief Executive Officer of BioSpecifics Technologies Corp. (BioSpecifics), a biopharmaceutical company that develops collagenase-based therapies, which was acquired by Endo International plc in December 2020. From May 2018 until April 2020, Mr. Truitt served as President, Chief Executive Officer and member of the board of directors of Achillion Pharmaceuticals, Inc. (Achillion), a publicly-traded clinical-stage biopharmaceutical company developing small molecule drug therapies for immune system disorders, which was acquired by Alexion Pharmaceuticals, a global biopharmaceutical company, in January 2020. Prior to his appointment to the offices or President and Chief Executive Officer in 2018, Mr. Truitt served in a number of various positions at Achillion, including: Executive Vice President, Chief Operations Officer, from September 2017 until May 2018; Executive Vice President, Chief Commercial Officer, from March 2014 until September 2017; and Senior Vice President, Business Development and Chief Commercial Officer, from January 2009 until March 2014. Before joining Achillion, from July 2006 to December 2008, Mr. Truitt served as Vice President, Business Development and Product Strategy of Lev Pharmaceuticals, Inc. and, from 2000 to 2006, he served as Vice President, Sales and Operations of Johnson &amp; Johnson  OraPharma, Inc. Prior to this, be spent nine years at TAP Pharmaceuticals Inc. in a variety of sales and marketing roles before a two-year role as a consultant at IMS Health. Mr. Truitt received his B.S. in Marketing from LaSalle University and his MBA from St. Josephs University in Pharmaceutical Marketing. Mr. Truitt previously was a Captain in the United States Marine Corps. </w:t>
      </w:r>
    </w:p>
    <w:p>
      <w:pPr>
        <w:pStyle w:val="TextBody"/>
        <w:bidi w:val="0"/>
        <w:spacing w:before="200" w:after="0"/>
        <w:jc w:val="both"/>
        <w:rPr>
          <w:rFonts w:ascii="Times New Roman" w:hAnsi="Times New Roman"/>
          <w:sz w:val="20"/>
        </w:rPr>
      </w:pPr>
      <w:r>
        <w:rPr>
          <w:rFonts w:ascii="Times New Roman" w:hAnsi="Times New Roman"/>
          <w:b/>
          <w:i/>
          <w:sz w:val="20"/>
        </w:rPr>
        <w:t>Skills &amp; Qualifications:</w:t>
      </w:r>
      <w:r>
        <w:rPr>
          <w:rFonts w:ascii="Times New Roman" w:hAnsi="Times New Roman"/>
          <w:sz w:val="20"/>
        </w:rPr>
        <w:t xml:space="preserve"> Mr. Truitts qualifications to sit on the Board include extensive management experience, his prior experience as a public company director and his deep knowledge of the biopharmaceutical business.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13" w:name="summary636298_11"/>
            <w:bookmarkEnd w:id="13"/>
            <w:r>
              <w:rPr>
                <w:rFonts w:ascii="Times New Roman" w:hAnsi="Times New Roman"/>
                <w:b/>
                <w:sz w:val="24"/>
              </w:rPr>
              <w:t>CORPORATE GOVERNANCE AND RISK MANAGEMENT</w:t>
            </w:r>
          </w:p>
        </w:tc>
      </w:tr>
    </w:tbl>
    <w:p>
      <w:pPr>
        <w:pStyle w:val="TextBody"/>
        <w:bidi w:val="0"/>
        <w:spacing w:before="0" w:after="0"/>
        <w:jc w:val="left"/>
        <w:rPr/>
      </w:pPr>
      <w:r>
        <w:rPr/>
        <w:t> </w:t>
      </w:r>
    </w:p>
    <w:p>
      <w:pPr>
        <w:pStyle w:val="TextBody"/>
        <w:bidi w:val="0"/>
        <w:spacing w:before="0" w:after="0"/>
        <w:jc w:val="both"/>
        <w:rPr>
          <w:rFonts w:ascii="Times New Roman" w:hAnsi="Times New Roman"/>
          <w:color w:val="4DC1E4"/>
          <w:sz w:val="20"/>
        </w:rPr>
      </w:pPr>
      <w:r>
        <w:rPr>
          <w:rFonts w:ascii="Times New Roman" w:hAnsi="Times New Roman"/>
          <w:color w:val="4DC1E4"/>
          <w:sz w:val="20"/>
        </w:rPr>
        <w:t xml:space="preserve">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 </w:t>
      </w:r>
    </w:p>
    <w:p>
      <w:pPr>
        <w:pStyle w:val="TextBody"/>
        <w:bidi w:val="0"/>
        <w:spacing w:before="200" w:after="0"/>
        <w:jc w:val="both"/>
        <w:rPr>
          <w:rFonts w:ascii="Times New Roman" w:hAnsi="Times New Roman"/>
          <w:color w:val="4DC1E4"/>
          <w:sz w:val="20"/>
        </w:rPr>
      </w:pPr>
      <w:r>
        <w:rPr>
          <w:rFonts w:ascii="Times New Roman" w:hAnsi="Times New Roman"/>
          <w:color w:val="4DC1E4"/>
          <w:sz w:val="20"/>
        </w:rPr>
        <w:t xml:space="preserve">Our governance practices are documented in our Ninth Amended and Restated Certificate of Incorporation, as amended, our Bylaws, our Code of Conduct, our Corporate Governance Guidelines and the charters of the committees of the Board (the Committees). Aspects of our governance documents are summarized below. You can find our charters for each Committee and our Code of Conduct on our website at </w:t>
      </w:r>
      <w:r>
        <w:rPr>
          <w:rFonts w:ascii="Times New Roman" w:hAnsi="Times New Roman"/>
          <w:color w:val="4DC1E4"/>
          <w:sz w:val="20"/>
          <w:u w:val="single"/>
        </w:rPr>
        <w:t>www.larimartx.com</w:t>
      </w:r>
      <w:r>
        <w:rPr>
          <w:rFonts w:ascii="Times New Roman" w:hAnsi="Times New Roman"/>
          <w:color w:val="4DC1E4"/>
          <w:sz w:val="20"/>
        </w:rPr>
        <w:t xml:space="preserve"> under Investors  Corporate Governance. </w:t>
      </w:r>
    </w:p>
    <w:p>
      <w:pPr>
        <w:pStyle w:val="TextBody"/>
        <w:bidi w:val="0"/>
        <w:spacing w:before="200" w:after="0"/>
        <w:jc w:val="left"/>
        <w:rPr>
          <w:rFonts w:ascii="Times New Roman" w:hAnsi="Times New Roman"/>
          <w:b/>
          <w:sz w:val="20"/>
        </w:rPr>
      </w:pPr>
      <w:bookmarkStart w:id="14" w:name="summary636298_12"/>
      <w:bookmarkEnd w:id="14"/>
      <w:r>
        <w:rPr>
          <w:rFonts w:ascii="Times New Roman" w:hAnsi="Times New Roman"/>
          <w:b/>
          <w:sz w:val="20"/>
        </w:rPr>
        <w:t xml:space="preserve">BOARD INDEPENDENCE </w:t>
      </w:r>
    </w:p>
    <w:p>
      <w:pPr>
        <w:pStyle w:val="TextBody"/>
        <w:bidi w:val="0"/>
        <w:spacing w:before="200" w:after="0"/>
        <w:jc w:val="both"/>
        <w:rPr>
          <w:rFonts w:ascii="Times New Roman" w:hAnsi="Times New Roman"/>
          <w:sz w:val="20"/>
        </w:rPr>
      </w:pPr>
      <w:r>
        <w:rPr>
          <w:rFonts w:ascii="Times New Roman" w:hAnsi="Times New Roman"/>
          <w:sz w:val="20"/>
        </w:rPr>
        <w:t xml:space="preserve">Our Board has determined that each of our current directors, with the exception of Dr. Ben-Maimon, and each former director who served as a member of the Board during the last fiscal year are independent directors,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In considering the independence of the directors listed above, the Board also considered the association of each non-employee director with the holders of more than 5% of our common stock. Our independent directors generally meet in executive session at each regularly scheduled Board meeting. </w:t>
      </w:r>
    </w:p>
    <w:p>
      <w:pPr>
        <w:pStyle w:val="TextBody"/>
        <w:bidi w:val="0"/>
        <w:spacing w:before="200" w:after="0"/>
        <w:jc w:val="left"/>
        <w:rPr>
          <w:rFonts w:ascii="Times New Roman" w:hAnsi="Times New Roman"/>
          <w:b/>
          <w:sz w:val="20"/>
        </w:rPr>
      </w:pPr>
      <w:bookmarkStart w:id="15" w:name="summary636298_13"/>
      <w:bookmarkEnd w:id="15"/>
      <w:r>
        <w:rPr>
          <w:rFonts w:ascii="Times New Roman" w:hAnsi="Times New Roman"/>
          <w:b/>
          <w:sz w:val="20"/>
        </w:rPr>
        <w:t xml:space="preserve">BOARD LEADERSHIP STRUCTURE </w:t>
      </w:r>
    </w:p>
    <w:p>
      <w:pPr>
        <w:pStyle w:val="TextBody"/>
        <w:bidi w:val="0"/>
        <w:spacing w:before="200" w:after="0"/>
        <w:jc w:val="both"/>
        <w:rPr>
          <w:rFonts w:ascii="Times New Roman" w:hAnsi="Times New Roman"/>
          <w:sz w:val="20"/>
        </w:rPr>
      </w:pPr>
      <w:r>
        <w:rPr>
          <w:rFonts w:ascii="Times New Roman" w:hAnsi="Times New Roman"/>
          <w:sz w:val="20"/>
        </w:rPr>
        <w:t xml:space="preserve">Currently, our leadership structure separates the offices of CEO and Chairperson of the Board with Dr. Ben-Maimon serving as our CEO and Mr. Truitt serving as Chairperson of the Board. Separating these positions allows the CEO to focus on day-to-day business, while allowing the Chairperson of the Board to lead the Board in its fundamental role of providing advice to, and independent oversight of, management. The Board recognizes the time, effort and energy that the CEO must devote to her position in the current business environment, as well as the commitment required to serve as Chairperson of the Board, particularly as the Boards oversight responsibilities continue to grow. The Board believes it is important to retain its flexibility to allocate the responsibilities of the officers of Chairperson of the Board and CEO in any way that is in the best interest of the Company at a given point in time. Our Board believes that the separation of the positions of CEO and Chairperson of the Board reinforces the independence of the Board from management, creates an environment that encourages objective oversight of managements performance and enhances the effectiveness of our Board as a whole. Although our Bylaws do not require the Chairperson of the Board and CEO positions to be separate, the Board believes that having separate positions is the appropriate leadership structure for the Company currently. The Nominating and Corporate Governance Committee periodically evaluates our Board leadership structure and whether its leadership structure is appropriate to effectively address the specific needs of our business and the long-term interests of our stockholders. </w:t>
      </w:r>
    </w:p>
    <w:p>
      <w:pPr>
        <w:pStyle w:val="TextBody"/>
        <w:bidi w:val="0"/>
        <w:spacing w:before="200" w:after="0"/>
        <w:jc w:val="left"/>
        <w:rPr>
          <w:rFonts w:ascii="Times New Roman" w:hAnsi="Times New Roman"/>
          <w:b/>
          <w:sz w:val="20"/>
        </w:rPr>
      </w:pPr>
      <w:bookmarkStart w:id="16" w:name="summary636298_14"/>
      <w:bookmarkEnd w:id="16"/>
      <w:r>
        <w:rPr>
          <w:rFonts w:ascii="Times New Roman" w:hAnsi="Times New Roman"/>
          <w:b/>
          <w:sz w:val="20"/>
        </w:rPr>
        <w:t xml:space="preserve">BOARD COMMITTEES </w:t>
      </w:r>
    </w:p>
    <w:p>
      <w:pPr>
        <w:pStyle w:val="TextBody"/>
        <w:bidi w:val="0"/>
        <w:spacing w:before="200" w:after="0"/>
        <w:jc w:val="both"/>
        <w:rPr>
          <w:rFonts w:ascii="Times New Roman" w:hAnsi="Times New Roman"/>
          <w:sz w:val="20"/>
        </w:rPr>
      </w:pPr>
      <w:r>
        <w:rPr>
          <w:rFonts w:ascii="Times New Roman" w:hAnsi="Times New Roman"/>
          <w:sz w:val="20"/>
        </w:rPr>
        <w:t xml:space="preserve">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The primary responsibilities of each of the Committees and the Committee memberships are provided below under the section entitled Board Attendance, Committee Meetings and Committee Membership. </w:t>
      </w:r>
    </w:p>
    <w:p>
      <w:pPr>
        <w:pStyle w:val="TextBody"/>
        <w:bidi w:val="0"/>
        <w:spacing w:before="200" w:after="0"/>
        <w:jc w:val="both"/>
        <w:rPr>
          <w:rFonts w:ascii="Times New Roman" w:hAnsi="Times New Roman"/>
          <w:sz w:val="20"/>
        </w:rPr>
      </w:pPr>
      <w:r>
        <w:rPr>
          <w:rFonts w:ascii="Times New Roman" w:hAnsi="Times New Roman"/>
          <w:sz w:val="20"/>
        </w:rPr>
        <w:t xml:space="preserve">Each of the Committees has the authority, as its members deem appropriate, to engage legal counsel or other experts or consultants in order to assist the Committee in carrying out its responsibilities.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CORPORATE GOVERNANCE AND RISK MANAGEMENT </w:t>
            </w:r>
            <w:r>
              <w:rPr>
                <w:rFonts w:ascii="Times New Roman" w:hAnsi="Times New Roman"/>
                <w:b/>
                <w:i/>
                <w:sz w:val="24"/>
              </w:rPr>
              <w:t>(continued)</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b/>
          <w:sz w:val="20"/>
        </w:rPr>
      </w:pPr>
      <w:bookmarkStart w:id="17" w:name="summary636298_15"/>
      <w:bookmarkEnd w:id="17"/>
      <w:r>
        <w:rPr>
          <w:rFonts w:ascii="Times New Roman" w:hAnsi="Times New Roman"/>
          <w:b/>
          <w:sz w:val="20"/>
        </w:rPr>
        <w:t xml:space="preserve">RISK MANAGEMENT </w:t>
      </w:r>
    </w:p>
    <w:p>
      <w:pPr>
        <w:pStyle w:val="TextBody"/>
        <w:bidi w:val="0"/>
        <w:spacing w:before="200" w:after="0"/>
        <w:jc w:val="both"/>
        <w:rPr>
          <w:rFonts w:ascii="Times New Roman" w:hAnsi="Times New Roman"/>
          <w:sz w:val="20"/>
        </w:rPr>
      </w:pPr>
      <w:r>
        <w:rPr>
          <w:rFonts w:ascii="Times New Roman" w:hAnsi="Times New Roman"/>
          <w:sz w:val="20"/>
        </w:rPr>
        <w:t xml:space="preserve">While the Board has the ultimate oversight responsibility for the risk management process, including monitoring and assessing strategic risk exposure, its Committees oversee risk in certain specified areas. Pursuant to its charter, the Audit Committee oversees management of financial reporting, compliance and litigation risks, including risks related to our insurance, information technology, cybersecurity, human resources and regulatory matters, as well as the steps management has taken to monitor and control such exposures. The Compensation Committee is responsible for overseeing the management of risks relating to our executive compensation policies, plans and arrangements and the extent to which those policies or practices increase or decrease risk for the Company, while the Nominating and Corporate Governance Committee manages risks associated with the independence of the Board, potential conflicts of interest and the effectiveness of the Board. </w:t>
      </w:r>
    </w:p>
    <w:p>
      <w:pPr>
        <w:pStyle w:val="TextBody"/>
        <w:bidi w:val="0"/>
        <w:spacing w:before="200" w:after="0"/>
        <w:jc w:val="left"/>
        <w:rPr>
          <w:rFonts w:ascii="Times New Roman" w:hAnsi="Times New Roman"/>
          <w:b/>
          <w:sz w:val="20"/>
        </w:rPr>
      </w:pPr>
      <w:bookmarkStart w:id="18" w:name="summary636298_16"/>
      <w:bookmarkEnd w:id="18"/>
      <w:r>
        <w:rPr>
          <w:rFonts w:ascii="Times New Roman" w:hAnsi="Times New Roman"/>
          <w:b/>
          <w:sz w:val="20"/>
        </w:rPr>
        <w:t xml:space="preserve">EVALUATING BOARD EFFECTIVENESS </w:t>
      </w:r>
    </w:p>
    <w:p>
      <w:pPr>
        <w:pStyle w:val="TextBody"/>
        <w:bidi w:val="0"/>
        <w:spacing w:before="200" w:after="0"/>
        <w:jc w:val="both"/>
        <w:rPr>
          <w:rFonts w:ascii="Times New Roman" w:hAnsi="Times New Roman"/>
          <w:sz w:val="20"/>
        </w:rPr>
      </w:pPr>
      <w:r>
        <w:rPr>
          <w:rFonts w:ascii="Times New Roman" w:hAnsi="Times New Roman"/>
          <w:sz w:val="20"/>
        </w:rPr>
        <w:t xml:space="preserve">The Board, led by the Nominating and Corporate Governance Committee, is committed to continuous improvement and believes annual self-evaluations are an important tool for evaluating effectiveness. It conducts an annual self-evaluation of the Board, which is presented to the Board for discussion. In addition, each Committee conducts an annual self-assessment in a review process similar to that used by the Board.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5920" cy="28956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75920" cy="289560"/>
                    </a:xfrm>
                    <a:prstGeom prst="rect">
                      <a:avLst/>
                    </a:prstGeom>
                  </pic:spPr>
                </pic:pic>
              </a:graphicData>
            </a:graphic>
          </wp:inline>
        </w:drawing>
      </w:r>
      <w:r>
        <w:rPr/>
        <w:t xml:space="preserve"> </w:t>
      </w:r>
    </w:p>
    <w:p>
      <w:pPr>
        <w:pStyle w:val="TextBody"/>
        <w:bidi w:val="0"/>
        <w:spacing w:before="200" w:after="0"/>
        <w:jc w:val="left"/>
        <w:rPr>
          <w:rFonts w:ascii="Times New Roman" w:hAnsi="Times New Roman"/>
          <w:b/>
          <w:sz w:val="20"/>
        </w:rPr>
      </w:pPr>
      <w:bookmarkStart w:id="19" w:name="summary636298_17"/>
      <w:bookmarkEnd w:id="19"/>
      <w:r>
        <w:rPr>
          <w:rFonts w:ascii="Times New Roman" w:hAnsi="Times New Roman"/>
          <w:b/>
          <w:sz w:val="20"/>
        </w:rPr>
        <w:t xml:space="preserve">CODE OF CONDUCT </w:t>
      </w:r>
    </w:p>
    <w:p>
      <w:pPr>
        <w:pStyle w:val="TextBody"/>
        <w:bidi w:val="0"/>
        <w:spacing w:before="200" w:after="0"/>
        <w:jc w:val="both"/>
        <w:rPr>
          <w:rFonts w:ascii="Times New Roman" w:hAnsi="Times New Roman"/>
          <w:sz w:val="20"/>
        </w:rPr>
      </w:pPr>
      <w:r>
        <w:rPr>
          <w:rFonts w:ascii="Times New Roman" w:hAnsi="Times New Roman"/>
          <w:sz w:val="20"/>
        </w:rPr>
        <w:t xml:space="preserve">We have a written Code of Conduct that applies to our directors, officers and employees, including our principal executive officer, principal financial officer, principal accounting officer or controller, or persons performing similar functions. The Code of Conduct covers fundamental ethical and compliance-related principles and practices such as accurate accounting records and financial reporting, avoiding conflicts of interest, the protection and use of our property and information and compliance with legal and regulatory requirements. The Code of Conduct and any amendments thereto, or any waivers of its requirements, are disclosed on our website at www.larimartx.com under Investors  Corporate Governance. </w:t>
      </w:r>
    </w:p>
    <w:p>
      <w:pPr>
        <w:pStyle w:val="TextBody"/>
        <w:bidi w:val="0"/>
        <w:spacing w:before="200" w:after="0"/>
        <w:jc w:val="left"/>
        <w:rPr>
          <w:rFonts w:ascii="Times New Roman" w:hAnsi="Times New Roman"/>
          <w:b/>
          <w:sz w:val="20"/>
        </w:rPr>
      </w:pPr>
      <w:bookmarkStart w:id="20" w:name="summary636298_18"/>
      <w:bookmarkEnd w:id="20"/>
      <w:r>
        <w:rPr>
          <w:rFonts w:ascii="Times New Roman" w:hAnsi="Times New Roman"/>
          <w:b/>
          <w:sz w:val="20"/>
        </w:rPr>
        <w:t xml:space="preserve">DIRECTOR ORIENTATION AND CONTINUING EDUCATION </w:t>
      </w:r>
    </w:p>
    <w:p>
      <w:pPr>
        <w:pStyle w:val="TextBody"/>
        <w:bidi w:val="0"/>
        <w:spacing w:before="200" w:after="0"/>
        <w:jc w:val="both"/>
        <w:rPr>
          <w:rFonts w:ascii="Times New Roman" w:hAnsi="Times New Roman"/>
          <w:sz w:val="20"/>
        </w:rPr>
      </w:pPr>
      <w:r>
        <w:rPr>
          <w:rFonts w:ascii="Times New Roman" w:hAnsi="Times New Roman"/>
          <w:sz w:val="20"/>
        </w:rPr>
        <w:t xml:space="preserve">Our director orientation and continuing education programs familiarize new directors with the Companys businesses, strategies, and policies, and assists new directors in developing the skills and knowledge required for their service on the Board. From time to time, management advises, or invites outside experts to attend Board meetings to advise, the Board on its responsibilities, managements responsibilities, developments relevant to corporate governance and best corporate practices. Additionally, Board members may attend, and are encouraged to attend, director education programs.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CORPORATE GOVERNANCE AND RISK MANAGEMENT </w:t>
            </w:r>
            <w:r>
              <w:rPr>
                <w:rFonts w:ascii="Times New Roman" w:hAnsi="Times New Roman"/>
                <w:b/>
                <w:i/>
                <w:sz w:val="24"/>
              </w:rPr>
              <w:t>(continued)</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b/>
          <w:sz w:val="20"/>
        </w:rPr>
      </w:pPr>
      <w:bookmarkStart w:id="21" w:name="summary636298_19"/>
      <w:bookmarkEnd w:id="21"/>
      <w:r>
        <w:rPr>
          <w:rFonts w:ascii="Times New Roman" w:hAnsi="Times New Roman"/>
          <w:b/>
          <w:sz w:val="20"/>
        </w:rPr>
        <w:t xml:space="preserve">CORPORATE GOVERNANCE GUIDELINES </w:t>
      </w:r>
    </w:p>
    <w:p>
      <w:pPr>
        <w:pStyle w:val="TextBody"/>
        <w:bidi w:val="0"/>
        <w:spacing w:before="200" w:after="0"/>
        <w:jc w:val="both"/>
        <w:rPr>
          <w:rFonts w:ascii="Times New Roman" w:hAnsi="Times New Roman"/>
          <w:sz w:val="20"/>
        </w:rPr>
      </w:pPr>
      <w:r>
        <w:rPr>
          <w:rFonts w:ascii="Times New Roman" w:hAnsi="Times New Roman"/>
          <w:sz w:val="20"/>
        </w:rPr>
        <w:t xml:space="preserve">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 effective oversight of the Company through the appropriate balance of diversity of perspectives, experience, expertise, and skills. Our Corporate Governance Guidelines are reviewed periodically by the Nominating and Corporate Governance Committee, which recommends any proposed changes to our Board for approval. </w:t>
      </w:r>
    </w:p>
    <w:p>
      <w:pPr>
        <w:pStyle w:val="TextBody"/>
        <w:bidi w:val="0"/>
        <w:spacing w:before="200" w:after="0"/>
        <w:jc w:val="left"/>
        <w:rPr>
          <w:rFonts w:ascii="Times New Roman" w:hAnsi="Times New Roman"/>
          <w:b/>
          <w:sz w:val="20"/>
        </w:rPr>
      </w:pPr>
      <w:bookmarkStart w:id="22" w:name="summary636298_20"/>
      <w:bookmarkEnd w:id="22"/>
      <w:r>
        <w:rPr>
          <w:rFonts w:ascii="Times New Roman" w:hAnsi="Times New Roman"/>
          <w:b/>
          <w:sz w:val="20"/>
        </w:rPr>
        <w:t xml:space="preserve">BOARD ATTENDANCE, COMMITTEE MEETINGS AND COMMITTEE MEMBERSHIP </w:t>
      </w:r>
    </w:p>
    <w:p>
      <w:pPr>
        <w:pStyle w:val="TextBody"/>
        <w:bidi w:val="0"/>
        <w:spacing w:before="0" w:after="0"/>
        <w:jc w:val="left"/>
        <w:rPr/>
      </w:pPr>
      <w:r>
        <w:rPr/>
        <w:t> </w:t>
      </w:r>
    </w:p>
    <w:tbl>
      <w:tblPr>
        <w:tblW w:w="4900" w:type="pct"/>
        <w:jc w:val="left"/>
        <w:tblInd w:w="0" w:type="dxa"/>
        <w:tblLayout w:type="fixed"/>
        <w:tblCellMar>
          <w:top w:w="0" w:type="dxa"/>
          <w:left w:w="0" w:type="dxa"/>
          <w:bottom w:w="0" w:type="dxa"/>
          <w:right w:w="0" w:type="dxa"/>
        </w:tblCellMar>
      </w:tblPr>
      <w:tblGrid>
        <w:gridCol w:w="5045"/>
        <w:gridCol w:w="206"/>
        <w:gridCol w:w="1608"/>
        <w:gridCol w:w="206"/>
        <w:gridCol w:w="751"/>
        <w:gridCol w:w="206"/>
        <w:gridCol w:w="440"/>
        <w:gridCol w:w="206"/>
        <w:gridCol w:w="440"/>
        <w:gridCol w:w="141"/>
        <w:gridCol w:w="751"/>
      </w:tblGrid>
      <w:tr>
        <w:trPr/>
        <w:tc>
          <w:tcPr>
            <w:tcW w:w="5045"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5045" w:type="dxa"/>
            <w:tcBorders>
              <w:top w:val="single" w:sz="2" w:space="0" w:color="000000"/>
              <w:left w:val="single" w:sz="2" w:space="0" w:color="000000"/>
            </w:tcBorders>
            <w:shd w:fill="4DC1E4" w:val="clear"/>
            <w:tcMar>
              <w:top w:w="28" w:type="dxa"/>
              <w:left w:w="160" w:type="dxa"/>
            </w:tcMar>
            <w:vAlign w:val="center"/>
          </w:tcPr>
          <w:p>
            <w:pPr>
              <w:pStyle w:val="TableContents"/>
              <w:bidi w:val="0"/>
              <w:spacing w:before="0" w:after="283"/>
              <w:jc w:val="left"/>
              <w:rPr/>
            </w:pPr>
            <w:r>
              <w:rPr/>
              <w:t> </w:t>
            </w:r>
          </w:p>
        </w:tc>
        <w:tc>
          <w:tcPr>
            <w:tcW w:w="1814"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957"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646"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646"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892"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5045" w:type="dxa"/>
            <w:tcBorders>
              <w:left w:val="single" w:sz="2" w:space="0" w:color="000000"/>
            </w:tcBorders>
            <w:shd w:fill="4DC1E4" w:val="clear"/>
            <w:tcMar>
              <w:left w:w="160" w:type="dxa"/>
            </w:tcMar>
            <w:vAlign w:val="bottom"/>
          </w:tcPr>
          <w:p>
            <w:pPr>
              <w:pStyle w:val="TableContents"/>
              <w:bidi w:val="0"/>
              <w:spacing w:before="0" w:after="283"/>
              <w:jc w:val="left"/>
              <w:rPr>
                <w:color w:val="FFFFFF"/>
              </w:rPr>
            </w:pPr>
            <w:r>
              <w:rPr>
                <w:color w:val="FFFFFF"/>
              </w:rPr>
              <w:t>        </w:t>
            </w:r>
            <w:r>
              <w:rPr>
                <w:b/>
                <w:color w:val="FFFFFF"/>
              </w:rPr>
              <w:t>D</w:t>
            </w:r>
            <w:r>
              <w:rPr>
                <w:b/>
                <w:color w:val="FFFFFF"/>
                <w:sz w:val="14"/>
              </w:rPr>
              <w:t>IRECTOR</w:t>
            </w:r>
          </w:p>
        </w:tc>
        <w:tc>
          <w:tcPr>
            <w:tcW w:w="206" w:type="dxa"/>
            <w:tcBorders/>
            <w:shd w:fill="4DC1E4" w:val="clear"/>
            <w:vAlign w:val="bottom"/>
          </w:tcPr>
          <w:p>
            <w:pPr>
              <w:pStyle w:val="TableContents"/>
              <w:bidi w:val="0"/>
              <w:spacing w:before="0" w:after="283"/>
              <w:jc w:val="left"/>
              <w:rPr/>
            </w:pPr>
            <w:r>
              <w:rPr/>
              <w:t>  </w:t>
            </w:r>
          </w:p>
        </w:tc>
        <w:tc>
          <w:tcPr>
            <w:tcW w:w="1608" w:type="dxa"/>
            <w:tcBorders/>
            <w:shd w:fill="4DC1E4" w:val="clear"/>
            <w:vAlign w:val="bottom"/>
          </w:tcPr>
          <w:p>
            <w:pPr>
              <w:pStyle w:val="TableContents"/>
              <w:bidi w:val="0"/>
              <w:spacing w:before="0" w:after="283"/>
              <w:jc w:val="center"/>
              <w:rPr>
                <w:b/>
                <w:color w:val="FFFFFF"/>
              </w:rPr>
            </w:pPr>
            <w:r>
              <w:rPr>
                <w:b/>
                <w:color w:val="FFFFFF"/>
              </w:rPr>
              <w:t>I</w:t>
            </w:r>
            <w:r>
              <w:rPr>
                <w:b/>
                <w:color w:val="FFFFFF"/>
                <w:sz w:val="14"/>
              </w:rPr>
              <w:t>NDEPENDENCE</w:t>
            </w:r>
          </w:p>
        </w:tc>
        <w:tc>
          <w:tcPr>
            <w:tcW w:w="206" w:type="dxa"/>
            <w:tcBorders/>
            <w:shd w:fill="4DC1E4" w:val="clear"/>
            <w:vAlign w:val="bottom"/>
          </w:tcPr>
          <w:p>
            <w:pPr>
              <w:pStyle w:val="TableContents"/>
              <w:bidi w:val="0"/>
              <w:spacing w:before="0" w:after="283"/>
              <w:jc w:val="left"/>
              <w:rPr/>
            </w:pPr>
            <w:r>
              <w:rPr/>
              <w:t>  </w:t>
            </w:r>
          </w:p>
        </w:tc>
        <w:tc>
          <w:tcPr>
            <w:tcW w:w="751" w:type="dxa"/>
            <w:tcBorders/>
            <w:shd w:fill="4DC1E4" w:val="clear"/>
            <w:vAlign w:val="bottom"/>
          </w:tcPr>
          <w:p>
            <w:pPr>
              <w:pStyle w:val="TableContents"/>
              <w:bidi w:val="0"/>
              <w:spacing w:before="0" w:after="283"/>
              <w:jc w:val="center"/>
              <w:rPr>
                <w:b/>
                <w:color w:val="FFFFFF"/>
              </w:rPr>
            </w:pPr>
            <w:r>
              <w:rPr>
                <w:b/>
                <w:color w:val="FFFFFF"/>
              </w:rPr>
              <w:t>B</w:t>
            </w:r>
            <w:r>
              <w:rPr>
                <w:b/>
                <w:color w:val="FFFFFF"/>
                <w:sz w:val="14"/>
              </w:rPr>
              <w:t>OARD</w:t>
            </w:r>
          </w:p>
        </w:tc>
        <w:tc>
          <w:tcPr>
            <w:tcW w:w="206" w:type="dxa"/>
            <w:tcBorders/>
            <w:shd w:fill="4DC1E4" w:val="clear"/>
            <w:vAlign w:val="bottom"/>
          </w:tcPr>
          <w:p>
            <w:pPr>
              <w:pStyle w:val="TableContents"/>
              <w:bidi w:val="0"/>
              <w:spacing w:before="0" w:after="283"/>
              <w:jc w:val="left"/>
              <w:rPr/>
            </w:pPr>
            <w:r>
              <w:rPr/>
              <w:t>  </w:t>
            </w:r>
          </w:p>
        </w:tc>
        <w:tc>
          <w:tcPr>
            <w:tcW w:w="440" w:type="dxa"/>
            <w:tcBorders/>
            <w:shd w:fill="4DC1E4" w:val="clear"/>
            <w:vAlign w:val="bottom"/>
          </w:tcPr>
          <w:p>
            <w:pPr>
              <w:pStyle w:val="TableContents"/>
              <w:bidi w:val="0"/>
              <w:spacing w:before="0" w:after="283"/>
              <w:jc w:val="center"/>
              <w:rPr>
                <w:b/>
                <w:color w:val="FFFFFF"/>
              </w:rPr>
            </w:pPr>
            <w:r>
              <w:rPr>
                <w:b/>
                <w:color w:val="FFFFFF"/>
              </w:rPr>
              <w:t>AC</w:t>
            </w:r>
          </w:p>
        </w:tc>
        <w:tc>
          <w:tcPr>
            <w:tcW w:w="206" w:type="dxa"/>
            <w:tcBorders/>
            <w:shd w:fill="4DC1E4" w:val="clear"/>
            <w:vAlign w:val="bottom"/>
          </w:tcPr>
          <w:p>
            <w:pPr>
              <w:pStyle w:val="TableContents"/>
              <w:bidi w:val="0"/>
              <w:spacing w:before="0" w:after="283"/>
              <w:jc w:val="left"/>
              <w:rPr/>
            </w:pPr>
            <w:r>
              <w:rPr/>
              <w:t>  </w:t>
            </w:r>
          </w:p>
        </w:tc>
        <w:tc>
          <w:tcPr>
            <w:tcW w:w="440" w:type="dxa"/>
            <w:tcBorders/>
            <w:shd w:fill="4DC1E4" w:val="clear"/>
            <w:vAlign w:val="bottom"/>
          </w:tcPr>
          <w:p>
            <w:pPr>
              <w:pStyle w:val="TableContents"/>
              <w:bidi w:val="0"/>
              <w:spacing w:before="0" w:after="283"/>
              <w:jc w:val="center"/>
              <w:rPr>
                <w:b/>
                <w:color w:val="FFFFFF"/>
              </w:rPr>
            </w:pPr>
            <w:r>
              <w:rPr>
                <w:b/>
                <w:color w:val="FFFFFF"/>
              </w:rPr>
              <w:t>CC</w:t>
            </w:r>
          </w:p>
        </w:tc>
        <w:tc>
          <w:tcPr>
            <w:tcW w:w="141" w:type="dxa"/>
            <w:tcBorders/>
            <w:shd w:fill="4DC1E4" w:val="clear"/>
            <w:vAlign w:val="bottom"/>
          </w:tcPr>
          <w:p>
            <w:pPr>
              <w:pStyle w:val="TableContents"/>
              <w:bidi w:val="0"/>
              <w:spacing w:before="0" w:after="283"/>
              <w:jc w:val="left"/>
              <w:rPr/>
            </w:pPr>
            <w:r>
              <w:rPr/>
              <w:t>  </w:t>
            </w:r>
          </w:p>
        </w:tc>
        <w:tc>
          <w:tcPr>
            <w:tcW w:w="751" w:type="dxa"/>
            <w:tcBorders>
              <w:right w:val="single" w:sz="2" w:space="0" w:color="000000"/>
            </w:tcBorders>
            <w:shd w:fill="4DC1E4" w:val="clear"/>
            <w:tcMar>
              <w:right w:w="40" w:type="dxa"/>
            </w:tcMar>
            <w:vAlign w:val="bottom"/>
          </w:tcPr>
          <w:p>
            <w:pPr>
              <w:pStyle w:val="TableContents"/>
              <w:bidi w:val="0"/>
              <w:spacing w:before="0" w:after="283"/>
              <w:jc w:val="center"/>
              <w:rPr>
                <w:b/>
                <w:color w:val="FFFFFF"/>
              </w:rPr>
            </w:pPr>
            <w:r>
              <w:rPr>
                <w:b/>
                <w:color w:val="FFFFFF"/>
              </w:rPr>
              <w:t>NCGC</w:t>
            </w:r>
          </w:p>
        </w:tc>
      </w:tr>
      <w:tr>
        <w:trPr/>
        <w:tc>
          <w:tcPr>
            <w:tcW w:w="5045"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Carole S. Ben-Maimon, M.D.</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60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No</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5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M</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4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51"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Thomas E. Hamilton</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1608" w:type="dxa"/>
            <w:tcBorders>
              <w:bottom w:val="single" w:sz="2" w:space="0" w:color="000000"/>
            </w:tcBorders>
            <w:tcMar>
              <w:bottom w:w="28" w:type="dxa"/>
            </w:tcMar>
            <w:vAlign w:val="bottom"/>
          </w:tcPr>
          <w:p>
            <w:pPr>
              <w:pStyle w:val="TableContents"/>
              <w:bidi w:val="0"/>
              <w:spacing w:before="0" w:after="283"/>
              <w:jc w:val="center"/>
              <w:rPr/>
            </w:pPr>
            <w:r>
              <w:rPr/>
              <w:t>Yes</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751" w:type="dxa"/>
            <w:tcBorders>
              <w:bottom w:val="single" w:sz="2" w:space="0" w:color="000000"/>
            </w:tcBorders>
            <w:tcMar>
              <w:bottom w:w="28" w:type="dxa"/>
            </w:tcMar>
            <w:vAlign w:val="bottom"/>
          </w:tcPr>
          <w:p>
            <w:pPr>
              <w:pStyle w:val="TableContents"/>
              <w:bidi w:val="0"/>
              <w:spacing w:before="0" w:after="283"/>
              <w:jc w:val="center"/>
              <w:rPr/>
            </w:pPr>
            <w:r>
              <w:rPr/>
              <w:t>M</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28" w:type="dxa"/>
            </w:tcMar>
            <w:vAlign w:val="bottom"/>
          </w:tcPr>
          <w:p>
            <w:pPr>
              <w:pStyle w:val="TableContents"/>
              <w:bidi w:val="0"/>
              <w:spacing w:before="0" w:after="283"/>
              <w:jc w:val="center"/>
              <w:rPr/>
            </w:pPr>
            <w:r>
              <w:rPr/>
              <w:t>M</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tcMar>
              <w:bottom w:w="28" w:type="dxa"/>
            </w:tcMar>
            <w:vAlign w:val="bottom"/>
          </w:tcPr>
          <w:p>
            <w:pPr>
              <w:pStyle w:val="TableContents"/>
              <w:bidi w:val="0"/>
              <w:spacing w:before="0" w:after="283"/>
              <w:jc w:val="left"/>
              <w:rPr/>
            </w:pPr>
            <w:r>
              <w:rPr/>
              <w:t>  </w:t>
            </w:r>
          </w:p>
        </w:tc>
        <w:tc>
          <w:tcPr>
            <w:tcW w:w="751"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M</w:t>
            </w:r>
          </w:p>
        </w:tc>
      </w:tr>
      <w:tr>
        <w:trPr/>
        <w:tc>
          <w:tcPr>
            <w:tcW w:w="5045" w:type="dxa"/>
            <w:tcBorders>
              <w:left w:val="single" w:sz="2" w:space="0" w:color="000000"/>
            </w:tcBorders>
            <w:tcMar>
              <w:left w:w="16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Jonathan Leff</w:t>
            </w:r>
          </w:p>
        </w:tc>
        <w:tc>
          <w:tcPr>
            <w:tcW w:w="206" w:type="dxa"/>
            <w:tcBorders/>
            <w:vAlign w:val="bottom"/>
          </w:tcPr>
          <w:p>
            <w:pPr>
              <w:pStyle w:val="TableContents"/>
              <w:bidi w:val="0"/>
              <w:spacing w:before="0" w:after="283"/>
              <w:jc w:val="left"/>
              <w:rPr/>
            </w:pPr>
            <w:r>
              <w:rPr/>
              <w:t>  </w:t>
            </w:r>
          </w:p>
        </w:tc>
        <w:tc>
          <w:tcPr>
            <w:tcW w:w="1608" w:type="dxa"/>
            <w:tcBorders/>
            <w:vAlign w:val="bottom"/>
          </w:tcPr>
          <w:p>
            <w:pPr>
              <w:pStyle w:val="TableContents"/>
              <w:bidi w:val="0"/>
              <w:spacing w:before="0" w:after="283"/>
              <w:jc w:val="center"/>
              <w:rPr/>
            </w:pPr>
            <w:r>
              <w:rPr/>
              <w:t>Yes</w:t>
            </w:r>
          </w:p>
        </w:tc>
        <w:tc>
          <w:tcPr>
            <w:tcW w:w="206" w:type="dxa"/>
            <w:tcBorders/>
            <w:vAlign w:val="bottom"/>
          </w:tcPr>
          <w:p>
            <w:pPr>
              <w:pStyle w:val="TableContents"/>
              <w:bidi w:val="0"/>
              <w:spacing w:before="0" w:after="283"/>
              <w:jc w:val="left"/>
              <w:rPr/>
            </w:pPr>
            <w:r>
              <w:rPr/>
              <w:t>  </w:t>
            </w:r>
          </w:p>
        </w:tc>
        <w:tc>
          <w:tcPr>
            <w:tcW w:w="751" w:type="dxa"/>
            <w:tcBorders/>
            <w:vAlign w:val="bottom"/>
          </w:tcPr>
          <w:p>
            <w:pPr>
              <w:pStyle w:val="TableContents"/>
              <w:bidi w:val="0"/>
              <w:spacing w:before="0" w:after="283"/>
              <w:jc w:val="center"/>
              <w:rPr/>
            </w:pPr>
            <w:r>
              <w:rPr/>
              <w:t>M</w:t>
            </w:r>
          </w:p>
        </w:tc>
        <w:tc>
          <w:tcPr>
            <w:tcW w:w="206"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center"/>
              <w:rPr/>
            </w:pPr>
            <w:r>
              <w:rPr/>
              <w:t>M</w:t>
            </w:r>
          </w:p>
        </w:tc>
        <w:tc>
          <w:tcPr>
            <w:tcW w:w="141" w:type="dxa"/>
            <w:tcBorders/>
            <w:vAlign w:val="bottom"/>
          </w:tcPr>
          <w:p>
            <w:pPr>
              <w:pStyle w:val="TableContents"/>
              <w:bidi w:val="0"/>
              <w:spacing w:before="0" w:after="283"/>
              <w:jc w:val="left"/>
              <w:rPr/>
            </w:pPr>
            <w:r>
              <w:rPr/>
              <w:t>  </w:t>
            </w:r>
          </w:p>
        </w:tc>
        <w:tc>
          <w:tcPr>
            <w:tcW w:w="751" w:type="dxa"/>
            <w:tcBorders>
              <w:right w:val="single" w:sz="2" w:space="0" w:color="000000"/>
            </w:tcBorders>
            <w:tcMar>
              <w:right w:w="40" w:type="dxa"/>
            </w:tcMar>
            <w:vAlign w:val="bottom"/>
          </w:tcPr>
          <w:p>
            <w:pPr>
              <w:pStyle w:val="TableContents"/>
              <w:bidi w:val="0"/>
              <w:spacing w:before="0" w:after="283"/>
              <w:jc w:val="center"/>
              <w:rPr/>
            </w:pPr>
            <w:r>
              <w:rPr/>
              <w:t>C</w:t>
            </w:r>
          </w:p>
        </w:tc>
      </w:tr>
      <w:tr>
        <w:trPr/>
        <w:tc>
          <w:tcPr>
            <w:tcW w:w="5045" w:type="dxa"/>
            <w:tcBorders>
              <w:top w:val="single" w:sz="2" w:space="0" w:color="000000"/>
              <w:left w:val="single" w:sz="2" w:space="0" w:color="000000"/>
              <w:bottom w:val="single" w:sz="2" w:space="0" w:color="000000"/>
            </w:tcBorders>
            <w:tcMar>
              <w:top w:w="28" w:type="dxa"/>
              <w:left w:w="160"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Frank Thomas</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1608"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Yes</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5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M</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C</w:t>
            </w:r>
          </w:p>
        </w:tc>
        <w:tc>
          <w:tcPr>
            <w:tcW w:w="206"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440"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center"/>
              <w:rPr/>
            </w:pPr>
            <w:r>
              <w:rPr/>
              <w:t>M</w:t>
            </w:r>
          </w:p>
        </w:tc>
        <w:tc>
          <w:tcPr>
            <w:tcW w:w="141" w:type="dxa"/>
            <w:tcBorders>
              <w:top w:val="single" w:sz="2" w:space="0" w:color="000000"/>
              <w:bottom w:val="single" w:sz="2" w:space="0" w:color="000000"/>
            </w:tcBorders>
            <w:tcMar>
              <w:top w:w="28" w:type="dxa"/>
              <w:bottom w:w="28" w:type="dxa"/>
            </w:tcMar>
            <w:vAlign w:val="bottom"/>
          </w:tcPr>
          <w:p>
            <w:pPr>
              <w:pStyle w:val="TableContents"/>
              <w:bidi w:val="0"/>
              <w:spacing w:before="0" w:after="283"/>
              <w:jc w:val="left"/>
              <w:rPr/>
            </w:pPr>
            <w:r>
              <w:rPr/>
              <w:t>  </w:t>
            </w:r>
          </w:p>
        </w:tc>
        <w:tc>
          <w:tcPr>
            <w:tcW w:w="751" w:type="dxa"/>
            <w:tcBorders>
              <w:top w:val="single" w:sz="2" w:space="0" w:color="000000"/>
              <w:bottom w:val="single" w:sz="2" w:space="0" w:color="000000"/>
              <w:right w:val="single" w:sz="2" w:space="0" w:color="000000"/>
            </w:tcBorders>
            <w:tcMar>
              <w:top w:w="28" w:type="dxa"/>
              <w:bottom w:w="28"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Joseph Truitt</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1608" w:type="dxa"/>
            <w:tcBorders>
              <w:bottom w:val="single" w:sz="2" w:space="0" w:color="000000"/>
            </w:tcBorders>
            <w:tcMar>
              <w:bottom w:w="28" w:type="dxa"/>
            </w:tcMar>
            <w:vAlign w:val="bottom"/>
          </w:tcPr>
          <w:p>
            <w:pPr>
              <w:pStyle w:val="TableContents"/>
              <w:bidi w:val="0"/>
              <w:spacing w:before="0" w:after="283"/>
              <w:jc w:val="center"/>
              <w:rPr/>
            </w:pPr>
            <w:r>
              <w:rPr/>
              <w:t>Yes</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751" w:type="dxa"/>
            <w:tcBorders>
              <w:bottom w:val="single" w:sz="2" w:space="0" w:color="000000"/>
            </w:tcBorders>
            <w:tcMar>
              <w:bottom w:w="28" w:type="dxa"/>
            </w:tcMar>
            <w:vAlign w:val="bottom"/>
          </w:tcPr>
          <w:p>
            <w:pPr>
              <w:pStyle w:val="TableContents"/>
              <w:bidi w:val="0"/>
              <w:spacing w:before="0" w:after="283"/>
              <w:jc w:val="center"/>
              <w:rPr/>
            </w:pPr>
            <w:r>
              <w:rPr/>
              <w:t>C</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28" w:type="dxa"/>
            </w:tcMar>
            <w:vAlign w:val="bottom"/>
          </w:tcPr>
          <w:p>
            <w:pPr>
              <w:pStyle w:val="TableContents"/>
              <w:bidi w:val="0"/>
              <w:spacing w:before="0" w:after="283"/>
              <w:jc w:val="center"/>
              <w:rPr/>
            </w:pPr>
            <w:r>
              <w:rPr/>
              <w:t>M</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28" w:type="dxa"/>
            </w:tcMar>
            <w:vAlign w:val="bottom"/>
          </w:tcPr>
          <w:p>
            <w:pPr>
              <w:pStyle w:val="TableContents"/>
              <w:bidi w:val="0"/>
              <w:spacing w:before="0" w:after="283"/>
              <w:jc w:val="center"/>
              <w:rPr/>
            </w:pPr>
            <w:r>
              <w:rPr/>
              <w:t>C</w:t>
            </w:r>
          </w:p>
        </w:tc>
        <w:tc>
          <w:tcPr>
            <w:tcW w:w="141" w:type="dxa"/>
            <w:tcBorders>
              <w:bottom w:val="single" w:sz="2" w:space="0" w:color="000000"/>
            </w:tcBorders>
            <w:tcMar>
              <w:bottom w:w="28" w:type="dxa"/>
            </w:tcMar>
            <w:vAlign w:val="bottom"/>
          </w:tcPr>
          <w:p>
            <w:pPr>
              <w:pStyle w:val="TableContents"/>
              <w:bidi w:val="0"/>
              <w:spacing w:before="0" w:after="283"/>
              <w:jc w:val="left"/>
              <w:rPr/>
            </w:pPr>
            <w:r>
              <w:rPr/>
              <w:t>  </w:t>
            </w:r>
          </w:p>
        </w:tc>
        <w:tc>
          <w:tcPr>
            <w:tcW w:w="751"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Jeffrey W. Sherman, M.D., FACP</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1608" w:type="dxa"/>
            <w:tcBorders>
              <w:bottom w:val="single" w:sz="2" w:space="0" w:color="000000"/>
            </w:tcBorders>
            <w:tcMar>
              <w:bottom w:w="28" w:type="dxa"/>
            </w:tcMar>
            <w:vAlign w:val="bottom"/>
          </w:tcPr>
          <w:p>
            <w:pPr>
              <w:pStyle w:val="TableContents"/>
              <w:bidi w:val="0"/>
              <w:spacing w:before="0" w:after="283"/>
              <w:jc w:val="center"/>
              <w:rPr/>
            </w:pPr>
            <w:r>
              <w:rPr/>
              <w:t>Yes</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751" w:type="dxa"/>
            <w:tcBorders>
              <w:bottom w:val="single" w:sz="2" w:space="0" w:color="000000"/>
            </w:tcBorders>
            <w:tcMar>
              <w:bottom w:w="28" w:type="dxa"/>
            </w:tcMar>
            <w:vAlign w:val="bottom"/>
          </w:tcPr>
          <w:p>
            <w:pPr>
              <w:pStyle w:val="TableContents"/>
              <w:bidi w:val="0"/>
              <w:spacing w:before="0" w:after="283"/>
              <w:jc w:val="center"/>
              <w:rPr/>
            </w:pPr>
            <w:r>
              <w:rPr/>
              <w:t>M</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28" w:type="dxa"/>
            </w:tcMar>
            <w:vAlign w:val="bottom"/>
          </w:tcPr>
          <w:p>
            <w:pPr>
              <w:pStyle w:val="TableContents"/>
              <w:bidi w:val="0"/>
              <w:spacing w:before="0" w:after="283"/>
              <w:jc w:val="left"/>
              <w:rPr/>
            </w:pPr>
            <w:r>
              <w:rPr/>
              <w:t> </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tcMar>
              <w:bottom w:w="28" w:type="dxa"/>
            </w:tcMar>
            <w:vAlign w:val="bottom"/>
          </w:tcPr>
          <w:p>
            <w:pPr>
              <w:pStyle w:val="TableContents"/>
              <w:bidi w:val="0"/>
              <w:spacing w:before="0" w:after="283"/>
              <w:jc w:val="left"/>
              <w:rPr/>
            </w:pPr>
            <w:r>
              <w:rPr/>
              <w:t> </w:t>
            </w:r>
          </w:p>
        </w:tc>
        <w:tc>
          <w:tcPr>
            <w:tcW w:w="141" w:type="dxa"/>
            <w:tcBorders>
              <w:bottom w:val="single" w:sz="2" w:space="0" w:color="000000"/>
            </w:tcBorders>
            <w:tcMar>
              <w:bottom w:w="28" w:type="dxa"/>
            </w:tcMar>
            <w:vAlign w:val="bottom"/>
          </w:tcPr>
          <w:p>
            <w:pPr>
              <w:pStyle w:val="TableContents"/>
              <w:bidi w:val="0"/>
              <w:spacing w:before="0" w:after="283"/>
              <w:jc w:val="left"/>
              <w:rPr/>
            </w:pPr>
            <w:r>
              <w:rPr/>
              <w:t>  </w:t>
            </w:r>
          </w:p>
        </w:tc>
        <w:tc>
          <w:tcPr>
            <w:tcW w:w="751"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M</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center"/>
              <w:rPr/>
            </w:pPr>
            <w:r>
              <w:rPr/>
              <w:t>AC = Audit Committee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M = Member</w:t>
            </w:r>
          </w:p>
        </w:tc>
      </w:tr>
      <w:tr>
        <w:trPr/>
        <w:tc>
          <w:tcPr>
            <w:tcW w:w="5205" w:type="dxa"/>
            <w:tcBorders/>
            <w:vAlign w:val="bottom"/>
          </w:tcPr>
          <w:p>
            <w:pPr>
              <w:pStyle w:val="TableContents"/>
              <w:bidi w:val="0"/>
              <w:spacing w:before="0" w:after="283"/>
              <w:jc w:val="center"/>
              <w:rPr/>
            </w:pPr>
            <w:r>
              <w:rPr/>
              <w:t>CC = Compensation Committee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C = Chair</w:t>
            </w:r>
          </w:p>
        </w:tc>
      </w:tr>
      <w:tr>
        <w:trPr/>
        <w:tc>
          <w:tcPr>
            <w:tcW w:w="5205" w:type="dxa"/>
            <w:tcBorders/>
            <w:vAlign w:val="bottom"/>
          </w:tcPr>
          <w:p>
            <w:pPr>
              <w:pStyle w:val="TableContents"/>
              <w:bidi w:val="0"/>
              <w:spacing w:before="0" w:after="283"/>
              <w:jc w:val="center"/>
              <w:rPr>
                <w:sz w:val="16"/>
              </w:rPr>
            </w:pPr>
            <w:r>
              <w:rPr>
                <w:sz w:val="16"/>
              </w:rPr>
              <w:t>NCGC = Nominating and Corporate Governance Committee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00" w:after="0"/>
        <w:jc w:val="both"/>
        <w:rPr>
          <w:rFonts w:ascii="Times New Roman" w:hAnsi="Times New Roman"/>
          <w:sz w:val="20"/>
        </w:rPr>
      </w:pPr>
      <w:r>
        <w:rPr>
          <w:rFonts w:ascii="Times New Roman" w:hAnsi="Times New Roman"/>
          <w:sz w:val="20"/>
        </w:rPr>
        <w:t xml:space="preserve">During 2023, our Board held ten meetings, our Audit Committee held five meetings, our Compensation Committee held five meetings and our Nominating and Corporate Governance Committee held three meetings. Each director attended at least 75% of the meetings of the Board and meetings of each Committee on which he or she served during 2023. </w:t>
      </w:r>
    </w:p>
    <w:p>
      <w:pPr>
        <w:pStyle w:val="TextBody"/>
        <w:bidi w:val="0"/>
        <w:spacing w:before="200" w:after="0"/>
        <w:jc w:val="both"/>
        <w:rPr>
          <w:rFonts w:ascii="Times New Roman" w:hAnsi="Times New Roman"/>
          <w:sz w:val="20"/>
        </w:rPr>
      </w:pPr>
      <w:r>
        <w:rPr>
          <w:rFonts w:ascii="Times New Roman" w:hAnsi="Times New Roman"/>
          <w:sz w:val="20"/>
        </w:rPr>
        <w:t xml:space="preserve">Directors are encouraged, but not required, to attend our annual stockholder meetings. All of our then serving directors attended the 2023 Annual Meeting of Stockholders. </w:t>
      </w:r>
    </w:p>
    <w:p>
      <w:pPr>
        <w:pStyle w:val="TextBody"/>
        <w:bidi w:val="0"/>
        <w:spacing w:before="20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200" w:after="0"/>
        <w:jc w:val="both"/>
        <w:rPr>
          <w:rFonts w:ascii="Times New Roman" w:hAnsi="Times New Roman"/>
          <w:sz w:val="20"/>
        </w:rPr>
      </w:pPr>
      <w:r>
        <w:rPr>
          <w:rFonts w:ascii="Times New Roman" w:hAnsi="Times New Roman"/>
          <w:sz w:val="20"/>
        </w:rPr>
        <w:t xml:space="preserve">The Audit Committee assists the Board by providing oversight of our financial management, independent auditor, and financial reporting procedures, as well as such other matters as directed by the Board or the Audit Committee Charter. </w:t>
      </w:r>
    </w:p>
    <w:p>
      <w:pPr>
        <w:pStyle w:val="TextBody"/>
        <w:bidi w:val="0"/>
        <w:spacing w:before="200" w:after="0"/>
        <w:jc w:val="left"/>
        <w:rPr>
          <w:rFonts w:ascii="Times New Roman" w:hAnsi="Times New Roman"/>
          <w:sz w:val="20"/>
        </w:rPr>
      </w:pPr>
      <w:r>
        <w:rPr>
          <w:rFonts w:ascii="Times New Roman" w:hAnsi="Times New Roman"/>
          <w:sz w:val="20"/>
        </w:rPr>
        <w:t xml:space="preserve">Among other things, the Audit Committees responsibilities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1"/>
        <w:gridCol w:w="101"/>
        <w:gridCol w:w="8780"/>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selecting a firm to serve as the independent registered accounting firm to audit our consolidated financial statements; </w:t>
            </w:r>
          </w:p>
        </w:tc>
      </w:tr>
    </w:tbl>
    <w:tbl>
      <w:tblPr>
        <w:tblW w:w="5000" w:type="pct"/>
        <w:jc w:val="left"/>
        <w:tblInd w:w="0" w:type="dxa"/>
        <w:tblLayout w:type="fixed"/>
        <w:tblCellMar>
          <w:top w:w="0" w:type="dxa"/>
          <w:left w:w="0" w:type="dxa"/>
          <w:bottom w:w="0" w:type="dxa"/>
          <w:right w:w="0" w:type="dxa"/>
        </w:tblCellMar>
      </w:tblPr>
      <w:tblGrid>
        <w:gridCol w:w="713"/>
        <w:gridCol w:w="612"/>
        <w:gridCol w:w="102"/>
        <w:gridCol w:w="8778"/>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ensuring the independence of the independent registered public accounting firm; </w:t>
            </w:r>
          </w:p>
        </w:tc>
      </w:tr>
    </w:tbl>
    <w:tbl>
      <w:tblPr>
        <w:tblW w:w="5000" w:type="pct"/>
        <w:jc w:val="left"/>
        <w:tblInd w:w="0" w:type="dxa"/>
        <w:tblLayout w:type="fixed"/>
        <w:tblCellMar>
          <w:top w:w="0" w:type="dxa"/>
          <w:left w:w="0" w:type="dxa"/>
          <w:bottom w:w="0" w:type="dxa"/>
          <w:right w:w="0" w:type="dxa"/>
        </w:tblCellMar>
      </w:tblPr>
      <w:tblGrid>
        <w:gridCol w:w="713"/>
        <w:gridCol w:w="612"/>
        <w:gridCol w:w="102"/>
        <w:gridCol w:w="8778"/>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that firm, our interim and year-end operating results; </w:t>
            </w:r>
          </w:p>
        </w:tc>
      </w:tr>
    </w:tbl>
    <w:tbl>
      <w:tblPr>
        <w:tblW w:w="5000" w:type="pct"/>
        <w:jc w:val="left"/>
        <w:tblInd w:w="0" w:type="dxa"/>
        <w:tblLayout w:type="fixed"/>
        <w:tblCellMar>
          <w:top w:w="0" w:type="dxa"/>
          <w:left w:w="0" w:type="dxa"/>
          <w:bottom w:w="0" w:type="dxa"/>
          <w:right w:w="0" w:type="dxa"/>
        </w:tblCellMar>
      </w:tblPr>
      <w:tblGrid>
        <w:gridCol w:w="713"/>
        <w:gridCol w:w="612"/>
        <w:gridCol w:w="101"/>
        <w:gridCol w:w="8779"/>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procedures for employees to anonymously submit concerns about questionable accounting or audit matters; </w:t>
            </w:r>
          </w:p>
        </w:tc>
      </w:tr>
    </w:tbl>
    <w:tbl>
      <w:tblPr>
        <w:tblW w:w="5000" w:type="pct"/>
        <w:jc w:val="left"/>
        <w:tblInd w:w="0" w:type="dxa"/>
        <w:tblLayout w:type="fixed"/>
        <w:tblCellMar>
          <w:top w:w="0" w:type="dxa"/>
          <w:left w:w="0" w:type="dxa"/>
          <w:bottom w:w="0" w:type="dxa"/>
          <w:right w:w="0" w:type="dxa"/>
        </w:tblCellMar>
      </w:tblPr>
      <w:tblGrid>
        <w:gridCol w:w="713"/>
        <w:gridCol w:w="612"/>
        <w:gridCol w:w="101"/>
        <w:gridCol w:w="8779"/>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considering the adequacy of our internal controls and internal audit function; </w:t>
            </w:r>
          </w:p>
        </w:tc>
      </w:tr>
    </w:tbl>
    <w:tbl>
      <w:tblPr>
        <w:tblW w:w="5000" w:type="pct"/>
        <w:jc w:val="left"/>
        <w:tblInd w:w="0" w:type="dxa"/>
        <w:tblLayout w:type="fixed"/>
        <w:tblCellMar>
          <w:top w:w="0" w:type="dxa"/>
          <w:left w:w="0" w:type="dxa"/>
          <w:bottom w:w="0" w:type="dxa"/>
          <w:right w:w="0" w:type="dxa"/>
        </w:tblCellMar>
      </w:tblPr>
      <w:tblGrid>
        <w:gridCol w:w="713"/>
        <w:gridCol w:w="612"/>
        <w:gridCol w:w="102"/>
        <w:gridCol w:w="8778"/>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monitoring compliance with the Code of Conduct for financial management; </w:t>
            </w:r>
          </w:p>
        </w:tc>
      </w:tr>
    </w:tbl>
    <w:tbl>
      <w:tblPr>
        <w:tblW w:w="5000" w:type="pct"/>
        <w:jc w:val="left"/>
        <w:tblInd w:w="0" w:type="dxa"/>
        <w:tblLayout w:type="fixed"/>
        <w:tblCellMar>
          <w:top w:w="0" w:type="dxa"/>
          <w:left w:w="0" w:type="dxa"/>
          <w:bottom w:w="0" w:type="dxa"/>
          <w:right w:w="0" w:type="dxa"/>
        </w:tblCellMar>
      </w:tblPr>
      <w:tblGrid>
        <w:gridCol w:w="713"/>
        <w:gridCol w:w="612"/>
        <w:gridCol w:w="101"/>
        <w:gridCol w:w="8779"/>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discussing material cybersecurity incidents or threats; </w:t>
            </w:r>
          </w:p>
        </w:tc>
      </w:tr>
    </w:tbl>
    <w:tbl>
      <w:tblPr>
        <w:tblW w:w="5000" w:type="pct"/>
        <w:jc w:val="left"/>
        <w:tblInd w:w="0" w:type="dxa"/>
        <w:tblLayout w:type="fixed"/>
        <w:tblCellMar>
          <w:top w:w="0" w:type="dxa"/>
          <w:left w:w="0" w:type="dxa"/>
          <w:bottom w:w="0" w:type="dxa"/>
          <w:right w:w="0" w:type="dxa"/>
        </w:tblCellMar>
      </w:tblPr>
      <w:tblGrid>
        <w:gridCol w:w="713"/>
        <w:gridCol w:w="612"/>
        <w:gridCol w:w="102"/>
        <w:gridCol w:w="8778"/>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material related party transactions or those that require disclosure; and </w:t>
            </w:r>
          </w:p>
        </w:tc>
      </w:tr>
    </w:tbl>
    <w:tbl>
      <w:tblPr>
        <w:tblW w:w="5000" w:type="pct"/>
        <w:jc w:val="left"/>
        <w:tblInd w:w="0" w:type="dxa"/>
        <w:tblLayout w:type="fixed"/>
        <w:tblCellMar>
          <w:top w:w="0" w:type="dxa"/>
          <w:left w:w="0" w:type="dxa"/>
          <w:bottom w:w="0" w:type="dxa"/>
          <w:right w:w="0" w:type="dxa"/>
        </w:tblCellMar>
      </w:tblPr>
      <w:tblGrid>
        <w:gridCol w:w="713"/>
        <w:gridCol w:w="611"/>
        <w:gridCol w:w="102"/>
        <w:gridCol w:w="8779"/>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approving or as permitted, pre-approving all audit and non-audit services to be performed by the independent registered public accounting firm. </w:t>
            </w:r>
          </w:p>
        </w:tc>
      </w:tr>
    </w:tbl>
    <w:p>
      <w:pPr>
        <w:pStyle w:val="TextBody"/>
        <w:bidi w:val="0"/>
        <w:spacing w:before="200" w:after="0"/>
        <w:jc w:val="both"/>
        <w:rPr>
          <w:rFonts w:ascii="Times New Roman" w:hAnsi="Times New Roman"/>
          <w:sz w:val="20"/>
        </w:rPr>
      </w:pPr>
      <w:r>
        <w:rPr>
          <w:rFonts w:ascii="Times New Roman" w:hAnsi="Times New Roman"/>
          <w:sz w:val="20"/>
        </w:rPr>
        <w:t xml:space="preserve">The members of our Audit Committee are Mr. Thomas (chair), Mr. Hamilton and Mr. Truitt. All members of our Audit Committee are deemed independent and financially literate under the applicable rules and regulations of the SEC and Nasdaq. Our Board has determined that each of Messrs. Thomas and Truitt qualify as an audit committee financial expert within the meaning of SEC regulations. This designation does not impose any duties, obligations or liabilities that are greater than are generally imposed on members of our Audit Committee and our Board.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CORPORATE GOVERNANCE AND RISK MANAGEMENT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200" w:after="0"/>
        <w:jc w:val="left"/>
        <w:rPr>
          <w:rFonts w:ascii="Times New Roman" w:hAnsi="Times New Roman"/>
          <w:sz w:val="20"/>
        </w:rPr>
      </w:pPr>
      <w:r>
        <w:rPr>
          <w:rFonts w:ascii="Times New Roman" w:hAnsi="Times New Roman"/>
          <w:sz w:val="20"/>
        </w:rPr>
        <w:t xml:space="preserve">The Nominating and Corporate Governance Committee identifies qualified individuals for membership on the Board, recommends to the Board the director nominees to fill vacancies on the Board and to stand for election at the next annual meeting of stockholders, develops and recommends to the Board a set of corporate governance guidelines for the Board and provides oversight of the corporate governance affairs of the Board, as well as such other matters as directed by the Board or the Nominating and Corporate Governance Charter. Among other things, our Nominating and Corporate Governance Committees responsibilities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100"/>
        <w:gridCol w:w="87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identifying and recommending candidates for membership on our Board; </w:t>
            </w:r>
          </w:p>
        </w:tc>
      </w:tr>
    </w:tbl>
    <w:tbl>
      <w:tblPr>
        <w:tblW w:w="5000" w:type="pct"/>
        <w:jc w:val="left"/>
        <w:tblInd w:w="0" w:type="dxa"/>
        <w:tblLayout w:type="fixed"/>
        <w:tblCellMar>
          <w:top w:w="0" w:type="dxa"/>
          <w:left w:w="0" w:type="dxa"/>
          <w:bottom w:w="0" w:type="dxa"/>
          <w:right w:w="0" w:type="dxa"/>
        </w:tblCellMar>
      </w:tblPr>
      <w:tblGrid>
        <w:gridCol w:w="713"/>
        <w:gridCol w:w="612"/>
        <w:gridCol w:w="100"/>
        <w:gridCol w:w="87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our corporate governance guidelines and policies; </w:t>
            </w:r>
          </w:p>
        </w:tc>
      </w:tr>
    </w:tbl>
    <w:tbl>
      <w:tblPr>
        <w:tblW w:w="5000" w:type="pct"/>
        <w:jc w:val="left"/>
        <w:tblInd w:w="0" w:type="dxa"/>
        <w:tblLayout w:type="fixed"/>
        <w:tblCellMar>
          <w:top w:w="0" w:type="dxa"/>
          <w:left w:w="0" w:type="dxa"/>
          <w:bottom w:w="0" w:type="dxa"/>
          <w:right w:w="0" w:type="dxa"/>
        </w:tblCellMar>
      </w:tblPr>
      <w:tblGrid>
        <w:gridCol w:w="713"/>
        <w:gridCol w:w="611"/>
        <w:gridCol w:w="101"/>
        <w:gridCol w:w="8780"/>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proposed waivers of the Code of Conduct for directors and executive officers; </w:t>
            </w:r>
          </w:p>
        </w:tc>
      </w:tr>
    </w:tbl>
    <w:tbl>
      <w:tblPr>
        <w:tblW w:w="5000" w:type="pct"/>
        <w:jc w:val="left"/>
        <w:tblInd w:w="0" w:type="dxa"/>
        <w:tblLayout w:type="fixed"/>
        <w:tblCellMar>
          <w:top w:w="0" w:type="dxa"/>
          <w:left w:w="0" w:type="dxa"/>
          <w:bottom w:w="0" w:type="dxa"/>
          <w:right w:w="0" w:type="dxa"/>
        </w:tblCellMar>
      </w:tblPr>
      <w:tblGrid>
        <w:gridCol w:w="714"/>
        <w:gridCol w:w="611"/>
        <w:gridCol w:w="101"/>
        <w:gridCol w:w="8779"/>
      </w:tblGrid>
      <w:tr>
        <w:trPr/>
        <w:tc>
          <w:tcPr>
            <w:tcW w:w="714"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overseeing the process of evaluating the performance of our Board; and </w:t>
            </w:r>
          </w:p>
        </w:tc>
      </w:tr>
    </w:tbl>
    <w:tbl>
      <w:tblPr>
        <w:tblW w:w="5000" w:type="pct"/>
        <w:jc w:val="left"/>
        <w:tblInd w:w="0" w:type="dxa"/>
        <w:tblLayout w:type="fixed"/>
        <w:tblCellMar>
          <w:top w:w="0" w:type="dxa"/>
          <w:left w:w="0" w:type="dxa"/>
          <w:bottom w:w="0" w:type="dxa"/>
          <w:right w:w="0" w:type="dxa"/>
        </w:tblCellMar>
      </w:tblPr>
      <w:tblGrid>
        <w:gridCol w:w="713"/>
        <w:gridCol w:w="612"/>
        <w:gridCol w:w="101"/>
        <w:gridCol w:w="8779"/>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assisting our Board on corporate governance matters. </w:t>
            </w:r>
          </w:p>
        </w:tc>
      </w:tr>
    </w:tbl>
    <w:p>
      <w:pPr>
        <w:pStyle w:val="TextBody"/>
        <w:bidi w:val="0"/>
        <w:spacing w:before="200" w:after="0"/>
        <w:jc w:val="both"/>
        <w:rPr>
          <w:rFonts w:ascii="Times New Roman" w:hAnsi="Times New Roman"/>
          <w:sz w:val="20"/>
        </w:rPr>
      </w:pPr>
      <w:r>
        <w:rPr>
          <w:rFonts w:ascii="Times New Roman" w:hAnsi="Times New Roman"/>
          <w:sz w:val="20"/>
        </w:rPr>
        <w:t xml:space="preserve">The Nominating and Corporate Governance Committee is responsible for identifying individuals that the Nominating and Corporate Governance Committee believes are qualified to become Board members, as described above in the sections entitled Board Structure and Composition and Criteria for Board Membership. </w:t>
      </w:r>
    </w:p>
    <w:p>
      <w:pPr>
        <w:pStyle w:val="TextBody"/>
        <w:bidi w:val="0"/>
        <w:spacing w:before="200" w:after="0"/>
        <w:jc w:val="both"/>
        <w:rPr>
          <w:rFonts w:ascii="Times New Roman" w:hAnsi="Times New Roman"/>
          <w:sz w:val="20"/>
        </w:rPr>
      </w:pPr>
      <w:r>
        <w:rPr>
          <w:rFonts w:ascii="Times New Roman" w:hAnsi="Times New Roman"/>
          <w:sz w:val="20"/>
        </w:rPr>
        <w:t xml:space="preserve">The members of our Nominating and Corporate Governance Committee are Mr. Leff (chair), Mr. Hamilton and Dr. Sherman. The Board has determined that all Nominating and Corporate Governance Committee members are independent under the listing standards of Nasdaq. </w:t>
      </w:r>
    </w:p>
    <w:p>
      <w:pPr>
        <w:pStyle w:val="TextBody"/>
        <w:bidi w:val="0"/>
        <w:spacing w:before="20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200" w:after="0"/>
        <w:jc w:val="left"/>
        <w:rPr>
          <w:rFonts w:ascii="Times New Roman" w:hAnsi="Times New Roman"/>
          <w:sz w:val="20"/>
        </w:rPr>
      </w:pPr>
      <w:r>
        <w:rPr>
          <w:rFonts w:ascii="Times New Roman" w:hAnsi="Times New Roman"/>
          <w:sz w:val="20"/>
        </w:rPr>
        <w:t xml:space="preserve">The Compensation Committee reviews the performance and development of our management in achieving corporate goals and objectives and assures that our executive officers (including our CEO) are compensated effectively in a manner consistent with our strategy, competitive practices and stockholder interests, as well as such other matters as directed by the Board or the Compensation Committee Charter. Among other things, the Compensation Committees responsibilities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612"/>
        <w:gridCol w:w="100"/>
        <w:gridCol w:w="87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recommending that our Board approve, the compensation of our executive officers; </w:t>
            </w:r>
          </w:p>
        </w:tc>
      </w:tr>
    </w:tbl>
    <w:tbl>
      <w:tblPr>
        <w:tblW w:w="5000" w:type="pct"/>
        <w:jc w:val="left"/>
        <w:tblInd w:w="0" w:type="dxa"/>
        <w:tblLayout w:type="fixed"/>
        <w:tblCellMar>
          <w:top w:w="0" w:type="dxa"/>
          <w:left w:w="0" w:type="dxa"/>
          <w:bottom w:w="0" w:type="dxa"/>
          <w:right w:w="0" w:type="dxa"/>
        </w:tblCellMar>
      </w:tblPr>
      <w:tblGrid>
        <w:gridCol w:w="713"/>
        <w:gridCol w:w="612"/>
        <w:gridCol w:w="100"/>
        <w:gridCol w:w="8780"/>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our Board the compensation of our directors; </w:t>
            </w:r>
          </w:p>
        </w:tc>
      </w:tr>
    </w:tbl>
    <w:tbl>
      <w:tblPr>
        <w:tblW w:w="5000" w:type="pct"/>
        <w:jc w:val="left"/>
        <w:tblInd w:w="0" w:type="dxa"/>
        <w:tblLayout w:type="fixed"/>
        <w:tblCellMar>
          <w:top w:w="0" w:type="dxa"/>
          <w:left w:w="0" w:type="dxa"/>
          <w:bottom w:w="0" w:type="dxa"/>
          <w:right w:w="0" w:type="dxa"/>
        </w:tblCellMar>
      </w:tblPr>
      <w:tblGrid>
        <w:gridCol w:w="713"/>
        <w:gridCol w:w="613"/>
        <w:gridCol w:w="101"/>
        <w:gridCol w:w="8778"/>
      </w:tblGrid>
      <w:tr>
        <w:trPr/>
        <w:tc>
          <w:tcPr>
            <w:tcW w:w="713" w:type="dxa"/>
            <w:tcBorders/>
            <w:vAlign w:val="center"/>
          </w:tcPr>
          <w:p>
            <w:pPr>
              <w:pStyle w:val="TableContents"/>
              <w:bidi w:val="0"/>
              <w:spacing w:before="0" w:after="283"/>
              <w:jc w:val="left"/>
              <w:rPr/>
            </w:pPr>
            <w:r>
              <w:rPr/>
              <w:t> </w:t>
            </w:r>
          </w:p>
        </w:tc>
        <w:tc>
          <w:tcPr>
            <w:tcW w:w="61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administering our stock and equity incentive plans; </w:t>
            </w:r>
          </w:p>
        </w:tc>
      </w:tr>
    </w:tbl>
    <w:tbl>
      <w:tblPr>
        <w:tblW w:w="5000" w:type="pct"/>
        <w:jc w:val="left"/>
        <w:tblInd w:w="0" w:type="dxa"/>
        <w:tblLayout w:type="fixed"/>
        <w:tblCellMar>
          <w:top w:w="0" w:type="dxa"/>
          <w:left w:w="0" w:type="dxa"/>
          <w:bottom w:w="0" w:type="dxa"/>
          <w:right w:w="0" w:type="dxa"/>
        </w:tblCellMar>
      </w:tblPr>
      <w:tblGrid>
        <w:gridCol w:w="713"/>
        <w:gridCol w:w="612"/>
        <w:gridCol w:w="102"/>
        <w:gridCol w:w="8778"/>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administering our compensation recovery policy; </w:t>
            </w:r>
          </w:p>
        </w:tc>
      </w:tr>
    </w:tbl>
    <w:tbl>
      <w:tblPr>
        <w:tblW w:w="5000" w:type="pct"/>
        <w:jc w:val="left"/>
        <w:tblInd w:w="0" w:type="dxa"/>
        <w:tblLayout w:type="fixed"/>
        <w:tblCellMar>
          <w:top w:w="0" w:type="dxa"/>
          <w:left w:w="0" w:type="dxa"/>
          <w:bottom w:w="0" w:type="dxa"/>
          <w:right w:w="0" w:type="dxa"/>
        </w:tblCellMar>
      </w:tblPr>
      <w:tblGrid>
        <w:gridCol w:w="713"/>
        <w:gridCol w:w="611"/>
        <w:gridCol w:w="101"/>
        <w:gridCol w:w="8780"/>
      </w:tblGrid>
      <w:tr>
        <w:trPr/>
        <w:tc>
          <w:tcPr>
            <w:tcW w:w="713"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7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making recommendations to our Board with respect to, incentive compensation and equity plans; </w:t>
            </w:r>
          </w:p>
        </w:tc>
      </w:tr>
    </w:tbl>
    <w:tbl>
      <w:tblPr>
        <w:tblW w:w="5000" w:type="pct"/>
        <w:jc w:val="left"/>
        <w:tblInd w:w="0" w:type="dxa"/>
        <w:tblLayout w:type="fixed"/>
        <w:tblCellMar>
          <w:top w:w="0" w:type="dxa"/>
          <w:left w:w="0" w:type="dxa"/>
          <w:bottom w:w="0" w:type="dxa"/>
          <w:right w:w="0" w:type="dxa"/>
        </w:tblCellMar>
      </w:tblPr>
      <w:tblGrid>
        <w:gridCol w:w="713"/>
        <w:gridCol w:w="612"/>
        <w:gridCol w:w="102"/>
        <w:gridCol w:w="8778"/>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overall compensation philosophy; and </w:t>
            </w:r>
          </w:p>
        </w:tc>
      </w:tr>
    </w:tbl>
    <w:tbl>
      <w:tblPr>
        <w:tblW w:w="5000" w:type="pct"/>
        <w:jc w:val="left"/>
        <w:tblInd w:w="0" w:type="dxa"/>
        <w:tblLayout w:type="fixed"/>
        <w:tblCellMar>
          <w:top w:w="0" w:type="dxa"/>
          <w:left w:w="0" w:type="dxa"/>
          <w:bottom w:w="0" w:type="dxa"/>
          <w:right w:w="0" w:type="dxa"/>
        </w:tblCellMar>
      </w:tblPr>
      <w:tblGrid>
        <w:gridCol w:w="713"/>
        <w:gridCol w:w="612"/>
        <w:gridCol w:w="102"/>
        <w:gridCol w:w="8778"/>
      </w:tblGrid>
      <w:tr>
        <w:trPr/>
        <w:tc>
          <w:tcPr>
            <w:tcW w:w="713" w:type="dxa"/>
            <w:tcBorders/>
            <w:vAlign w:val="center"/>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77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reviewing our key human capital management strategies. </w:t>
            </w:r>
          </w:p>
        </w:tc>
      </w:tr>
    </w:tbl>
    <w:p>
      <w:pPr>
        <w:pStyle w:val="TextBody"/>
        <w:bidi w:val="0"/>
        <w:spacing w:before="200" w:after="0"/>
        <w:jc w:val="both"/>
        <w:rPr>
          <w:rFonts w:ascii="Times New Roman" w:hAnsi="Times New Roman"/>
          <w:sz w:val="20"/>
        </w:rPr>
      </w:pPr>
      <w:r>
        <w:rPr>
          <w:rFonts w:ascii="Times New Roman" w:hAnsi="Times New Roman"/>
          <w:sz w:val="20"/>
        </w:rPr>
        <w:t xml:space="preserve">Subject to certain limitations, our Compensation Committee has delegated authority to our CEO to grant options or other stock awards to our non-executive officers. Our Compensation Committee also has the authority to form and delegate authority to one or more subcommittees as it deems appropriate from time to time under the circumstances. The Compensation Committee annually reviews the performance of each of the executive officers, including the CEO. It then determines and approves the compensation of each executive officer, other than the CEO, and determines and makes recommendations regarding the CEOs compensation level to the Board for approval. </w:t>
      </w:r>
    </w:p>
    <w:p>
      <w:pPr>
        <w:pStyle w:val="TextBody"/>
        <w:bidi w:val="0"/>
        <w:spacing w:before="200" w:after="0"/>
        <w:jc w:val="both"/>
        <w:rPr>
          <w:rFonts w:ascii="Times New Roman" w:hAnsi="Times New Roman"/>
          <w:sz w:val="20"/>
        </w:rPr>
      </w:pPr>
      <w:r>
        <w:rPr>
          <w:rFonts w:ascii="Times New Roman" w:hAnsi="Times New Roman"/>
          <w:sz w:val="20"/>
        </w:rPr>
        <w:t xml:space="preserve">Radford (an operating unit of Aon plc and a widely recognized leader in gathering and analyzing industry compensation trends) serves as our independent compensation consultant for executive compensation. Radford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 analysis regarding the competitiveness of our compensation program design and our award values in relation to performance. In addition, Aon, an affiliate of Radford, serves as our insurance broker for all of our commercial lines of insurance. </w:t>
      </w:r>
    </w:p>
    <w:p>
      <w:pPr>
        <w:pStyle w:val="TextBody"/>
        <w:bidi w:val="0"/>
        <w:spacing w:before="200" w:after="0"/>
        <w:jc w:val="both"/>
        <w:rPr>
          <w:rFonts w:ascii="Times New Roman" w:hAnsi="Times New Roman"/>
          <w:sz w:val="20"/>
        </w:rPr>
      </w:pPr>
      <w:r>
        <w:rPr>
          <w:rFonts w:ascii="Times New Roman" w:hAnsi="Times New Roman"/>
          <w:sz w:val="20"/>
        </w:rPr>
        <w:t xml:space="preserve">The members of our Compensation Committee are Mr. Truitt (Chair), Mr. Leff and Mr. Thomas. The Board has determined that all Compensation Committee members are independent under the listing standards of Nasdaq, and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CORPORATE GOVERNANCE AND RISK MANAGEMENT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that they are non-employee directors for purposes of Rule 16b-3 under the Securities Exchange Act of 1934 (the Exchange Act). </w:t>
      </w:r>
    </w:p>
    <w:p>
      <w:pPr>
        <w:pStyle w:val="TextBody"/>
        <w:bidi w:val="0"/>
        <w:spacing w:before="200" w:after="0"/>
        <w:jc w:val="left"/>
        <w:rPr>
          <w:rFonts w:ascii="Times New Roman" w:hAnsi="Times New Roman"/>
          <w:b/>
          <w:sz w:val="20"/>
        </w:rPr>
      </w:pPr>
      <w:bookmarkStart w:id="23" w:name="summary636298_21"/>
      <w:bookmarkEnd w:id="23"/>
      <w:r>
        <w:rPr>
          <w:rFonts w:ascii="Times New Roman" w:hAnsi="Times New Roman"/>
          <w:b/>
          <w:sz w:val="20"/>
        </w:rPr>
        <w:t xml:space="preserve">FAMILY RELATIONSHIPS </w:t>
      </w:r>
    </w:p>
    <w:p>
      <w:pPr>
        <w:pStyle w:val="TextBody"/>
        <w:bidi w:val="0"/>
        <w:spacing w:before="200" w:after="0"/>
        <w:jc w:val="both"/>
        <w:rPr>
          <w:rFonts w:ascii="Times New Roman" w:hAnsi="Times New Roman"/>
          <w:sz w:val="20"/>
        </w:rPr>
      </w:pPr>
      <w:r>
        <w:rPr>
          <w:rFonts w:ascii="Times New Roman" w:hAnsi="Times New Roman"/>
          <w:sz w:val="20"/>
        </w:rPr>
        <w:t xml:space="preserve">There are no family relationships among any of our directors or executive officers. </w:t>
      </w:r>
    </w:p>
    <w:p>
      <w:pPr>
        <w:pStyle w:val="TextBody"/>
        <w:bidi w:val="0"/>
        <w:spacing w:before="200" w:after="0"/>
        <w:jc w:val="left"/>
        <w:rPr>
          <w:rFonts w:ascii="Times New Roman" w:hAnsi="Times New Roman"/>
          <w:b/>
          <w:sz w:val="20"/>
        </w:rPr>
      </w:pPr>
      <w:bookmarkStart w:id="24" w:name="summary636298_22"/>
      <w:bookmarkEnd w:id="24"/>
      <w:r>
        <w:rPr>
          <w:rFonts w:ascii="Times New Roman" w:hAnsi="Times New Roman"/>
          <w:b/>
          <w:sz w:val="20"/>
        </w:rPr>
        <w:t xml:space="preserve">COMPENSATION COMMITTEE INTERLOCKS AND INSIDER PARTICIPATION </w:t>
      </w:r>
    </w:p>
    <w:p>
      <w:pPr>
        <w:pStyle w:val="TextBody"/>
        <w:bidi w:val="0"/>
        <w:spacing w:before="200" w:after="0"/>
        <w:jc w:val="both"/>
        <w:rPr>
          <w:rFonts w:ascii="Times New Roman" w:hAnsi="Times New Roman"/>
          <w:sz w:val="20"/>
        </w:rPr>
      </w:pPr>
      <w:r>
        <w:rPr>
          <w:rFonts w:ascii="Times New Roman" w:hAnsi="Times New Roman"/>
          <w:sz w:val="20"/>
        </w:rPr>
        <w:t xml:space="preserve">During the fiscal year ended December 31, 2023 and as of the date of this Proxy Statement, none of the members of the Compensation Committee was or is one of our officers or employees, and none of our executive officers has served or serves on the compensation committee or board of any company that employed or employs any member of our Compensation Committee or Board. </w:t>
      </w:r>
    </w:p>
    <w:p>
      <w:pPr>
        <w:pStyle w:val="TextBody"/>
        <w:bidi w:val="0"/>
        <w:spacing w:before="200" w:after="0"/>
        <w:jc w:val="left"/>
        <w:rPr>
          <w:rFonts w:ascii="Times New Roman" w:hAnsi="Times New Roman"/>
          <w:b/>
          <w:sz w:val="20"/>
        </w:rPr>
      </w:pPr>
      <w:bookmarkStart w:id="25" w:name="summary636298_23"/>
      <w:bookmarkEnd w:id="25"/>
      <w:r>
        <w:rPr>
          <w:rFonts w:ascii="Times New Roman" w:hAnsi="Times New Roman"/>
          <w:b/>
          <w:sz w:val="20"/>
        </w:rPr>
        <w:t xml:space="preserve">STOCKHOLDER ENGAGEMENT </w:t>
      </w:r>
    </w:p>
    <w:p>
      <w:pPr>
        <w:pStyle w:val="TextBody"/>
        <w:bidi w:val="0"/>
        <w:spacing w:before="200" w:after="0"/>
        <w:jc w:val="left"/>
        <w:rPr>
          <w:rFonts w:ascii="Times New Roman" w:hAnsi="Times New Roman"/>
          <w:b/>
          <w:sz w:val="20"/>
        </w:rPr>
      </w:pPr>
      <w:r>
        <w:rPr>
          <w:rFonts w:ascii="Times New Roman" w:hAnsi="Times New Roman"/>
          <w:b/>
          <w:sz w:val="20"/>
        </w:rPr>
        <w:t xml:space="preserve">Connect </w:t>
      </w:r>
    </w:p>
    <w:p>
      <w:pPr>
        <w:pStyle w:val="TextBody"/>
        <w:bidi w:val="0"/>
        <w:spacing w:before="200" w:after="0"/>
        <w:jc w:val="both"/>
        <w:rPr>
          <w:rFonts w:ascii="Times New Roman" w:hAnsi="Times New Roman"/>
          <w:sz w:val="20"/>
        </w:rPr>
      </w:pPr>
      <w:r>
        <w:rPr>
          <w:rFonts w:ascii="Times New Roman" w:hAnsi="Times New Roman"/>
          <w:sz w:val="20"/>
        </w:rPr>
        <w:t xml:space="preserve">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 </w:t>
      </w:r>
    </w:p>
    <w:p>
      <w:pPr>
        <w:pStyle w:val="TextBody"/>
        <w:bidi w:val="0"/>
        <w:spacing w:before="200" w:after="0"/>
        <w:jc w:val="left"/>
        <w:rPr>
          <w:rFonts w:ascii="Times New Roman" w:hAnsi="Times New Roman"/>
          <w:b/>
          <w:sz w:val="20"/>
        </w:rPr>
      </w:pPr>
      <w:r>
        <w:rPr>
          <w:rFonts w:ascii="Times New Roman" w:hAnsi="Times New Roman"/>
          <w:b/>
          <w:sz w:val="20"/>
        </w:rPr>
        <w:t xml:space="preserve">Collaborate </w:t>
      </w:r>
    </w:p>
    <w:p>
      <w:pPr>
        <w:pStyle w:val="TextBody"/>
        <w:bidi w:val="0"/>
        <w:spacing w:before="200" w:after="0"/>
        <w:jc w:val="both"/>
        <w:rPr>
          <w:rFonts w:ascii="Times New Roman" w:hAnsi="Times New Roman"/>
          <w:sz w:val="20"/>
        </w:rPr>
      </w:pPr>
      <w:r>
        <w:rPr>
          <w:rFonts w:ascii="Times New Roman" w:hAnsi="Times New Roman"/>
          <w:sz w:val="20"/>
        </w:rPr>
        <w:t xml:space="preserve">We strive for a collaborative approach to stockholder engagement and value the variety of investors perspectives received, which helps deepen our understanding of their interests and motivations. </w:t>
      </w:r>
    </w:p>
    <w:p>
      <w:pPr>
        <w:pStyle w:val="TextBody"/>
        <w:bidi w:val="0"/>
        <w:spacing w:before="200" w:after="0"/>
        <w:jc w:val="left"/>
        <w:rPr>
          <w:rFonts w:ascii="Times New Roman" w:hAnsi="Times New Roman"/>
          <w:b/>
          <w:sz w:val="20"/>
        </w:rPr>
      </w:pPr>
      <w:r>
        <w:rPr>
          <w:rFonts w:ascii="Times New Roman" w:hAnsi="Times New Roman"/>
          <w:b/>
          <w:sz w:val="20"/>
        </w:rPr>
        <w:t xml:space="preserve">Communicate </w:t>
      </w:r>
    </w:p>
    <w:p>
      <w:pPr>
        <w:pStyle w:val="TextBody"/>
        <w:bidi w:val="0"/>
        <w:spacing w:before="200" w:after="0"/>
        <w:jc w:val="both"/>
        <w:rPr>
          <w:rFonts w:ascii="Times New Roman" w:hAnsi="Times New Roman"/>
          <w:sz w:val="20"/>
        </w:rPr>
      </w:pPr>
      <w:r>
        <w:rPr>
          <w:rFonts w:ascii="Times New Roman" w:hAnsi="Times New Roman"/>
          <w:sz w:val="20"/>
        </w:rPr>
        <w:t xml:space="preserve">Our goal is to communicate with our stockholders through various platforms, including via our website at </w:t>
      </w:r>
      <w:r>
        <w:rPr>
          <w:rFonts w:ascii="Times New Roman" w:hAnsi="Times New Roman"/>
          <w:color w:val="2175FF"/>
          <w:sz w:val="20"/>
          <w:u w:val="single"/>
        </w:rPr>
        <w:t>www.larimartx.com</w:t>
      </w:r>
      <w:r>
        <w:rPr>
          <w:rFonts w:ascii="Times New Roman" w:hAnsi="Times New Roman"/>
          <w:sz w:val="20"/>
        </w:rPr>
        <w:t xml:space="preserve">, in print and in person at investor presentations or stockholder meetings. We view communication between our stockholders and the Board as a dialogue.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05"/>
        <w:gridCol w:w="123"/>
        <w:gridCol w:w="4098"/>
        <w:gridCol w:w="123"/>
        <w:gridCol w:w="1456"/>
      </w:tblGrid>
      <w:tr>
        <w:trPr/>
        <w:tc>
          <w:tcPr>
            <w:tcW w:w="440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09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4405" w:type="dxa"/>
            <w:tcBorders/>
          </w:tcPr>
          <w:p>
            <w:pPr>
              <w:pStyle w:val="TableContents"/>
              <w:bidi w:val="0"/>
              <w:spacing w:before="0" w:after="0"/>
              <w:jc w:val="center"/>
              <w:rPr>
                <w:rFonts w:ascii="Times New Roman" w:hAnsi="Times New Roman"/>
                <w:b/>
                <w:sz w:val="20"/>
              </w:rPr>
            </w:pPr>
            <w:r>
              <w:rPr>
                <w:rFonts w:ascii="Times New Roman" w:hAnsi="Times New Roman"/>
                <w:b/>
                <w:sz w:val="20"/>
              </w:rPr>
              <w:t>How to</w:t>
            </w:r>
          </w:p>
          <w:p>
            <w:pPr>
              <w:pStyle w:val="TableContents"/>
              <w:bidi w:val="0"/>
              <w:spacing w:before="0" w:after="20"/>
              <w:jc w:val="center"/>
              <w:rPr>
                <w:rFonts w:ascii="Times New Roman" w:hAnsi="Times New Roman"/>
                <w:b/>
                <w:sz w:val="20"/>
              </w:rPr>
            </w:pPr>
            <w:r>
              <w:rPr>
                <w:rFonts w:ascii="Times New Roman" w:hAnsi="Times New Roman"/>
                <w:b/>
                <w:sz w:val="20"/>
              </w:rPr>
              <w:t>Communicate with our Directors</w:t>
            </w:r>
          </w:p>
        </w:tc>
        <w:tc>
          <w:tcPr>
            <w:tcW w:w="123" w:type="dxa"/>
            <w:tcBorders/>
            <w:vAlign w:val="bottom"/>
          </w:tcPr>
          <w:p>
            <w:pPr>
              <w:pStyle w:val="TableContents"/>
              <w:bidi w:val="0"/>
              <w:spacing w:before="0" w:after="283"/>
              <w:jc w:val="left"/>
              <w:rPr/>
            </w:pPr>
            <w:r>
              <w:rPr/>
              <w:t>  </w:t>
            </w:r>
          </w:p>
        </w:tc>
        <w:tc>
          <w:tcPr>
            <w:tcW w:w="4098" w:type="dxa"/>
            <w:tcBorders/>
          </w:tcPr>
          <w:p>
            <w:pPr>
              <w:pStyle w:val="TableContents"/>
              <w:bidi w:val="0"/>
              <w:spacing w:before="0" w:after="0"/>
              <w:jc w:val="center"/>
              <w:rPr>
                <w:rFonts w:ascii="Times New Roman" w:hAnsi="Times New Roman"/>
                <w:b/>
                <w:sz w:val="20"/>
              </w:rPr>
            </w:pPr>
            <w:r>
              <w:rPr>
                <w:rFonts w:ascii="Times New Roman" w:hAnsi="Times New Roman"/>
                <w:b/>
                <w:sz w:val="20"/>
              </w:rPr>
              <w:t>By mail:</w:t>
            </w:r>
          </w:p>
          <w:p>
            <w:pPr>
              <w:pStyle w:val="TableContents"/>
              <w:bidi w:val="0"/>
              <w:spacing w:before="0" w:after="0"/>
              <w:jc w:val="center"/>
              <w:rPr>
                <w:rFonts w:ascii="Times New Roman" w:hAnsi="Times New Roman"/>
                <w:sz w:val="20"/>
              </w:rPr>
            </w:pPr>
            <w:r>
              <w:rPr>
                <w:rFonts w:ascii="Times New Roman" w:hAnsi="Times New Roman"/>
                <w:sz w:val="20"/>
              </w:rPr>
              <w:t>Secretary, Larimar Therapeutics, Inc.</w:t>
            </w:r>
          </w:p>
          <w:p>
            <w:pPr>
              <w:pStyle w:val="TableContents"/>
              <w:bidi w:val="0"/>
              <w:spacing w:before="0" w:after="0"/>
              <w:jc w:val="center"/>
              <w:rPr>
                <w:rFonts w:ascii="Times New Roman" w:hAnsi="Times New Roman"/>
                <w:sz w:val="20"/>
              </w:rPr>
            </w:pPr>
            <w:r>
              <w:rPr>
                <w:rFonts w:ascii="Times New Roman" w:hAnsi="Times New Roman"/>
                <w:sz w:val="20"/>
              </w:rPr>
              <w:t>Three Bala Plaza East, Suite 506</w:t>
            </w:r>
          </w:p>
          <w:p>
            <w:pPr>
              <w:pStyle w:val="TableContents"/>
              <w:bidi w:val="0"/>
              <w:spacing w:before="0" w:after="20"/>
              <w:jc w:val="center"/>
              <w:rPr>
                <w:rFonts w:ascii="Times New Roman" w:hAnsi="Times New Roman"/>
                <w:sz w:val="20"/>
              </w:rPr>
            </w:pPr>
            <w:r>
              <w:rPr>
                <w:rFonts w:ascii="Times New Roman" w:hAnsi="Times New Roman"/>
                <w:sz w:val="20"/>
              </w:rPr>
              <w:t>Bala Cynwyd, PA 19004</w:t>
            </w:r>
          </w:p>
        </w:tc>
        <w:tc>
          <w:tcPr>
            <w:tcW w:w="123"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drawing>
          <wp:inline distT="0" distB="0" distL="0" distR="0">
            <wp:extent cx="496570" cy="167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96570" cy="16700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26" w:name="summary636298_24"/>
            <w:bookmarkEnd w:id="26"/>
            <w:r>
              <w:rPr>
                <w:rFonts w:ascii="Times New Roman" w:hAnsi="Times New Roman"/>
                <w:b/>
                <w:sz w:val="24"/>
              </w:rPr>
              <w:t>DIRECTOR COMPENSATION</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have designed and implemented our compensation program for our non-employee directors to attract, motivate and retain individuals who are committed to our values and goals and who have the expertise and experience that we need to achieve those goals. </w:t>
      </w:r>
    </w:p>
    <w:p>
      <w:pPr>
        <w:pStyle w:val="TextBody"/>
        <w:bidi w:val="0"/>
        <w:spacing w:before="200" w:after="0"/>
        <w:jc w:val="left"/>
        <w:rPr>
          <w:rFonts w:ascii="Times New Roman" w:hAnsi="Times New Roman"/>
          <w:b/>
          <w:sz w:val="20"/>
        </w:rPr>
      </w:pPr>
      <w:bookmarkStart w:id="27" w:name="summary636298_25"/>
      <w:bookmarkEnd w:id="27"/>
      <w:r>
        <w:rPr>
          <w:rFonts w:ascii="Times New Roman" w:hAnsi="Times New Roman"/>
          <w:b/>
          <w:sz w:val="20"/>
        </w:rPr>
        <w:t xml:space="preserve">NON-EMPLOYEE DIRECTOR COMPENSATION POLICY </w:t>
      </w:r>
    </w:p>
    <w:p>
      <w:pPr>
        <w:pStyle w:val="TextBody"/>
        <w:bidi w:val="0"/>
        <w:spacing w:before="200" w:after="0"/>
        <w:jc w:val="both"/>
        <w:rPr>
          <w:rFonts w:ascii="Times New Roman" w:hAnsi="Times New Roman"/>
          <w:sz w:val="20"/>
        </w:rPr>
      </w:pPr>
      <w:r>
        <w:rPr>
          <w:rFonts w:ascii="Times New Roman" w:hAnsi="Times New Roman"/>
          <w:sz w:val="20"/>
        </w:rPr>
        <w:t xml:space="preserve">Our 2023 non-employee director compensation policy is set forth in the table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2" w:space="0" w:color="000000"/>
              <w:left w:val="single" w:sz="2" w:space="0" w:color="000000"/>
              <w:right w:val="single" w:sz="2" w:space="0" w:color="000000"/>
            </w:tcBorders>
            <w:shd w:fill="4DC1E4" w:val="clear"/>
            <w:tcMar>
              <w:top w:w="28" w:type="dxa"/>
              <w:left w:w="160" w:type="dxa"/>
              <w:right w:w="40" w:type="dxa"/>
            </w:tcMar>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C</w:t>
            </w:r>
            <w:r>
              <w:rPr>
                <w:rFonts w:ascii="Times New Roman" w:hAnsi="Times New Roman"/>
                <w:b/>
                <w:color w:val="FFFFFF"/>
                <w:sz w:val="14"/>
              </w:rPr>
              <w:t>OMPENSATION</w:t>
            </w:r>
            <w:r>
              <w:rPr>
                <w:rFonts w:ascii="Times New Roman" w:hAnsi="Times New Roman"/>
                <w:b/>
                <w:color w:val="FFFFFF"/>
                <w:sz w:val="20"/>
              </w:rPr>
              <w:t xml:space="preserve"> E</w:t>
            </w:r>
            <w:r>
              <w:rPr>
                <w:rFonts w:ascii="Times New Roman" w:hAnsi="Times New Roman"/>
                <w:b/>
                <w:color w:val="FFFFFF"/>
                <w:sz w:val="14"/>
              </w:rPr>
              <w:t>LEMENTS</w:t>
            </w:r>
            <w:r>
              <w:rPr>
                <w:rFonts w:ascii="Times New Roman" w:hAnsi="Times New Roman"/>
                <w:b/>
                <w:color w:val="FFFFFF"/>
                <w:sz w:val="20"/>
              </w:rPr>
              <w:t xml:space="preserve">  N</w:t>
            </w:r>
            <w:r>
              <w:rPr>
                <w:rFonts w:ascii="Times New Roman" w:hAnsi="Times New Roman"/>
                <w:b/>
                <w:color w:val="FFFFFF"/>
                <w:sz w:val="14"/>
              </w:rPr>
              <w:t>ON</w:t>
            </w:r>
            <w:r>
              <w:rPr>
                <w:rFonts w:ascii="Times New Roman" w:hAnsi="Times New Roman"/>
                <w:b/>
                <w:color w:val="FFFFFF"/>
                <w:sz w:val="20"/>
              </w:rPr>
              <w:t>-E</w:t>
            </w:r>
            <w:r>
              <w:rPr>
                <w:rFonts w:ascii="Times New Roman" w:hAnsi="Times New Roman"/>
                <w:b/>
                <w:color w:val="FFFFFF"/>
                <w:sz w:val="14"/>
              </w:rPr>
              <w:t>MPLOYEE</w:t>
            </w:r>
            <w:r>
              <w:rPr>
                <w:rFonts w:ascii="Times New Roman" w:hAnsi="Times New Roman"/>
                <w:b/>
                <w:color w:val="FFFFFF"/>
                <w:sz w:val="20"/>
              </w:rPr>
              <w:t xml:space="preserve"> D</w:t>
            </w:r>
            <w:r>
              <w:rPr>
                <w:rFonts w:ascii="Times New Roman" w:hAnsi="Times New Roman"/>
                <w:b/>
                <w:color w:val="FFFFFF"/>
                <w:sz w:val="14"/>
              </w:rPr>
              <w:t>IRECTOR</w:t>
            </w:r>
            <w:r>
              <w:rPr>
                <w:rFonts w:ascii="Times New Roman" w:hAnsi="Times New Roman"/>
                <w:b/>
                <w:color w:val="FFFFFF"/>
                <w:sz w:val="20"/>
              </w:rPr>
              <w:t xml:space="preserve"> C</w:t>
            </w:r>
            <w:r>
              <w:rPr>
                <w:rFonts w:ascii="Times New Roman" w:hAnsi="Times New Roman"/>
                <w:b/>
                <w:color w:val="FFFFFF"/>
                <w:sz w:val="14"/>
              </w:rPr>
              <w:t>OMPENSATION</w:t>
            </w:r>
            <w:r>
              <w:rPr>
                <w:rFonts w:ascii="Times New Roman" w:hAnsi="Times New Roman"/>
                <w:b/>
                <w:color w:val="FFFFFF"/>
                <w:sz w:val="20"/>
              </w:rPr>
              <w:t xml:space="preserve"> P</w:t>
            </w:r>
            <w:r>
              <w:rPr>
                <w:rFonts w:ascii="Times New Roman" w:hAnsi="Times New Roman"/>
                <w:b/>
                <w:color w:val="FFFFFF"/>
                <w:sz w:val="14"/>
              </w:rPr>
              <w:t>ROGRAM</w:t>
            </w:r>
          </w:p>
          <w:p>
            <w:pPr>
              <w:pStyle w:val="TableContents"/>
              <w:bidi w:val="0"/>
              <w:spacing w:before="0" w:after="2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b/>
                <w:sz w:val="20"/>
              </w:rPr>
            </w:pPr>
            <w:r>
              <w:rPr>
                <w:rFonts w:ascii="Times New Roman" w:hAnsi="Times New Roman"/>
                <w:b/>
                <w:sz w:val="20"/>
              </w:rPr>
              <w:t>Cash Retainers</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28" w:type="dxa"/>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Annual Cash Retainer</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both"/>
              <w:rPr>
                <w:rFonts w:ascii="Times New Roman" w:hAnsi="Times New Roman"/>
                <w:sz w:val="20"/>
              </w:rPr>
            </w:pPr>
            <w:r>
              <w:rPr>
                <w:rFonts w:ascii="Times New Roman" w:hAnsi="Times New Roman"/>
                <w:sz w:val="20"/>
              </w:rPr>
              <w:t>$35,000</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Chairperson of the Board of Directors</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$30,000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283"/>
              <w:jc w:val="left"/>
              <w:rPr>
                <w:i/>
              </w:rPr>
            </w:pPr>
            <w:r>
              <w:rPr>
                <w:i/>
              </w:rPr>
              <w:t>Annual Committee Chair Retainer</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$15,000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both"/>
              <w:rPr>
                <w:rFonts w:ascii="Times New Roman" w:hAnsi="Times New Roman"/>
                <w:sz w:val="20"/>
              </w:rPr>
            </w:pPr>
            <w:r>
              <w:rPr>
                <w:rFonts w:ascii="Times New Roman" w:hAnsi="Times New Roman"/>
                <w:sz w:val="20"/>
              </w:rPr>
              <w:t>$10,000</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$7,500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283"/>
              <w:jc w:val="left"/>
              <w:rPr>
                <w:i/>
              </w:rPr>
            </w:pPr>
            <w:r>
              <w:rPr>
                <w:i/>
              </w:rPr>
              <w:t>Annual Committee Member Retainer</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$7,500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both"/>
              <w:rPr>
                <w:rFonts w:ascii="Times New Roman" w:hAnsi="Times New Roman"/>
                <w:sz w:val="20"/>
              </w:rPr>
            </w:pPr>
            <w:r>
              <w:rPr>
                <w:rFonts w:ascii="Times New Roman" w:hAnsi="Times New Roman"/>
                <w:sz w:val="20"/>
              </w:rPr>
              <w:t>$5,000</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both"/>
              <w:rPr>
                <w:rFonts w:ascii="Times New Roman" w:hAnsi="Times New Roman"/>
                <w:sz w:val="20"/>
              </w:rPr>
            </w:pPr>
            <w:r>
              <w:rPr>
                <w:rFonts w:ascii="Times New Roman" w:hAnsi="Times New Roman"/>
                <w:sz w:val="20"/>
              </w:rPr>
              <w:t>$3,750</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b/>
                <w:sz w:val="20"/>
              </w:rPr>
            </w:pPr>
            <w:r>
              <w:rPr>
                <w:rFonts w:ascii="Times New Roman" w:hAnsi="Times New Roman"/>
                <w:b/>
                <w:sz w:val="20"/>
              </w:rPr>
              <w:t>Equity Awards</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Initial Equity Grant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Option to purchase 16,600 shares of common stock, vesting monthly over a three year period</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Annual Equity Grant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Option to purchase 8,300 shares of common stock, vesting upon the earlier of the first anniversary of the date of grant or the date of the following annual meeting of stockholders after the grant date</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DIRECTOR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March 2024, the Board approved, based on Aons assessment of publicly available director compensation data, an amendment to our non-employee director compensation policy, which became effective on March 20, 2024. The table below depicts the compensation elements of our amended non-employee director compensation policy: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01"/>
        <w:gridCol w:w="5001"/>
      </w:tblGrid>
      <w:tr>
        <w:trPr/>
        <w:tc>
          <w:tcPr>
            <w:tcW w:w="510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2" w:space="0" w:color="000000"/>
              <w:left w:val="single" w:sz="2" w:space="0" w:color="000000"/>
              <w:right w:val="single" w:sz="2" w:space="0" w:color="000000"/>
            </w:tcBorders>
            <w:shd w:fill="4DC1E4" w:val="clear"/>
            <w:tcMar>
              <w:top w:w="28" w:type="dxa"/>
              <w:left w:w="160" w:type="dxa"/>
              <w:right w:w="40" w:type="dxa"/>
            </w:tcMar>
          </w:tcPr>
          <w:p>
            <w:pPr>
              <w:pStyle w:val="TableContents"/>
              <w:bidi w:val="0"/>
              <w:spacing w:before="0" w:after="0"/>
              <w:jc w:val="left"/>
              <w:rPr/>
            </w:pPr>
            <w:r>
              <w:rPr/>
              <w:t> </w:t>
            </w:r>
          </w:p>
          <w:p>
            <w:pPr>
              <w:pStyle w:val="TableContents"/>
              <w:bidi w:val="0"/>
              <w:spacing w:before="0" w:after="0"/>
              <w:jc w:val="left"/>
              <w:rPr>
                <w:rFonts w:ascii="Times New Roman" w:hAnsi="Times New Roman"/>
                <w:b/>
                <w:color w:val="FFFFFF"/>
                <w:sz w:val="20"/>
              </w:rPr>
            </w:pPr>
            <w:r>
              <w:rPr>
                <w:rFonts w:ascii="Times New Roman" w:hAnsi="Times New Roman"/>
                <w:b/>
                <w:color w:val="FFFFFF"/>
                <w:sz w:val="20"/>
              </w:rPr>
              <w:t>C</w:t>
            </w:r>
            <w:r>
              <w:rPr>
                <w:rFonts w:ascii="Times New Roman" w:hAnsi="Times New Roman"/>
                <w:b/>
                <w:color w:val="FFFFFF"/>
                <w:sz w:val="14"/>
              </w:rPr>
              <w:t>OMPENSATION</w:t>
            </w:r>
            <w:r>
              <w:rPr>
                <w:rFonts w:ascii="Times New Roman" w:hAnsi="Times New Roman"/>
                <w:b/>
                <w:color w:val="FFFFFF"/>
                <w:sz w:val="20"/>
              </w:rPr>
              <w:t xml:space="preserve"> E</w:t>
            </w:r>
            <w:r>
              <w:rPr>
                <w:rFonts w:ascii="Times New Roman" w:hAnsi="Times New Roman"/>
                <w:b/>
                <w:color w:val="FFFFFF"/>
                <w:sz w:val="14"/>
              </w:rPr>
              <w:t>LEMENTS</w:t>
            </w:r>
            <w:r>
              <w:rPr>
                <w:rFonts w:ascii="Times New Roman" w:hAnsi="Times New Roman"/>
                <w:b/>
                <w:color w:val="FFFFFF"/>
                <w:sz w:val="20"/>
              </w:rPr>
              <w:t xml:space="preserve">  A</w:t>
            </w:r>
            <w:r>
              <w:rPr>
                <w:rFonts w:ascii="Times New Roman" w:hAnsi="Times New Roman"/>
                <w:b/>
                <w:color w:val="FFFFFF"/>
                <w:sz w:val="14"/>
              </w:rPr>
              <w:t>MENDED</w:t>
            </w:r>
            <w:r>
              <w:rPr>
                <w:rFonts w:ascii="Times New Roman" w:hAnsi="Times New Roman"/>
                <w:b/>
                <w:color w:val="FFFFFF"/>
                <w:sz w:val="20"/>
              </w:rPr>
              <w:t xml:space="preserve"> N</w:t>
            </w:r>
            <w:r>
              <w:rPr>
                <w:rFonts w:ascii="Times New Roman" w:hAnsi="Times New Roman"/>
                <w:b/>
                <w:color w:val="FFFFFF"/>
                <w:sz w:val="14"/>
              </w:rPr>
              <w:t>ON</w:t>
            </w:r>
            <w:r>
              <w:rPr>
                <w:rFonts w:ascii="Times New Roman" w:hAnsi="Times New Roman"/>
                <w:b/>
                <w:color w:val="FFFFFF"/>
                <w:sz w:val="20"/>
              </w:rPr>
              <w:t>-E</w:t>
            </w:r>
            <w:r>
              <w:rPr>
                <w:rFonts w:ascii="Times New Roman" w:hAnsi="Times New Roman"/>
                <w:b/>
                <w:color w:val="FFFFFF"/>
                <w:sz w:val="14"/>
              </w:rPr>
              <w:t>MPLOYEE</w:t>
            </w:r>
            <w:r>
              <w:rPr>
                <w:rFonts w:ascii="Times New Roman" w:hAnsi="Times New Roman"/>
                <w:b/>
                <w:color w:val="FFFFFF"/>
                <w:sz w:val="20"/>
              </w:rPr>
              <w:t xml:space="preserve"> D</w:t>
            </w:r>
            <w:r>
              <w:rPr>
                <w:rFonts w:ascii="Times New Roman" w:hAnsi="Times New Roman"/>
                <w:b/>
                <w:color w:val="FFFFFF"/>
                <w:sz w:val="14"/>
              </w:rPr>
              <w:t>IRECTOR</w:t>
            </w:r>
            <w:r>
              <w:rPr>
                <w:rFonts w:ascii="Times New Roman" w:hAnsi="Times New Roman"/>
                <w:b/>
                <w:color w:val="FFFFFF"/>
                <w:sz w:val="20"/>
              </w:rPr>
              <w:t xml:space="preserve"> C</w:t>
            </w:r>
            <w:r>
              <w:rPr>
                <w:rFonts w:ascii="Times New Roman" w:hAnsi="Times New Roman"/>
                <w:b/>
                <w:color w:val="FFFFFF"/>
                <w:sz w:val="14"/>
              </w:rPr>
              <w:t>OMPENSATION</w:t>
            </w:r>
            <w:r>
              <w:rPr>
                <w:rFonts w:ascii="Times New Roman" w:hAnsi="Times New Roman"/>
                <w:b/>
                <w:color w:val="FFFFFF"/>
                <w:sz w:val="20"/>
              </w:rPr>
              <w:t xml:space="preserve"> P</w:t>
            </w:r>
            <w:r>
              <w:rPr>
                <w:rFonts w:ascii="Times New Roman" w:hAnsi="Times New Roman"/>
                <w:b/>
                <w:color w:val="FFFFFF"/>
                <w:sz w:val="14"/>
              </w:rPr>
              <w:t>ROGRAM</w:t>
            </w:r>
          </w:p>
          <w:p>
            <w:pPr>
              <w:pStyle w:val="TableContents"/>
              <w:bidi w:val="0"/>
              <w:spacing w:before="0" w:after="2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b/>
                <w:sz w:val="20"/>
              </w:rPr>
            </w:pPr>
            <w:r>
              <w:rPr>
                <w:rFonts w:ascii="Times New Roman" w:hAnsi="Times New Roman"/>
                <w:b/>
                <w:sz w:val="20"/>
              </w:rPr>
              <w:t>Cash Retainers</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28" w:type="dxa"/>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Annual Cash Retainer</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both"/>
              <w:rPr>
                <w:rFonts w:ascii="Times New Roman" w:hAnsi="Times New Roman"/>
                <w:sz w:val="20"/>
              </w:rPr>
            </w:pPr>
            <w:r>
              <w:rPr>
                <w:rFonts w:ascii="Times New Roman" w:hAnsi="Times New Roman"/>
                <w:sz w:val="20"/>
              </w:rPr>
              <w:t>$35,000</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Chairperson of the Board of Directors</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$30,000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283"/>
              <w:jc w:val="left"/>
              <w:rPr>
                <w:i/>
              </w:rPr>
            </w:pPr>
            <w:r>
              <w:rPr>
                <w:i/>
              </w:rPr>
              <w:t>Annual Committee Chair Retainer</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$15,000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both"/>
              <w:rPr>
                <w:rFonts w:ascii="Times New Roman" w:hAnsi="Times New Roman"/>
                <w:sz w:val="20"/>
              </w:rPr>
            </w:pPr>
            <w:r>
              <w:rPr>
                <w:rFonts w:ascii="Times New Roman" w:hAnsi="Times New Roman"/>
                <w:sz w:val="20"/>
              </w:rPr>
              <w:t>$10,000</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$7,500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283"/>
              <w:jc w:val="left"/>
              <w:rPr>
                <w:i/>
              </w:rPr>
            </w:pPr>
            <w:r>
              <w:rPr>
                <w:i/>
              </w:rPr>
              <w:t>Annual Committee Member Retainer</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Audit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$7,500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Compensation</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spacing w:before="0" w:after="0"/>
              <w:jc w:val="both"/>
              <w:rPr>
                <w:rFonts w:ascii="Times New Roman" w:hAnsi="Times New Roman"/>
                <w:sz w:val="20"/>
              </w:rPr>
            </w:pPr>
            <w:r>
              <w:rPr>
                <w:rFonts w:ascii="Times New Roman" w:hAnsi="Times New Roman"/>
                <w:sz w:val="20"/>
              </w:rPr>
              <w:t>$5,000</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Nominating and Corporate Governance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0"/>
              <w:jc w:val="both"/>
              <w:rPr>
                <w:rFonts w:ascii="Times New Roman" w:hAnsi="Times New Roman"/>
                <w:sz w:val="20"/>
              </w:rPr>
            </w:pPr>
            <w:r>
              <w:rPr>
                <w:rFonts w:ascii="Times New Roman" w:hAnsi="Times New Roman"/>
                <w:sz w:val="20"/>
              </w:rPr>
              <w:t>$3,750</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right w:val="single" w:sz="2" w:space="0" w:color="000000"/>
            </w:tcBorders>
            <w:tcMar>
              <w:left w:w="160" w:type="dxa"/>
              <w:right w:w="28" w:type="dxa"/>
            </w:tcMar>
          </w:tcPr>
          <w:p>
            <w:pPr>
              <w:pStyle w:val="TableContents"/>
              <w:bidi w:val="0"/>
              <w:spacing w:before="0" w:after="0"/>
              <w:jc w:val="left"/>
              <w:rPr>
                <w:rFonts w:ascii="Times New Roman" w:hAnsi="Times New Roman"/>
                <w:b/>
                <w:sz w:val="20"/>
              </w:rPr>
            </w:pPr>
            <w:r>
              <w:rPr>
                <w:rFonts w:ascii="Times New Roman" w:hAnsi="Times New Roman"/>
                <w:b/>
                <w:sz w:val="20"/>
              </w:rPr>
              <w:t>Equity Awards</w:t>
            </w:r>
          </w:p>
        </w:tc>
        <w:tc>
          <w:tcPr>
            <w:tcW w:w="101" w:type="dxa"/>
            <w:tcBorders/>
            <w:vAlign w:val="bottom"/>
          </w:tcPr>
          <w:p>
            <w:pPr>
              <w:pStyle w:val="TableContents"/>
              <w:bidi w:val="0"/>
              <w:spacing w:before="0" w:after="283"/>
              <w:jc w:val="left"/>
              <w:rPr/>
            </w:pPr>
            <w:r>
              <w:rPr/>
              <w:t> </w:t>
            </w:r>
          </w:p>
        </w:tc>
        <w:tc>
          <w:tcPr>
            <w:tcW w:w="5001" w:type="dxa"/>
            <w:tcBorders>
              <w:right w:val="single" w:sz="2" w:space="0" w:color="000000"/>
            </w:tcBorders>
            <w:tcMar>
              <w:right w:w="40" w:type="dxa"/>
            </w:tcMar>
          </w:tcPr>
          <w:p>
            <w:pPr>
              <w:pStyle w:val="TableContents"/>
              <w:bidi w:val="0"/>
              <w:jc w:val="left"/>
              <w:rPr/>
            </w:pPr>
            <w:r>
              <w:rPr/>
              <w:t> </w:t>
            </w:r>
          </w:p>
          <w:p>
            <w:pPr>
              <w:pStyle w:val="TableContents"/>
              <w:bidi w:val="0"/>
              <w:spacing w:before="0" w:after="0"/>
              <w:jc w:val="left"/>
              <w:rPr/>
            </w:pPr>
            <w:r>
              <w:rPr/>
              <w:t> </w:t>
            </w:r>
          </w:p>
        </w:tc>
      </w:tr>
      <w:tr>
        <w:trPr>
          <w:trHeight w:val="30" w:hRule="atLeast"/>
        </w:trPr>
        <w:tc>
          <w:tcPr>
            <w:tcW w:w="5103"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102"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Initial Equity Grant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Option to purchase 38,000 shares of common stock, vesting monthly over a three year period</w:t>
            </w:r>
          </w:p>
        </w:tc>
      </w:tr>
      <w:tr>
        <w:trPr>
          <w:trHeight w:val="30" w:hRule="atLeast"/>
        </w:trPr>
        <w:tc>
          <w:tcPr>
            <w:tcW w:w="5103"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5102"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103"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Annual Equity Grant</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5001"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Option to purchase 19,000 shares of common stock, vesting upon the earlier of the first anniversary of the date of grant or the date of the following annual meeting of stockholders after the grant date</w:t>
            </w:r>
          </w:p>
        </w:tc>
      </w:tr>
    </w:tbl>
    <w:p>
      <w:pPr>
        <w:pStyle w:val="TextBody"/>
        <w:bidi w:val="0"/>
        <w:spacing w:before="200" w:after="0"/>
        <w:jc w:val="left"/>
        <w:rPr>
          <w:rFonts w:ascii="Times New Roman" w:hAnsi="Times New Roman"/>
          <w:b/>
          <w:sz w:val="20"/>
        </w:rPr>
      </w:pPr>
      <w:bookmarkStart w:id="28" w:name="summary636298_26"/>
      <w:bookmarkEnd w:id="28"/>
      <w:r>
        <w:rPr>
          <w:rFonts w:ascii="Times New Roman" w:hAnsi="Times New Roman"/>
          <w:b/>
          <w:sz w:val="20"/>
        </w:rPr>
        <w:t xml:space="preserve">DIRECTOR COMPENSATION TABLE </w:t>
      </w:r>
    </w:p>
    <w:p>
      <w:pPr>
        <w:pStyle w:val="TextBody"/>
        <w:bidi w:val="0"/>
        <w:spacing w:before="200" w:after="0"/>
        <w:jc w:val="both"/>
        <w:rPr>
          <w:rFonts w:ascii="Times New Roman" w:hAnsi="Times New Roman"/>
          <w:sz w:val="20"/>
        </w:rPr>
      </w:pPr>
      <w:r>
        <w:rPr>
          <w:rFonts w:ascii="Times New Roman" w:hAnsi="Times New Roman"/>
          <w:sz w:val="20"/>
        </w:rPr>
        <w:t xml:space="preserve">The following table below sets forth summary information regarding the compensation of our non-employee directors for the fiscal year ended December 31, 2023. </w:t>
      </w:r>
    </w:p>
    <w:p>
      <w:pPr>
        <w:pStyle w:val="TextBody"/>
        <w:bidi w:val="0"/>
        <w:spacing w:before="0" w:after="0"/>
        <w:jc w:val="left"/>
        <w:rPr/>
      </w:pPr>
      <w:r>
        <w:rPr/>
        <w:t> </w:t>
      </w:r>
    </w:p>
    <w:tbl>
      <w:tblPr>
        <w:tblW w:w="4900" w:type="pct"/>
        <w:jc w:val="left"/>
        <w:tblInd w:w="0" w:type="dxa"/>
        <w:tblLayout w:type="fixed"/>
        <w:tblCellMar>
          <w:top w:w="0" w:type="dxa"/>
          <w:left w:w="0" w:type="dxa"/>
          <w:bottom w:w="0" w:type="dxa"/>
          <w:right w:w="0" w:type="dxa"/>
        </w:tblCellMar>
      </w:tblPr>
      <w:tblGrid>
        <w:gridCol w:w="5637"/>
        <w:gridCol w:w="60"/>
        <w:gridCol w:w="1229"/>
        <w:gridCol w:w="307"/>
        <w:gridCol w:w="1230"/>
        <w:gridCol w:w="307"/>
        <w:gridCol w:w="1230"/>
      </w:tblGrid>
      <w:tr>
        <w:trPr/>
        <w:tc>
          <w:tcPr>
            <w:tcW w:w="563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5637" w:type="dxa"/>
            <w:tcBorders>
              <w:top w:val="single" w:sz="2" w:space="0" w:color="000000"/>
              <w:left w:val="single" w:sz="2" w:space="0" w:color="000000"/>
            </w:tcBorders>
            <w:shd w:fill="4DC1E4" w:val="clear"/>
            <w:tcMar>
              <w:top w:w="28" w:type="dxa"/>
              <w:left w:w="160" w:type="dxa"/>
            </w:tcMar>
            <w:vAlign w:val="center"/>
          </w:tcPr>
          <w:p>
            <w:pPr>
              <w:pStyle w:val="TableContents"/>
              <w:bidi w:val="0"/>
              <w:spacing w:before="0" w:after="283"/>
              <w:jc w:val="left"/>
              <w:rPr>
                <w:b/>
                <w:i/>
                <w:color w:val="FFFFFF"/>
              </w:rPr>
            </w:pPr>
            <w:r>
              <w:rPr>
                <w:b/>
                <w:i/>
                <w:color w:val="FFFFFF"/>
              </w:rPr>
              <w:t>N</w:t>
            </w:r>
            <w:r>
              <w:rPr>
                <w:b/>
                <w:i/>
                <w:color w:val="FFFFFF"/>
                <w:sz w:val="14"/>
              </w:rPr>
              <w:t>AME</w:t>
            </w:r>
          </w:p>
        </w:tc>
        <w:tc>
          <w:tcPr>
            <w:tcW w:w="60" w:type="dxa"/>
            <w:tcBorders>
              <w:top w:val="single" w:sz="2" w:space="0" w:color="000000"/>
            </w:tcBorders>
            <w:shd w:fill="4DC1E4" w:val="clear"/>
            <w:tcMar>
              <w:top w:w="28" w:type="dxa"/>
            </w:tcMar>
            <w:vAlign w:val="bottom"/>
          </w:tcPr>
          <w:p>
            <w:pPr>
              <w:pStyle w:val="TableContents"/>
              <w:bidi w:val="0"/>
              <w:spacing w:before="0" w:after="283"/>
              <w:jc w:val="left"/>
              <w:rPr/>
            </w:pPr>
            <w:r>
              <w:rPr/>
              <w:t> </w:t>
            </w:r>
          </w:p>
        </w:tc>
        <w:tc>
          <w:tcPr>
            <w:tcW w:w="1229" w:type="dxa"/>
            <w:tcBorders>
              <w:top w:val="single" w:sz="2" w:space="0" w:color="000000"/>
            </w:tcBorders>
            <w:shd w:fill="4DC1E4" w:val="clear"/>
            <w:tcMar>
              <w:top w:w="28" w:type="dxa"/>
            </w:tcMar>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i/>
                <w:color w:val="FFFFFF"/>
                <w:sz w:val="20"/>
              </w:rPr>
            </w:pPr>
            <w:r>
              <w:rPr>
                <w:rFonts w:ascii="Times New Roman" w:hAnsi="Times New Roman"/>
                <w:b/>
                <w:i/>
                <w:color w:val="FFFFFF"/>
                <w:sz w:val="20"/>
              </w:rPr>
              <w:t>F</w:t>
            </w:r>
            <w:r>
              <w:rPr>
                <w:rFonts w:ascii="Times New Roman" w:hAnsi="Times New Roman"/>
                <w:b/>
                <w:i/>
                <w:color w:val="FFFFFF"/>
                <w:sz w:val="14"/>
              </w:rPr>
              <w:t>EES</w:t>
            </w:r>
            <w:r>
              <w:rPr>
                <w:rFonts w:ascii="Times New Roman" w:hAnsi="Times New Roman"/>
                <w:b/>
                <w:i/>
                <w:color w:val="FFFFFF"/>
                <w:sz w:val="20"/>
              </w:rPr>
              <w:t> E</w:t>
            </w:r>
            <w:r>
              <w:rPr>
                <w:rFonts w:ascii="Times New Roman" w:hAnsi="Times New Roman"/>
                <w:b/>
                <w:i/>
                <w:color w:val="FFFFFF"/>
                <w:sz w:val="14"/>
              </w:rPr>
              <w:t>ARNED</w:t>
              <w:br/>
              <w:t>OR</w:t>
            </w:r>
            <w:r>
              <w:rPr>
                <w:rFonts w:ascii="Times New Roman" w:hAnsi="Times New Roman"/>
                <w:b/>
                <w:i/>
                <w:color w:val="FFFFFF"/>
                <w:sz w:val="20"/>
              </w:rPr>
              <w:t xml:space="preserve"> P</w:t>
            </w:r>
            <w:r>
              <w:rPr>
                <w:rFonts w:ascii="Times New Roman" w:hAnsi="Times New Roman"/>
                <w:b/>
                <w:i/>
                <w:color w:val="FFFFFF"/>
                <w:sz w:val="14"/>
              </w:rPr>
              <w:t>AID</w:t>
            </w:r>
            <w:r>
              <w:rPr>
                <w:rFonts w:ascii="Times New Roman" w:hAnsi="Times New Roman"/>
                <w:b/>
                <w:i/>
                <w:color w:val="FFFFFF"/>
                <w:sz w:val="20"/>
              </w:rPr>
              <w:t xml:space="preserve"> </w:t>
            </w:r>
            <w:r>
              <w:rPr>
                <w:rFonts w:ascii="Times New Roman" w:hAnsi="Times New Roman"/>
                <w:b/>
                <w:i/>
                <w:color w:val="FFFFFF"/>
                <w:sz w:val="14"/>
              </w:rPr>
              <w:t>IN</w:t>
              <w:br/>
            </w:r>
            <w:r>
              <w:rPr>
                <w:rFonts w:ascii="Times New Roman" w:hAnsi="Times New Roman"/>
                <w:b/>
                <w:i/>
                <w:color w:val="FFFFFF"/>
                <w:sz w:val="20"/>
              </w:rPr>
              <w:t>C</w:t>
            </w:r>
            <w:r>
              <w:rPr>
                <w:rFonts w:ascii="Times New Roman" w:hAnsi="Times New Roman"/>
                <w:b/>
                <w:i/>
                <w:color w:val="FFFFFF"/>
                <w:sz w:val="14"/>
              </w:rPr>
              <w:t>ASH</w:t>
            </w:r>
            <w:r>
              <w:rPr>
                <w:rFonts w:ascii="Times New Roman" w:hAnsi="Times New Roman"/>
                <w:b/>
                <w:i/>
                <w:color w:val="FFFFFF"/>
                <w:sz w:val="20"/>
              </w:rPr>
              <w:t xml:space="preserve"> ($)</w:t>
            </w:r>
          </w:p>
          <w:p>
            <w:pPr>
              <w:pStyle w:val="TableContents"/>
              <w:bidi w:val="0"/>
              <w:spacing w:before="0" w:after="20"/>
              <w:jc w:val="left"/>
              <w:rPr/>
            </w:pPr>
            <w:r>
              <w:rPr/>
              <w:t> </w:t>
            </w:r>
          </w:p>
        </w:tc>
        <w:tc>
          <w:tcPr>
            <w:tcW w:w="307" w:type="dxa"/>
            <w:tcBorders>
              <w:top w:val="single" w:sz="2" w:space="0" w:color="000000"/>
            </w:tcBorders>
            <w:shd w:fill="4DC1E4" w:val="clear"/>
            <w:tcMar>
              <w:top w:w="28" w:type="dxa"/>
            </w:tcMar>
            <w:vAlign w:val="bottom"/>
          </w:tcPr>
          <w:p>
            <w:pPr>
              <w:pStyle w:val="TableContents"/>
              <w:bidi w:val="0"/>
              <w:spacing w:before="0" w:after="283"/>
              <w:jc w:val="left"/>
              <w:rPr/>
            </w:pPr>
            <w:r>
              <w:rPr/>
              <w:t>  </w:t>
            </w:r>
          </w:p>
        </w:tc>
        <w:tc>
          <w:tcPr>
            <w:tcW w:w="1230" w:type="dxa"/>
            <w:tcBorders>
              <w:top w:val="single" w:sz="2" w:space="0" w:color="000000"/>
            </w:tcBorders>
            <w:shd w:fill="4DC1E4" w:val="clear"/>
            <w:tcMar>
              <w:top w:w="28"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b/>
                <w:i/>
                <w:color w:val="FFFFFF"/>
                <w:sz w:val="20"/>
              </w:rPr>
            </w:pPr>
            <w:r>
              <w:rPr>
                <w:rFonts w:ascii="Times New Roman" w:hAnsi="Times New Roman"/>
                <w:b/>
                <w:i/>
                <w:color w:val="FFFFFF"/>
                <w:sz w:val="20"/>
              </w:rPr>
              <w:t>O</w:t>
            </w:r>
            <w:r>
              <w:rPr>
                <w:rFonts w:ascii="Times New Roman" w:hAnsi="Times New Roman"/>
                <w:b/>
                <w:i/>
                <w:color w:val="FFFFFF"/>
                <w:sz w:val="14"/>
              </w:rPr>
              <w:t>PTION</w:t>
              <w:br/>
            </w:r>
            <w:r>
              <w:rPr>
                <w:rFonts w:ascii="Times New Roman" w:hAnsi="Times New Roman"/>
                <w:b/>
                <w:i/>
                <w:color w:val="FFFFFF"/>
                <w:sz w:val="20"/>
              </w:rPr>
              <w:t>A</w:t>
            </w:r>
            <w:r>
              <w:rPr>
                <w:rFonts w:ascii="Times New Roman" w:hAnsi="Times New Roman"/>
                <w:b/>
                <w:i/>
                <w:color w:val="FFFFFF"/>
                <w:sz w:val="14"/>
              </w:rPr>
              <w:t>WARDS</w:t>
              <w:br/>
            </w:r>
            <w:r>
              <w:rPr>
                <w:rFonts w:ascii="Times New Roman" w:hAnsi="Times New Roman"/>
                <w:b/>
                <w:i/>
                <w:color w:val="FFFFFF"/>
                <w:sz w:val="20"/>
              </w:rPr>
              <w:t>($)(1)(2)</w:t>
            </w:r>
          </w:p>
          <w:p>
            <w:pPr>
              <w:pStyle w:val="TableContents"/>
              <w:bidi w:val="0"/>
              <w:spacing w:before="0" w:after="20"/>
              <w:jc w:val="left"/>
              <w:rPr/>
            </w:pPr>
            <w:r>
              <w:rPr/>
              <w:t> </w:t>
            </w:r>
          </w:p>
        </w:tc>
        <w:tc>
          <w:tcPr>
            <w:tcW w:w="307" w:type="dxa"/>
            <w:tcBorders>
              <w:top w:val="single" w:sz="2" w:space="0" w:color="000000"/>
            </w:tcBorders>
            <w:shd w:fill="4DC1E4" w:val="clear"/>
            <w:tcMar>
              <w:top w:w="28" w:type="dxa"/>
            </w:tcMar>
            <w:vAlign w:val="bottom"/>
          </w:tcPr>
          <w:p>
            <w:pPr>
              <w:pStyle w:val="TableContents"/>
              <w:bidi w:val="0"/>
              <w:spacing w:before="0" w:after="283"/>
              <w:jc w:val="left"/>
              <w:rPr/>
            </w:pPr>
            <w:r>
              <w:rPr/>
              <w:t>  </w:t>
            </w:r>
          </w:p>
        </w:tc>
        <w:tc>
          <w:tcPr>
            <w:tcW w:w="1230" w:type="dxa"/>
            <w:tcBorders>
              <w:top w:val="single" w:sz="2" w:space="0" w:color="000000"/>
              <w:right w:val="single" w:sz="2" w:space="0" w:color="000000"/>
            </w:tcBorders>
            <w:shd w:fill="4DC1E4" w:val="clear"/>
            <w:tcMar>
              <w:top w:w="28" w:type="dxa"/>
              <w:right w:w="40" w:type="dxa"/>
            </w:tcMar>
            <w:vAlign w:val="center"/>
          </w:tcPr>
          <w:p>
            <w:pPr>
              <w:pStyle w:val="TableContents"/>
              <w:bidi w:val="0"/>
              <w:spacing w:before="0" w:after="283"/>
              <w:jc w:val="left"/>
              <w:rPr>
                <w:color w:val="FFFFFF"/>
              </w:rPr>
            </w:pPr>
            <w:r>
              <w:rPr>
                <w:color w:val="FFFFFF"/>
              </w:rPr>
              <w:t> </w:t>
            </w:r>
            <w:r>
              <w:rPr>
                <w:b/>
                <w:i/>
                <w:color w:val="FFFFFF"/>
              </w:rPr>
              <w:t>Total ($)</w:t>
            </w:r>
          </w:p>
        </w:tc>
      </w:tr>
      <w:tr>
        <w:trPr>
          <w:trHeight w:val="60" w:hRule="atLeast"/>
        </w:trPr>
        <w:tc>
          <w:tcPr>
            <w:tcW w:w="5637"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89"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537"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537"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637" w:type="dxa"/>
            <w:tcBorders>
              <w:left w:val="single" w:sz="2" w:space="0" w:color="000000"/>
            </w:tcBorders>
            <w:tcMar>
              <w:left w:w="160" w:type="dxa"/>
            </w:tcMar>
          </w:tcPr>
          <w:p>
            <w:pPr>
              <w:pStyle w:val="TableContents"/>
              <w:bidi w:val="0"/>
              <w:spacing w:before="0" w:after="0"/>
              <w:jc w:val="left"/>
              <w:rPr>
                <w:rFonts w:ascii="Times New Roman" w:hAnsi="Times New Roman"/>
                <w:sz w:val="20"/>
              </w:rPr>
            </w:pPr>
            <w:r>
              <w:rPr>
                <w:rFonts w:ascii="Times New Roman" w:hAnsi="Times New Roman"/>
                <w:sz w:val="20"/>
              </w:rPr>
              <w:t>Peter Barrett, Ph.D.(3)</w:t>
            </w:r>
          </w:p>
        </w:tc>
        <w:tc>
          <w:tcPr>
            <w:tcW w:w="6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left"/>
              <w:rPr/>
            </w:pPr>
            <w:r>
              <w:rPr/>
              <w:t>$  14,583</w:t>
            </w:r>
          </w:p>
        </w:tc>
        <w:tc>
          <w:tcPr>
            <w:tcW w:w="307"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230" w:type="dxa"/>
            <w:tcBorders>
              <w:right w:val="single" w:sz="2" w:space="0" w:color="000000"/>
            </w:tcBorders>
            <w:tcMar>
              <w:right w:w="28" w:type="dxa"/>
            </w:tcMar>
            <w:vAlign w:val="bottom"/>
          </w:tcPr>
          <w:p>
            <w:pPr>
              <w:pStyle w:val="TableContents"/>
              <w:bidi w:val="0"/>
              <w:spacing w:before="0" w:after="283"/>
              <w:jc w:val="left"/>
              <w:rPr/>
            </w:pPr>
            <w:r>
              <w:rPr/>
              <w:t>$ 14,583</w:t>
            </w:r>
          </w:p>
        </w:tc>
      </w:tr>
      <w:tr>
        <w:trPr>
          <w:trHeight w:val="60" w:hRule="atLeast"/>
        </w:trPr>
        <w:tc>
          <w:tcPr>
            <w:tcW w:w="5637"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89"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537"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537"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637"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Thomas E. Hamilton</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9" w:type="dxa"/>
            <w:tcBorders>
              <w:bottom w:val="single" w:sz="2" w:space="0" w:color="000000"/>
            </w:tcBorders>
            <w:tcMar>
              <w:bottom w:w="60" w:type="dxa"/>
            </w:tcMar>
            <w:vAlign w:val="bottom"/>
          </w:tcPr>
          <w:p>
            <w:pPr>
              <w:pStyle w:val="TableContents"/>
              <w:bidi w:val="0"/>
              <w:spacing w:before="0" w:after="283"/>
              <w:jc w:val="left"/>
              <w:rPr/>
            </w:pPr>
            <w:r>
              <w:rPr/>
              <w:t>$  45,313</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tcBorders>
            <w:tcMar>
              <w:bottom w:w="60" w:type="dxa"/>
            </w:tcMar>
            <w:vAlign w:val="bottom"/>
          </w:tcPr>
          <w:p>
            <w:pPr>
              <w:pStyle w:val="TableContents"/>
              <w:bidi w:val="0"/>
              <w:spacing w:before="0" w:after="283"/>
              <w:jc w:val="left"/>
              <w:rPr/>
            </w:pPr>
            <w:r>
              <w:rPr/>
              <w:t>$  32,456</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right w:val="single" w:sz="2" w:space="0" w:color="000000"/>
            </w:tcBorders>
            <w:tcMar>
              <w:bottom w:w="60" w:type="dxa"/>
              <w:right w:w="28" w:type="dxa"/>
            </w:tcMar>
            <w:vAlign w:val="bottom"/>
          </w:tcPr>
          <w:p>
            <w:pPr>
              <w:pStyle w:val="TableContents"/>
              <w:bidi w:val="0"/>
              <w:spacing w:before="0" w:after="283"/>
              <w:jc w:val="left"/>
              <w:rPr/>
            </w:pPr>
            <w:r>
              <w:rPr/>
              <w:t>$ 77,769</w:t>
            </w:r>
          </w:p>
        </w:tc>
      </w:tr>
      <w:tr>
        <w:trPr>
          <w:trHeight w:val="60" w:hRule="atLeast"/>
        </w:trPr>
        <w:tc>
          <w:tcPr>
            <w:tcW w:w="5637" w:type="dxa"/>
            <w:tcBorders>
              <w:left w:val="single" w:sz="2" w:space="0" w:color="000000"/>
            </w:tcBorders>
            <w:tcMar>
              <w:left w:w="160" w:type="dxa"/>
            </w:tcMar>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637" w:type="dxa"/>
            <w:tcBorders>
              <w:left w:val="single" w:sz="2" w:space="0" w:color="000000"/>
            </w:tcBorders>
            <w:tcMar>
              <w:left w:w="160" w:type="dxa"/>
            </w:tcMar>
          </w:tcPr>
          <w:p>
            <w:pPr>
              <w:pStyle w:val="TableContents"/>
              <w:bidi w:val="0"/>
              <w:spacing w:before="0" w:after="0"/>
              <w:jc w:val="left"/>
              <w:rPr>
                <w:rFonts w:ascii="Times New Roman" w:hAnsi="Times New Roman"/>
                <w:sz w:val="20"/>
              </w:rPr>
            </w:pPr>
            <w:r>
              <w:rPr>
                <w:rFonts w:ascii="Times New Roman" w:hAnsi="Times New Roman"/>
                <w:sz w:val="20"/>
              </w:rPr>
              <w:t>Jonathan Leff</w:t>
            </w:r>
          </w:p>
        </w:tc>
        <w:tc>
          <w:tcPr>
            <w:tcW w:w="60"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left"/>
              <w:rPr/>
            </w:pPr>
            <w:r>
              <w:rPr/>
              <w:t>$  47,500</w:t>
            </w:r>
          </w:p>
        </w:tc>
        <w:tc>
          <w:tcPr>
            <w:tcW w:w="307" w:type="dxa"/>
            <w:tcBorders/>
            <w:vAlign w:val="bottom"/>
          </w:tcPr>
          <w:p>
            <w:pPr>
              <w:pStyle w:val="TableContents"/>
              <w:bidi w:val="0"/>
              <w:spacing w:before="0" w:after="283"/>
              <w:jc w:val="left"/>
              <w:rPr/>
            </w:pPr>
            <w:r>
              <w:rPr/>
              <w:t>  </w:t>
            </w:r>
          </w:p>
        </w:tc>
        <w:tc>
          <w:tcPr>
            <w:tcW w:w="1230" w:type="dxa"/>
            <w:tcBorders/>
            <w:vAlign w:val="bottom"/>
          </w:tcPr>
          <w:p>
            <w:pPr>
              <w:pStyle w:val="TableContents"/>
              <w:bidi w:val="0"/>
              <w:spacing w:before="0" w:after="283"/>
              <w:jc w:val="left"/>
              <w:rPr/>
            </w:pPr>
            <w:r>
              <w:rPr/>
              <w:t>$  32,456</w:t>
            </w:r>
          </w:p>
        </w:tc>
        <w:tc>
          <w:tcPr>
            <w:tcW w:w="307" w:type="dxa"/>
            <w:tcBorders/>
            <w:vAlign w:val="bottom"/>
          </w:tcPr>
          <w:p>
            <w:pPr>
              <w:pStyle w:val="TableContents"/>
              <w:bidi w:val="0"/>
              <w:spacing w:before="0" w:after="283"/>
              <w:jc w:val="left"/>
              <w:rPr/>
            </w:pPr>
            <w:r>
              <w:rPr/>
              <w:t>  </w:t>
            </w:r>
          </w:p>
        </w:tc>
        <w:tc>
          <w:tcPr>
            <w:tcW w:w="1230" w:type="dxa"/>
            <w:tcBorders>
              <w:right w:val="single" w:sz="2" w:space="0" w:color="000000"/>
            </w:tcBorders>
            <w:tcMar>
              <w:right w:w="28" w:type="dxa"/>
            </w:tcMar>
            <w:vAlign w:val="bottom"/>
          </w:tcPr>
          <w:p>
            <w:pPr>
              <w:pStyle w:val="TableContents"/>
              <w:bidi w:val="0"/>
              <w:spacing w:before="0" w:after="283"/>
              <w:jc w:val="left"/>
              <w:rPr/>
            </w:pPr>
            <w:r>
              <w:rPr/>
              <w:t>$ 79,956</w:t>
            </w:r>
          </w:p>
        </w:tc>
      </w:tr>
      <w:tr>
        <w:trPr>
          <w:trHeight w:val="60" w:hRule="atLeast"/>
        </w:trPr>
        <w:tc>
          <w:tcPr>
            <w:tcW w:w="5637"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289"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537"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1537"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5637"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Frank Thomas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9" w:type="dxa"/>
            <w:tcBorders>
              <w:bottom w:val="single" w:sz="2" w:space="0" w:color="000000"/>
            </w:tcBorders>
            <w:tcMar>
              <w:bottom w:w="60" w:type="dxa"/>
            </w:tcMar>
            <w:vAlign w:val="bottom"/>
          </w:tcPr>
          <w:p>
            <w:pPr>
              <w:pStyle w:val="TableContents"/>
              <w:bidi w:val="0"/>
              <w:spacing w:before="0" w:after="283"/>
              <w:jc w:val="left"/>
              <w:rPr/>
            </w:pPr>
            <w:r>
              <w:rPr/>
              <w:t>$  53,750</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tcBorders>
            <w:tcMar>
              <w:bottom w:w="60" w:type="dxa"/>
            </w:tcMar>
            <w:vAlign w:val="bottom"/>
          </w:tcPr>
          <w:p>
            <w:pPr>
              <w:pStyle w:val="TableContents"/>
              <w:bidi w:val="0"/>
              <w:spacing w:before="0" w:after="283"/>
              <w:jc w:val="left"/>
              <w:rPr/>
            </w:pPr>
            <w:r>
              <w:rPr/>
              <w:t>$  32,456</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right w:val="single" w:sz="2" w:space="0" w:color="000000"/>
            </w:tcBorders>
            <w:tcMar>
              <w:bottom w:w="60" w:type="dxa"/>
              <w:right w:w="28" w:type="dxa"/>
            </w:tcMar>
            <w:vAlign w:val="bottom"/>
          </w:tcPr>
          <w:p>
            <w:pPr>
              <w:pStyle w:val="TableContents"/>
              <w:bidi w:val="0"/>
              <w:spacing w:before="0" w:after="283"/>
              <w:jc w:val="left"/>
              <w:rPr/>
            </w:pPr>
            <w:r>
              <w:rPr/>
              <w:t>$ 86,206</w:t>
            </w:r>
          </w:p>
        </w:tc>
      </w:tr>
      <w:tr>
        <w:trPr>
          <w:trHeight w:val="60" w:hRule="atLeast"/>
        </w:trPr>
        <w:tc>
          <w:tcPr>
            <w:tcW w:w="5637" w:type="dxa"/>
            <w:tcBorders>
              <w:left w:val="single" w:sz="2" w:space="0" w:color="000000"/>
            </w:tcBorders>
            <w:tcMar>
              <w:left w:w="160" w:type="dxa"/>
            </w:tcMar>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637"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Joseph Truitt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9" w:type="dxa"/>
            <w:tcBorders>
              <w:bottom w:val="single" w:sz="2" w:space="0" w:color="000000"/>
            </w:tcBorders>
            <w:tcMar>
              <w:bottom w:w="60" w:type="dxa"/>
            </w:tcMar>
            <w:vAlign w:val="bottom"/>
          </w:tcPr>
          <w:p>
            <w:pPr>
              <w:pStyle w:val="TableContents"/>
              <w:bidi w:val="0"/>
              <w:spacing w:before="0" w:after="283"/>
              <w:jc w:val="left"/>
              <w:rPr/>
            </w:pPr>
            <w:r>
              <w:rPr/>
              <w:t>$  82,500</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tcBorders>
            <w:tcMar>
              <w:bottom w:w="60" w:type="dxa"/>
            </w:tcMar>
            <w:vAlign w:val="bottom"/>
          </w:tcPr>
          <w:p>
            <w:pPr>
              <w:pStyle w:val="TableContents"/>
              <w:bidi w:val="0"/>
              <w:spacing w:before="0" w:after="283"/>
              <w:jc w:val="left"/>
              <w:rPr/>
            </w:pPr>
            <w:r>
              <w:rPr/>
              <w:t>$  32,456</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right w:val="single" w:sz="2" w:space="0" w:color="000000"/>
            </w:tcBorders>
            <w:tcMar>
              <w:bottom w:w="60" w:type="dxa"/>
              <w:right w:w="28" w:type="dxa"/>
            </w:tcMar>
            <w:vAlign w:val="bottom"/>
          </w:tcPr>
          <w:p>
            <w:pPr>
              <w:pStyle w:val="TableContents"/>
              <w:bidi w:val="0"/>
              <w:spacing w:before="0" w:after="283"/>
              <w:jc w:val="left"/>
              <w:rPr/>
            </w:pPr>
            <w:r>
              <w:rPr/>
              <w:t>$ 114,956</w:t>
            </w:r>
          </w:p>
        </w:tc>
      </w:tr>
      <w:tr>
        <w:trPr>
          <w:trHeight w:val="60" w:hRule="atLeast"/>
        </w:trPr>
        <w:tc>
          <w:tcPr>
            <w:tcW w:w="5637" w:type="dxa"/>
            <w:tcBorders>
              <w:left w:val="single" w:sz="2" w:space="0" w:color="000000"/>
            </w:tcBorders>
            <w:tcMar>
              <w:left w:w="160" w:type="dxa"/>
            </w:tcMar>
            <w:vAlign w:val="center"/>
          </w:tcPr>
          <w:p>
            <w:pPr>
              <w:pStyle w:val="TableContents"/>
              <w:bidi w:val="0"/>
              <w:spacing w:before="0" w:after="283"/>
              <w:jc w:val="left"/>
              <w:rPr/>
            </w:pPr>
            <w:r>
              <w:rPr/>
              <w:t> </w:t>
            </w:r>
          </w:p>
        </w:tc>
        <w:tc>
          <w:tcPr>
            <w:tcW w:w="1289"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5637"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Jeffrey W. Sherman, M.D., FACP(4)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29" w:type="dxa"/>
            <w:tcBorders>
              <w:bottom w:val="single" w:sz="2" w:space="0" w:color="000000"/>
            </w:tcBorders>
            <w:tcMar>
              <w:bottom w:w="60" w:type="dxa"/>
            </w:tcMar>
            <w:vAlign w:val="bottom"/>
          </w:tcPr>
          <w:p>
            <w:pPr>
              <w:pStyle w:val="TableContents"/>
              <w:bidi w:val="0"/>
              <w:spacing w:before="0" w:after="283"/>
              <w:jc w:val="left"/>
              <w:rPr/>
            </w:pPr>
            <w:r>
              <w:rPr/>
              <w:t>$  9,688</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tcBorders>
            <w:tcMar>
              <w:bottom w:w="60" w:type="dxa"/>
            </w:tcMar>
            <w:vAlign w:val="bottom"/>
          </w:tcPr>
          <w:p>
            <w:pPr>
              <w:pStyle w:val="TableContents"/>
              <w:bidi w:val="0"/>
              <w:spacing w:before="0" w:after="283"/>
              <w:jc w:val="left"/>
              <w:rPr/>
            </w:pPr>
            <w:r>
              <w:rPr/>
              <w:t>$  46,742</w:t>
            </w:r>
          </w:p>
        </w:tc>
        <w:tc>
          <w:tcPr>
            <w:tcW w:w="307" w:type="dxa"/>
            <w:tcBorders>
              <w:bottom w:val="single" w:sz="2" w:space="0" w:color="000000"/>
            </w:tcBorders>
            <w:tcMar>
              <w:bottom w:w="28" w:type="dxa"/>
            </w:tcMar>
            <w:vAlign w:val="bottom"/>
          </w:tcPr>
          <w:p>
            <w:pPr>
              <w:pStyle w:val="TableContents"/>
              <w:bidi w:val="0"/>
              <w:spacing w:before="0" w:after="283"/>
              <w:jc w:val="left"/>
              <w:rPr/>
            </w:pPr>
            <w:r>
              <w:rPr/>
              <w:t>  </w:t>
            </w:r>
          </w:p>
        </w:tc>
        <w:tc>
          <w:tcPr>
            <w:tcW w:w="1230" w:type="dxa"/>
            <w:tcBorders>
              <w:bottom w:val="single" w:sz="2" w:space="0" w:color="000000"/>
              <w:right w:val="single" w:sz="2" w:space="0" w:color="000000"/>
            </w:tcBorders>
            <w:tcMar>
              <w:bottom w:w="60" w:type="dxa"/>
              <w:right w:w="28" w:type="dxa"/>
            </w:tcMar>
            <w:vAlign w:val="bottom"/>
          </w:tcPr>
          <w:p>
            <w:pPr>
              <w:pStyle w:val="TableContents"/>
              <w:bidi w:val="0"/>
              <w:spacing w:before="0" w:after="283"/>
              <w:jc w:val="left"/>
              <w:rPr/>
            </w:pPr>
            <w:r>
              <w:rPr/>
              <w:t>$ 56,430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8678"/>
        <w:gridCol w:w="815"/>
      </w:tblGrid>
      <w:tr>
        <w:trPr/>
        <w:tc>
          <w:tcPr>
            <w:tcW w:w="712" w:type="dxa"/>
            <w:tcBorders/>
          </w:tcPr>
          <w:p>
            <w:pPr>
              <w:pStyle w:val="TableContents"/>
              <w:bidi w:val="0"/>
              <w:spacing w:before="0" w:after="283"/>
              <w:jc w:val="left"/>
              <w:rPr/>
            </w:pPr>
            <w:r>
              <w:rPr/>
              <w:t>(1)</w:t>
            </w:r>
          </w:p>
        </w:tc>
        <w:tc>
          <w:tcPr>
            <w:tcW w:w="867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Reflects the aggregate grant date fair value of each stock option granted in 2023 determined in accordance with the provisions of Financial Accounting Standards Board Accounting Standards, Codification Topic 718, Compensation  Stock Compensation (FASB ASC Topic 718). The assumptions made in the calculation of these amounts are included in Note 8 of the Notes to the Consolidated Financial Statements included in our 2023 Annual Report. </w:t>
            </w:r>
          </w:p>
        </w:tc>
        <w:tc>
          <w:tcPr>
            <w:tcW w:w="81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DIRECTOR COMPENSATION </w:t>
            </w:r>
            <w:r>
              <w:rPr>
                <w:rFonts w:ascii="Times New Roman" w:hAnsi="Times New Roman"/>
                <w:b/>
                <w:i/>
                <w:sz w:val="24"/>
              </w:rPr>
              <w:t>(continued)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8677"/>
        <w:gridCol w:w="815"/>
      </w:tblGrid>
      <w:tr>
        <w:trPr/>
        <w:tc>
          <w:tcPr>
            <w:tcW w:w="713" w:type="dxa"/>
            <w:tcBorders/>
          </w:tcPr>
          <w:p>
            <w:pPr>
              <w:pStyle w:val="TableContents"/>
              <w:bidi w:val="0"/>
              <w:spacing w:before="0" w:after="283"/>
              <w:jc w:val="left"/>
              <w:rPr/>
            </w:pPr>
            <w:r>
              <w:rPr/>
              <w:t>(2)</w:t>
            </w:r>
          </w:p>
        </w:tc>
        <w:tc>
          <w:tcPr>
            <w:tcW w:w="867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 of December 31, 2023, Drs. Barrett and Sherman and Messrs. Hamilton, Leff, Thomas and Truitt held options to purchase 0, 16,600, 41,500, 41,500, 49,734 and 41,500 shares of our common stock, respectively. </w:t>
            </w:r>
          </w:p>
        </w:tc>
        <w:tc>
          <w:tcPr>
            <w:tcW w:w="81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8677"/>
        <w:gridCol w:w="815"/>
      </w:tblGrid>
      <w:tr>
        <w:trPr/>
        <w:tc>
          <w:tcPr>
            <w:tcW w:w="713" w:type="dxa"/>
            <w:tcBorders/>
          </w:tcPr>
          <w:p>
            <w:pPr>
              <w:pStyle w:val="TableContents"/>
              <w:bidi w:val="0"/>
              <w:spacing w:before="0" w:after="283"/>
              <w:jc w:val="left"/>
              <w:rPr/>
            </w:pPr>
            <w:r>
              <w:rPr/>
              <w:t>(3)</w:t>
            </w:r>
          </w:p>
        </w:tc>
        <w:tc>
          <w:tcPr>
            <w:tcW w:w="867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Dr. Barretts service on our Board ended on May 9, 2023. His annual cash compensation earned for services rendered as a member of our Board and the committees thereof during the fiscal year-ended December 31, 2023 was prorated accordingly. </w:t>
            </w:r>
          </w:p>
        </w:tc>
        <w:tc>
          <w:tcPr>
            <w:tcW w:w="81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3"/>
        <w:gridCol w:w="8677"/>
        <w:gridCol w:w="815"/>
      </w:tblGrid>
      <w:tr>
        <w:trPr/>
        <w:tc>
          <w:tcPr>
            <w:tcW w:w="713" w:type="dxa"/>
            <w:tcBorders/>
          </w:tcPr>
          <w:p>
            <w:pPr>
              <w:pStyle w:val="TableContents"/>
              <w:bidi w:val="0"/>
              <w:spacing w:before="0" w:after="283"/>
              <w:jc w:val="left"/>
              <w:rPr/>
            </w:pPr>
            <w:r>
              <w:rPr/>
              <w:t>(4)</w:t>
            </w:r>
          </w:p>
        </w:tc>
        <w:tc>
          <w:tcPr>
            <w:tcW w:w="867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Dr. Sherman joined our Board on October 3, 2023. His annual cash compensation earned for services rendered as a member of our Board and the committees thereof during the fiscal year-ended December 31, 2023 was prorated accordingly. </w:t>
            </w:r>
          </w:p>
        </w:tc>
        <w:tc>
          <w:tcPr>
            <w:tcW w:w="81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29" w:name="summary636298_27"/>
            <w:bookmarkEnd w:id="29"/>
            <w:r>
              <w:rPr>
                <w:rFonts w:ascii="Times New Roman" w:hAnsi="Times New Roman"/>
                <w:b/>
                <w:sz w:val="24"/>
              </w:rPr>
              <w:t>INDEPENDENT REGISTERED PUBLIC ACCOUNTING FIRM</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30" w:name="summary636298_28"/>
      <w:bookmarkEnd w:id="30"/>
      <w:r>
        <w:rPr>
          <w:rFonts w:ascii="Times New Roman" w:hAnsi="Times New Roman"/>
          <w:b/>
          <w:sz w:val="20"/>
        </w:rPr>
        <w:t xml:space="preserve">INDEPENDENT REGISTERED PUBLIC ACCOUNTING FIRM FEES </w:t>
      </w:r>
    </w:p>
    <w:p>
      <w:pPr>
        <w:pStyle w:val="TextBody"/>
        <w:bidi w:val="0"/>
        <w:spacing w:before="200" w:after="0"/>
        <w:jc w:val="both"/>
        <w:rPr>
          <w:rFonts w:ascii="Times New Roman" w:hAnsi="Times New Roman"/>
          <w:sz w:val="20"/>
        </w:rPr>
      </w:pPr>
      <w:r>
        <w:rPr>
          <w:rFonts w:ascii="Times New Roman" w:hAnsi="Times New Roman"/>
          <w:sz w:val="20"/>
        </w:rPr>
        <w:t xml:space="preserve">The Audit Committee works with our management in order to negotiate appropriate fees with PwC for the Company and is ultimately responsible for approving those fees. The following is a summary and description of fees for services provided by PwC in 2023 and 2022: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078"/>
        <w:gridCol w:w="853"/>
        <w:gridCol w:w="984"/>
        <w:gridCol w:w="853"/>
        <w:gridCol w:w="987"/>
      </w:tblGrid>
      <w:tr>
        <w:trPr/>
        <w:tc>
          <w:tcPr>
            <w:tcW w:w="4078" w:type="dxa"/>
            <w:tcBorders/>
            <w:vAlign w:val="center"/>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853" w:type="dxa"/>
            <w:tcBorders/>
            <w:vAlign w:val="bottom"/>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4078" w:type="dxa"/>
            <w:tcBorders>
              <w:top w:val="single" w:sz="2" w:space="0" w:color="000000"/>
              <w:left w:val="single" w:sz="2" w:space="0" w:color="000000"/>
            </w:tcBorders>
            <w:shd w:fill="4DC1E4" w:val="clear"/>
            <w:tcMar>
              <w:top w:w="28" w:type="dxa"/>
              <w:left w:w="160" w:type="dxa"/>
            </w:tcMar>
            <w:vAlign w:val="center"/>
          </w:tcPr>
          <w:p>
            <w:pPr>
              <w:pStyle w:val="TableContents"/>
              <w:bidi w:val="0"/>
              <w:spacing w:before="0" w:after="283"/>
              <w:jc w:val="left"/>
              <w:rPr/>
            </w:pPr>
            <w:r>
              <w:rPr/>
              <w:t> </w:t>
            </w:r>
          </w:p>
        </w:tc>
        <w:tc>
          <w:tcPr>
            <w:tcW w:w="1837" w:type="dxa"/>
            <w:gridSpan w:val="2"/>
            <w:tcBorders>
              <w:top w:val="single" w:sz="2" w:space="0" w:color="000000"/>
              <w:left w:val="single" w:sz="2" w:space="0" w:color="000000"/>
              <w:right w:val="single" w:sz="2" w:space="0" w:color="000000"/>
            </w:tcBorders>
            <w:shd w:fill="4DC1E4" w:val="clear"/>
            <w:tcMar>
              <w:top w:w="28" w:type="dxa"/>
              <w:left w:w="28" w:type="dxa"/>
              <w:right w:w="28" w:type="dxa"/>
            </w:tcMar>
            <w:vAlign w:val="center"/>
          </w:tcPr>
          <w:p>
            <w:pPr>
              <w:pStyle w:val="TableContents"/>
              <w:bidi w:val="0"/>
              <w:spacing w:before="0" w:after="283"/>
              <w:jc w:val="left"/>
              <w:rPr/>
            </w:pPr>
            <w:r>
              <w:rPr/>
              <w:t> </w:t>
            </w:r>
          </w:p>
        </w:tc>
        <w:tc>
          <w:tcPr>
            <w:tcW w:w="1840"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4078" w:type="dxa"/>
            <w:tcBorders>
              <w:left w:val="single" w:sz="2" w:space="0" w:color="000000"/>
            </w:tcBorders>
            <w:shd w:fill="4DC1E4" w:val="clear"/>
            <w:tcMar>
              <w:left w:w="160" w:type="dxa"/>
            </w:tcMar>
            <w:vAlign w:val="bottom"/>
          </w:tcPr>
          <w:p>
            <w:pPr>
              <w:pStyle w:val="TableContents"/>
              <w:bidi w:val="0"/>
              <w:jc w:val="left"/>
              <w:rPr/>
            </w:pPr>
            <w:r>
              <w:rPr>
                <w:color w:val="FFFFFF"/>
              </w:rPr>
              <w:t>  </w:t>
            </w:r>
            <w:r>
              <w:rPr>
                <w:b/>
                <w:color w:val="FFFFFF"/>
              </w:rPr>
              <w:t>S</w:t>
            </w:r>
            <w:r>
              <w:rPr>
                <w:b/>
                <w:color w:val="FFFFFF"/>
                <w:sz w:val="14"/>
              </w:rPr>
              <w:t>ERVICE</w:t>
            </w:r>
            <w:r>
              <w:rPr/>
              <w:t xml:space="preserve"> </w:t>
            </w:r>
          </w:p>
          <w:p>
            <w:pPr>
              <w:pStyle w:val="TableContents"/>
              <w:bidi w:val="0"/>
              <w:spacing w:before="0" w:after="20"/>
              <w:jc w:val="left"/>
              <w:rPr/>
            </w:pPr>
            <w:r>
              <w:rPr/>
              <w:t> </w:t>
            </w:r>
          </w:p>
        </w:tc>
        <w:tc>
          <w:tcPr>
            <w:tcW w:w="853" w:type="dxa"/>
            <w:tcBorders>
              <w:left w:val="single" w:sz="2" w:space="0" w:color="000000"/>
            </w:tcBorders>
            <w:shd w:fill="4DC1E4" w:val="clear"/>
            <w:tcMar>
              <w:left w:w="28" w:type="dxa"/>
            </w:tcMar>
            <w:vAlign w:val="bottom"/>
          </w:tcPr>
          <w:p>
            <w:pPr>
              <w:pStyle w:val="TableContents"/>
              <w:bidi w:val="0"/>
              <w:spacing w:before="0" w:after="283"/>
              <w:jc w:val="left"/>
              <w:rPr/>
            </w:pPr>
            <w:r>
              <w:rPr/>
              <w:t> </w:t>
            </w:r>
          </w:p>
        </w:tc>
        <w:tc>
          <w:tcPr>
            <w:tcW w:w="984" w:type="dxa"/>
            <w:tcBorders>
              <w:right w:val="single" w:sz="2" w:space="0" w:color="000000"/>
            </w:tcBorders>
            <w:shd w:fill="4DC1E4" w:val="clear"/>
            <w:tcMar>
              <w:right w:w="28" w:type="dxa"/>
            </w:tcMar>
            <w:vAlign w:val="bottom"/>
          </w:tcPr>
          <w:p>
            <w:pPr>
              <w:pStyle w:val="TableContents"/>
              <w:bidi w:val="0"/>
              <w:spacing w:before="0" w:after="0"/>
              <w:jc w:val="center"/>
              <w:rPr>
                <w:color w:val="FFFFFF"/>
              </w:rPr>
            </w:pPr>
            <w:r>
              <w:rPr>
                <w:color w:val="FFFFFF"/>
              </w:rPr>
              <w:t>    </w:t>
            </w:r>
            <w:r>
              <w:rPr>
                <w:rFonts w:ascii="Times New Roman" w:hAnsi="Times New Roman"/>
                <w:b/>
                <w:color w:val="FFFFFF"/>
                <w:sz w:val="20"/>
              </w:rPr>
              <w:t>2023    </w:t>
            </w:r>
          </w:p>
          <w:p>
            <w:pPr>
              <w:pStyle w:val="TableContents"/>
              <w:bidi w:val="0"/>
              <w:spacing w:before="0" w:after="20"/>
              <w:jc w:val="left"/>
              <w:rPr/>
            </w:pPr>
            <w:r>
              <w:rPr/>
              <w:t> </w:t>
            </w:r>
          </w:p>
        </w:tc>
        <w:tc>
          <w:tcPr>
            <w:tcW w:w="853" w:type="dxa"/>
            <w:tcBorders/>
            <w:shd w:fill="4DC1E4" w:val="clear"/>
            <w:vAlign w:val="bottom"/>
          </w:tcPr>
          <w:p>
            <w:pPr>
              <w:pStyle w:val="TableContents"/>
              <w:bidi w:val="0"/>
              <w:spacing w:before="0" w:after="283"/>
              <w:jc w:val="left"/>
              <w:rPr/>
            </w:pPr>
            <w:r>
              <w:rPr/>
              <w:t> </w:t>
            </w:r>
          </w:p>
        </w:tc>
        <w:tc>
          <w:tcPr>
            <w:tcW w:w="987" w:type="dxa"/>
            <w:tcBorders>
              <w:right w:val="single" w:sz="2" w:space="0" w:color="000000"/>
            </w:tcBorders>
            <w:shd w:fill="4DC1E4" w:val="clear"/>
            <w:tcMar>
              <w:right w:w="40" w:type="dxa"/>
            </w:tcMar>
            <w:vAlign w:val="bottom"/>
          </w:tcPr>
          <w:p>
            <w:pPr>
              <w:pStyle w:val="TableContents"/>
              <w:bidi w:val="0"/>
              <w:spacing w:before="0" w:after="0"/>
              <w:jc w:val="center"/>
              <w:rPr>
                <w:color w:val="FFFFFF"/>
              </w:rPr>
            </w:pPr>
            <w:r>
              <w:rPr>
                <w:color w:val="FFFFFF"/>
              </w:rPr>
              <w:t>    </w:t>
            </w:r>
            <w:r>
              <w:rPr>
                <w:rFonts w:ascii="Times New Roman" w:hAnsi="Times New Roman"/>
                <w:b/>
                <w:color w:val="FFFFFF"/>
                <w:sz w:val="20"/>
              </w:rPr>
              <w:t>2022    </w:t>
            </w:r>
          </w:p>
          <w:p>
            <w:pPr>
              <w:pStyle w:val="TableContents"/>
              <w:bidi w:val="0"/>
              <w:spacing w:before="0" w:after="20"/>
              <w:jc w:val="left"/>
              <w:rPr/>
            </w:pPr>
            <w:r>
              <w:rPr/>
              <w:t> </w:t>
            </w:r>
          </w:p>
        </w:tc>
      </w:tr>
      <w:tr>
        <w:trPr>
          <w:trHeight w:val="30" w:hRule="atLeast"/>
        </w:trPr>
        <w:tc>
          <w:tcPr>
            <w:tcW w:w="4078"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83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840"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4078" w:type="dxa"/>
            <w:tcBorders>
              <w:left w:val="single" w:sz="2" w:space="0" w:color="000000"/>
            </w:tcBorders>
            <w:tcMar>
              <w:left w:w="160" w:type="dxa"/>
            </w:tcMa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853" w:type="dxa"/>
            <w:tcBorders>
              <w:left w:val="single" w:sz="2" w:space="0" w:color="000000"/>
            </w:tcBorders>
            <w:tcMar>
              <w:left w:w="28" w:type="dxa"/>
            </w:tcMar>
            <w:vAlign w:val="bottom"/>
          </w:tcPr>
          <w:p>
            <w:pPr>
              <w:pStyle w:val="TableContents"/>
              <w:bidi w:val="0"/>
              <w:spacing w:before="0" w:after="283"/>
              <w:jc w:val="left"/>
              <w:rPr/>
            </w:pPr>
            <w:r>
              <w:rPr/>
              <w:t> </w:t>
            </w:r>
          </w:p>
        </w:tc>
        <w:tc>
          <w:tcPr>
            <w:tcW w:w="984" w:type="dxa"/>
            <w:tcBorders>
              <w:right w:val="single" w:sz="2" w:space="0" w:color="000000"/>
            </w:tcBorders>
            <w:tcMar>
              <w:right w:w="28" w:type="dxa"/>
            </w:tcMar>
            <w:vAlign w:val="bottom"/>
          </w:tcPr>
          <w:p>
            <w:pPr>
              <w:pStyle w:val="TableContents"/>
              <w:bidi w:val="0"/>
              <w:spacing w:before="0" w:after="283"/>
              <w:jc w:val="center"/>
              <w:rPr/>
            </w:pPr>
            <w:r>
              <w:rPr/>
              <w:t>$689,000</w:t>
            </w:r>
          </w:p>
        </w:tc>
        <w:tc>
          <w:tcPr>
            <w:tcW w:w="853" w:type="dxa"/>
            <w:tcBorders/>
            <w:vAlign w:val="bottom"/>
          </w:tcPr>
          <w:p>
            <w:pPr>
              <w:pStyle w:val="TableContents"/>
              <w:bidi w:val="0"/>
              <w:spacing w:before="0" w:after="283"/>
              <w:jc w:val="left"/>
              <w:rPr/>
            </w:pPr>
            <w:r>
              <w:rPr/>
              <w:t> </w:t>
            </w:r>
          </w:p>
        </w:tc>
        <w:tc>
          <w:tcPr>
            <w:tcW w:w="987" w:type="dxa"/>
            <w:tcBorders>
              <w:right w:val="single" w:sz="2" w:space="0" w:color="000000"/>
            </w:tcBorders>
            <w:tcMar>
              <w:right w:w="28" w:type="dxa"/>
            </w:tcMar>
            <w:vAlign w:val="bottom"/>
          </w:tcPr>
          <w:p>
            <w:pPr>
              <w:pStyle w:val="TableContents"/>
              <w:bidi w:val="0"/>
              <w:spacing w:before="0" w:after="283"/>
              <w:jc w:val="center"/>
              <w:rPr/>
            </w:pPr>
            <w:r>
              <w:rPr/>
              <w:t>$630,750</w:t>
            </w:r>
          </w:p>
        </w:tc>
      </w:tr>
      <w:tr>
        <w:trPr>
          <w:trHeight w:val="30" w:hRule="atLeast"/>
        </w:trPr>
        <w:tc>
          <w:tcPr>
            <w:tcW w:w="4078"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83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840"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4078" w:type="dxa"/>
            <w:tcBorders>
              <w:left w:val="single" w:sz="2" w:space="0" w:color="000000"/>
              <w:bottom w:val="single" w:sz="2" w:space="0" w:color="000000"/>
            </w:tcBorders>
            <w:tcMar>
              <w:left w:w="160" w:type="dxa"/>
              <w:bottom w:w="40" w:type="dxa"/>
            </w:tcMa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85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c>
          <w:tcPr>
            <w:tcW w:w="853" w:type="dxa"/>
            <w:tcBorders>
              <w:bottom w:val="single" w:sz="2" w:space="0" w:color="000000"/>
            </w:tcBorders>
            <w:tcMar>
              <w:bottom w:w="28" w:type="dxa"/>
            </w:tcMar>
            <w:vAlign w:val="bottom"/>
          </w:tcPr>
          <w:p>
            <w:pPr>
              <w:pStyle w:val="TableContents"/>
              <w:bidi w:val="0"/>
              <w:spacing w:before="0" w:after="283"/>
              <w:jc w:val="left"/>
              <w:rPr/>
            </w:pPr>
            <w:r>
              <w:rPr/>
              <w:t> </w:t>
            </w:r>
          </w:p>
        </w:tc>
        <w:tc>
          <w:tcPr>
            <w:tcW w:w="987"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rHeight w:val="30" w:hRule="atLeast"/>
        </w:trPr>
        <w:tc>
          <w:tcPr>
            <w:tcW w:w="4078" w:type="dxa"/>
            <w:tcBorders>
              <w:left w:val="single" w:sz="2" w:space="0" w:color="000000"/>
            </w:tcBorders>
            <w:tcMar>
              <w:left w:w="160" w:type="dxa"/>
            </w:tcMar>
            <w:vAlign w:val="center"/>
          </w:tcPr>
          <w:p>
            <w:pPr>
              <w:pStyle w:val="TableContents"/>
              <w:bidi w:val="0"/>
              <w:spacing w:before="0" w:after="283"/>
              <w:jc w:val="left"/>
              <w:rPr/>
            </w:pPr>
            <w:r>
              <w:rPr/>
              <w:t> </w:t>
            </w:r>
          </w:p>
        </w:tc>
        <w:tc>
          <w:tcPr>
            <w:tcW w:w="1837"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840"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078" w:type="dxa"/>
            <w:tcBorders>
              <w:left w:val="single" w:sz="2" w:space="0" w:color="000000"/>
            </w:tcBorders>
            <w:tcMar>
              <w:left w:w="160" w:type="dxa"/>
            </w:tcMa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853" w:type="dxa"/>
            <w:tcBorders>
              <w:left w:val="single" w:sz="2" w:space="0" w:color="000000"/>
            </w:tcBorders>
            <w:tcMar>
              <w:left w:w="28" w:type="dxa"/>
            </w:tcMar>
            <w:vAlign w:val="bottom"/>
          </w:tcPr>
          <w:p>
            <w:pPr>
              <w:pStyle w:val="TableContents"/>
              <w:bidi w:val="0"/>
              <w:spacing w:before="0" w:after="283"/>
              <w:jc w:val="left"/>
              <w:rPr/>
            </w:pPr>
            <w:r>
              <w:rPr/>
              <w:t> </w:t>
            </w:r>
          </w:p>
        </w:tc>
        <w:tc>
          <w:tcPr>
            <w:tcW w:w="984" w:type="dxa"/>
            <w:tcBorders>
              <w:right w:val="single" w:sz="2" w:space="0" w:color="000000"/>
            </w:tcBorders>
            <w:tcMar>
              <w:right w:w="28" w:type="dxa"/>
            </w:tcMar>
            <w:vAlign w:val="bottom"/>
          </w:tcPr>
          <w:p>
            <w:pPr>
              <w:pStyle w:val="TableContents"/>
              <w:bidi w:val="0"/>
              <w:spacing w:before="0" w:after="283"/>
              <w:jc w:val="center"/>
              <w:rPr/>
            </w:pPr>
            <w:r>
              <w:rPr/>
              <w:t></w:t>
            </w:r>
          </w:p>
        </w:tc>
        <w:tc>
          <w:tcPr>
            <w:tcW w:w="853" w:type="dxa"/>
            <w:tcBorders/>
            <w:vAlign w:val="bottom"/>
          </w:tcPr>
          <w:p>
            <w:pPr>
              <w:pStyle w:val="TableContents"/>
              <w:bidi w:val="0"/>
              <w:spacing w:before="0" w:after="283"/>
              <w:jc w:val="left"/>
              <w:rPr/>
            </w:pPr>
            <w:r>
              <w:rPr/>
              <w:t> </w:t>
            </w:r>
          </w:p>
        </w:tc>
        <w:tc>
          <w:tcPr>
            <w:tcW w:w="987" w:type="dxa"/>
            <w:tcBorders>
              <w:right w:val="single" w:sz="2" w:space="0" w:color="000000"/>
            </w:tcBorders>
            <w:tcMar>
              <w:right w:w="28" w:type="dxa"/>
            </w:tcMar>
            <w:vAlign w:val="bottom"/>
          </w:tcPr>
          <w:p>
            <w:pPr>
              <w:pStyle w:val="TableContents"/>
              <w:bidi w:val="0"/>
              <w:spacing w:before="0" w:after="283"/>
              <w:jc w:val="center"/>
              <w:rPr/>
            </w:pPr>
            <w:r>
              <w:rPr/>
              <w:t></w:t>
            </w:r>
          </w:p>
        </w:tc>
      </w:tr>
      <w:tr>
        <w:trPr>
          <w:trHeight w:val="30" w:hRule="atLeast"/>
        </w:trPr>
        <w:tc>
          <w:tcPr>
            <w:tcW w:w="4078"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837"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c>
          <w:tcPr>
            <w:tcW w:w="1840"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4078" w:type="dxa"/>
            <w:tcBorders>
              <w:left w:val="single" w:sz="2" w:space="0" w:color="000000"/>
              <w:bottom w:val="single" w:sz="2" w:space="0" w:color="000000"/>
            </w:tcBorders>
            <w:tcMar>
              <w:left w:w="160" w:type="dxa"/>
              <w:bottom w:w="40" w:type="dxa"/>
            </w:tcMa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85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4" w:type="dxa"/>
            <w:tcBorders>
              <w:bottom w:val="single" w:sz="2" w:space="0" w:color="000000"/>
              <w:right w:val="single" w:sz="2" w:space="0" w:color="000000"/>
            </w:tcBorders>
            <w:tcMar>
              <w:bottom w:w="40" w:type="dxa"/>
              <w:right w:w="28" w:type="dxa"/>
            </w:tcMar>
            <w:vAlign w:val="bottom"/>
          </w:tcPr>
          <w:p>
            <w:pPr>
              <w:pStyle w:val="TableContents"/>
              <w:bidi w:val="0"/>
              <w:jc w:val="center"/>
              <w:rPr/>
            </w:pPr>
            <w:r>
              <w:rPr>
                <w:u w:val="single"/>
              </w:rPr>
              <w:t>$ 1,000</w:t>
            </w:r>
            <w:r>
              <w:rPr/>
              <w:t xml:space="preserve"> </w:t>
            </w:r>
          </w:p>
          <w:p>
            <w:pPr>
              <w:pStyle w:val="TableContents"/>
              <w:bidi w:val="0"/>
              <w:spacing w:before="0" w:after="20"/>
              <w:jc w:val="left"/>
              <w:rPr/>
            </w:pPr>
            <w:r>
              <w:rPr/>
              <w:t> </w:t>
            </w:r>
          </w:p>
        </w:tc>
        <w:tc>
          <w:tcPr>
            <w:tcW w:w="853" w:type="dxa"/>
            <w:tcBorders>
              <w:bottom w:val="single" w:sz="2" w:space="0" w:color="000000"/>
            </w:tcBorders>
            <w:tcMar>
              <w:bottom w:w="28" w:type="dxa"/>
            </w:tcMar>
            <w:vAlign w:val="bottom"/>
          </w:tcPr>
          <w:p>
            <w:pPr>
              <w:pStyle w:val="TableContents"/>
              <w:bidi w:val="0"/>
              <w:spacing w:before="0" w:after="283"/>
              <w:jc w:val="left"/>
              <w:rPr/>
            </w:pPr>
            <w:r>
              <w:rPr/>
              <w:t> </w:t>
            </w:r>
          </w:p>
        </w:tc>
        <w:tc>
          <w:tcPr>
            <w:tcW w:w="987" w:type="dxa"/>
            <w:tcBorders>
              <w:bottom w:val="single" w:sz="2" w:space="0" w:color="000000"/>
              <w:right w:val="single" w:sz="2" w:space="0" w:color="000000"/>
            </w:tcBorders>
            <w:tcMar>
              <w:bottom w:w="40" w:type="dxa"/>
              <w:right w:w="28" w:type="dxa"/>
            </w:tcMar>
            <w:vAlign w:val="bottom"/>
          </w:tcPr>
          <w:p>
            <w:pPr>
              <w:pStyle w:val="TableContents"/>
              <w:bidi w:val="0"/>
              <w:jc w:val="center"/>
              <w:rPr/>
            </w:pPr>
            <w:r>
              <w:rPr>
                <w:u w:val="single"/>
              </w:rPr>
              <w:t>$1,000</w:t>
            </w:r>
            <w:r>
              <w:rPr/>
              <w:t xml:space="preserve"> </w:t>
            </w:r>
          </w:p>
          <w:p>
            <w:pPr>
              <w:pStyle w:val="TableContents"/>
              <w:bidi w:val="0"/>
              <w:spacing w:before="0" w:after="20"/>
              <w:jc w:val="left"/>
              <w:rPr/>
            </w:pPr>
            <w:r>
              <w:rPr/>
              <w:t> </w:t>
            </w:r>
          </w:p>
        </w:tc>
      </w:tr>
      <w:tr>
        <w:trPr>
          <w:trHeight w:val="30" w:hRule="atLeast"/>
        </w:trPr>
        <w:tc>
          <w:tcPr>
            <w:tcW w:w="4078" w:type="dxa"/>
            <w:tcBorders>
              <w:left w:val="single" w:sz="2" w:space="0" w:color="000000"/>
            </w:tcBorders>
            <w:tcMar>
              <w:left w:w="160" w:type="dxa"/>
            </w:tcMar>
            <w:vAlign w:val="center"/>
          </w:tcPr>
          <w:p>
            <w:pPr>
              <w:pStyle w:val="TableContents"/>
              <w:bidi w:val="0"/>
              <w:spacing w:before="0" w:after="283"/>
              <w:jc w:val="left"/>
              <w:rPr/>
            </w:pPr>
            <w:r>
              <w:rPr/>
              <w:t> </w:t>
            </w:r>
          </w:p>
        </w:tc>
        <w:tc>
          <w:tcPr>
            <w:tcW w:w="1837" w:type="dxa"/>
            <w:gridSpan w:val="2"/>
            <w:tcBorders>
              <w:left w:val="single" w:sz="2" w:space="0" w:color="000000"/>
              <w:right w:val="single" w:sz="2" w:space="0" w:color="000000"/>
            </w:tcBorders>
            <w:tcMar>
              <w:left w:w="28" w:type="dxa"/>
              <w:right w:w="28" w:type="dxa"/>
            </w:tcMar>
            <w:vAlign w:val="center"/>
          </w:tcPr>
          <w:p>
            <w:pPr>
              <w:pStyle w:val="TableContents"/>
              <w:bidi w:val="0"/>
              <w:spacing w:before="0" w:after="283"/>
              <w:jc w:val="left"/>
              <w:rPr/>
            </w:pPr>
            <w:r>
              <w:rPr/>
              <w:t> </w:t>
            </w:r>
          </w:p>
        </w:tc>
        <w:tc>
          <w:tcPr>
            <w:tcW w:w="1840"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078" w:type="dxa"/>
            <w:tcBorders>
              <w:left w:val="single" w:sz="2" w:space="0" w:color="000000"/>
              <w:bottom w:val="single" w:sz="2" w:space="0" w:color="000000"/>
            </w:tcBorders>
            <w:tcMar>
              <w:left w:w="160" w:type="dxa"/>
              <w:bottom w:w="40" w:type="dxa"/>
            </w:tcM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853"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$690,000</w:t>
            </w:r>
          </w:p>
        </w:tc>
        <w:tc>
          <w:tcPr>
            <w:tcW w:w="853" w:type="dxa"/>
            <w:tcBorders>
              <w:bottom w:val="single" w:sz="2" w:space="0" w:color="000000"/>
            </w:tcBorders>
            <w:tcMar>
              <w:bottom w:w="28" w:type="dxa"/>
            </w:tcMar>
            <w:vAlign w:val="bottom"/>
          </w:tcPr>
          <w:p>
            <w:pPr>
              <w:pStyle w:val="TableContents"/>
              <w:bidi w:val="0"/>
              <w:spacing w:before="0" w:after="283"/>
              <w:jc w:val="left"/>
              <w:rPr/>
            </w:pPr>
            <w:r>
              <w:rPr/>
              <w:t> </w:t>
            </w:r>
          </w:p>
        </w:tc>
        <w:tc>
          <w:tcPr>
            <w:tcW w:w="987"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$631,750</w:t>
            </w:r>
          </w:p>
        </w:tc>
      </w:tr>
    </w:tbl>
    <w:p>
      <w:pPr>
        <w:pStyle w:val="TextBody"/>
        <w:bidi w:val="0"/>
        <w:spacing w:before="200" w:after="0"/>
        <w:jc w:val="both"/>
        <w:rPr>
          <w:rFonts w:ascii="Times New Roman" w:hAnsi="Times New Roman"/>
          <w:sz w:val="20"/>
        </w:rPr>
      </w:pPr>
      <w:r>
        <w:rPr>
          <w:rFonts w:ascii="Times New Roman" w:hAnsi="Times New Roman"/>
          <w:sz w:val="20"/>
        </w:rPr>
        <w:t></w:t>
      </w:r>
      <w:r>
        <w:rPr>
          <w:rFonts w:ascii="Times New Roman" w:hAnsi="Times New Roman"/>
          <w:b/>
          <w:sz w:val="20"/>
        </w:rPr>
        <w:t>Audit fees</w:t>
      </w:r>
      <w:r>
        <w:rPr>
          <w:rFonts w:ascii="Times New Roman" w:hAnsi="Times New Roman"/>
          <w:sz w:val="20"/>
        </w:rPr>
        <w:t xml:space="preserve"> represents the aggregate fees for professional services rendered for the audit of our consolidated financial statements on Form 10-K, consents for the use of audit reports and reference to the auditor as an expert in our registration statements and professional services rendered for the review of our quarterly financial statements on Form 10-Q that are customary under the standards of the Public Company Accounting Oversight Board (United States). Also included are the fees related to our Registration Statements on Form S-3 and Form S-8. </w:t>
      </w:r>
    </w:p>
    <w:p>
      <w:pPr>
        <w:pStyle w:val="TextBody"/>
        <w:bidi w:val="0"/>
        <w:spacing w:before="200" w:after="0"/>
        <w:jc w:val="both"/>
        <w:rPr>
          <w:rFonts w:ascii="Times New Roman" w:hAnsi="Times New Roman"/>
          <w:sz w:val="20"/>
        </w:rPr>
      </w:pPr>
      <w:r>
        <w:rPr>
          <w:rFonts w:ascii="Times New Roman" w:hAnsi="Times New Roman"/>
          <w:sz w:val="20"/>
        </w:rPr>
        <w:t></w:t>
      </w:r>
      <w:r>
        <w:rPr>
          <w:rFonts w:ascii="Times New Roman" w:hAnsi="Times New Roman"/>
          <w:b/>
          <w:sz w:val="20"/>
        </w:rPr>
        <w:t>All other fees</w:t>
      </w:r>
      <w:r>
        <w:rPr>
          <w:rFonts w:ascii="Times New Roman" w:hAnsi="Times New Roman"/>
          <w:sz w:val="20"/>
        </w:rPr>
        <w:t xml:space="preserve"> represents payment for access to PwCs technical accounting and reporting software tools. These fees were approved by the Audit Committee. </w:t>
      </w:r>
    </w:p>
    <w:p>
      <w:pPr>
        <w:pStyle w:val="TextBody"/>
        <w:bidi w:val="0"/>
        <w:spacing w:before="200" w:after="0"/>
        <w:jc w:val="left"/>
        <w:rPr>
          <w:rFonts w:ascii="Times New Roman" w:hAnsi="Times New Roman"/>
          <w:b/>
          <w:sz w:val="20"/>
        </w:rPr>
      </w:pPr>
      <w:bookmarkStart w:id="31" w:name="summary636298_29"/>
      <w:bookmarkEnd w:id="31"/>
      <w:r>
        <w:rPr>
          <w:rFonts w:ascii="Times New Roman" w:hAnsi="Times New Roman"/>
          <w:b/>
          <w:sz w:val="20"/>
        </w:rPr>
        <w:t xml:space="preserve">AUDIT COMMITTEE PRE-APPROVAL POLICIES AND PROCEDURES </w:t>
      </w:r>
    </w:p>
    <w:p>
      <w:pPr>
        <w:pStyle w:val="TextBody"/>
        <w:bidi w:val="0"/>
        <w:spacing w:before="200" w:after="0"/>
        <w:jc w:val="both"/>
        <w:rPr>
          <w:rFonts w:ascii="Times New Roman" w:hAnsi="Times New Roman"/>
          <w:sz w:val="20"/>
        </w:rPr>
      </w:pPr>
      <w:r>
        <w:rPr>
          <w:rFonts w:ascii="Times New Roman" w:hAnsi="Times New Roman"/>
          <w:sz w:val="20"/>
        </w:rPr>
        <w:t xml:space="preserve">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 </w:t>
      </w:r>
    </w:p>
    <w:p>
      <w:pPr>
        <w:pStyle w:val="TextBody"/>
        <w:bidi w:val="0"/>
        <w:spacing w:before="200" w:after="0"/>
        <w:jc w:val="both"/>
        <w:rPr>
          <w:rFonts w:ascii="Times New Roman" w:hAnsi="Times New Roman"/>
          <w:sz w:val="20"/>
        </w:rPr>
      </w:pPr>
      <w:r>
        <w:rPr>
          <w:rFonts w:ascii="Times New Roman" w:hAnsi="Times New Roman"/>
          <w:sz w:val="20"/>
        </w:rPr>
        <w:t xml:space="preserve">All such audit and permissible non-audit services were pre-approved in accordance with this policy during the fiscal year ended December 31, 2023. These services may include audit services, audit-related services, tax services and other services. The Audit Committee considers whether the provision of each non-audit service is compatible with maintaining the independence of our independent registered public accounting firm. The responsibility to pre-approve audit and non-audit services may be delegated by the Audit Committee to one or more members of the Audit Committee; provided that any decisions made by such member or members must be presented to the full Audit Committee at its next scheduled meeting.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32" w:name="summary636298_30"/>
            <w:bookmarkEnd w:id="32"/>
            <w:r>
              <w:rPr>
                <w:rFonts w:ascii="Times New Roman" w:hAnsi="Times New Roman"/>
                <w:b/>
                <w:sz w:val="24"/>
              </w:rPr>
              <w:t>AUDIT COMMITTEE REPORT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primary purpose of the Audit Committee is to assist the Board in its general oversight of the Companys financial reporting process. </w:t>
      </w:r>
    </w:p>
    <w:p>
      <w:pPr>
        <w:pStyle w:val="TextBody"/>
        <w:bidi w:val="0"/>
        <w:spacing w:before="200" w:after="0"/>
        <w:jc w:val="both"/>
        <w:rPr>
          <w:rFonts w:ascii="Times New Roman" w:hAnsi="Times New Roman"/>
          <w:sz w:val="20"/>
        </w:rPr>
      </w:pPr>
      <w:r>
        <w:rPr>
          <w:rFonts w:ascii="Times New Roman" w:hAnsi="Times New Roman"/>
          <w:sz w:val="20"/>
        </w:rPr>
        <w:t xml:space="preserve">Management is primarily responsible for the preparation, presentation, and integrity of the Companys consolidated financial statements, accounting and financial reporting principles, internal controls and procedures designed to ensure compliance with accounting standards, applicable laws, and regulations. The Companys independent registered public accounting firm for the fiscal year 2023, PwC, is responsible for performing an independent audit of the consolidated financial statements and expressing an opinion on the conformity of those consolidated financial statements with generally accepted accounting principles. </w:t>
      </w:r>
    </w:p>
    <w:p>
      <w:pPr>
        <w:pStyle w:val="TextBody"/>
        <w:bidi w:val="0"/>
        <w:spacing w:before="200" w:after="0"/>
        <w:jc w:val="both"/>
        <w:rPr>
          <w:rFonts w:ascii="Times New Roman" w:hAnsi="Times New Roman"/>
          <w:sz w:val="20"/>
        </w:rPr>
      </w:pPr>
      <w:r>
        <w:rPr>
          <w:rFonts w:ascii="Times New Roman" w:hAnsi="Times New Roman"/>
          <w:sz w:val="20"/>
        </w:rPr>
        <w:t xml:space="preserve">The Audit Committee has reviewed and discussed the audited consolidated financial statements contained in the Companys 2023 Annual Report with management and PwC. The Audit Committee has discussed with PwC the matters required to be discussed by the applicable requirements of the Public Company Accounting Oversight Board (PCAOB) and the SEC. In addition, PwC has provided the Audit Committee with the written disclosures and the letter required by the applicable requirements of the PCAOB regarding PwCs communications with the Audit Committee concerning independence, and the Audit Committee has discussed with PwC its independence. </w:t>
      </w:r>
    </w:p>
    <w:p>
      <w:pPr>
        <w:pStyle w:val="TextBody"/>
        <w:bidi w:val="0"/>
        <w:spacing w:before="200" w:after="0"/>
        <w:jc w:val="both"/>
        <w:rPr>
          <w:rFonts w:ascii="Times New Roman" w:hAnsi="Times New Roman"/>
          <w:sz w:val="20"/>
        </w:rPr>
      </w:pPr>
      <w:r>
        <w:rPr>
          <w:rFonts w:ascii="Times New Roman" w:hAnsi="Times New Roman"/>
          <w:sz w:val="20"/>
        </w:rPr>
        <w:t xml:space="preserve">The Audit Committee also considered whether the independent registered public accounting firms provision of non-audit services to the Company is compatible with the auditors independence. The Audit Committee has concluded that the independent registered public accounting firm is independent from the Company and its management. Based on the considerations and discussions referred to above, the Audit Committee recommended to the Board that the audited consolidated financial statements be included in the Companys 2023 Annual Report. </w:t>
      </w:r>
    </w:p>
    <w:p>
      <w:pPr>
        <w:pStyle w:val="TextBody"/>
        <w:bidi w:val="0"/>
        <w:spacing w:before="200" w:after="0"/>
        <w:jc w:val="left"/>
        <w:rPr>
          <w:rFonts w:ascii="Times New Roman" w:hAnsi="Times New Roman"/>
          <w:sz w:val="20"/>
        </w:rPr>
      </w:pPr>
      <w:r>
        <w:rPr>
          <w:rFonts w:ascii="Times New Roman" w:hAnsi="Times New Roman"/>
          <w:i/>
          <w:sz w:val="20"/>
        </w:rPr>
        <w:t>Audit Committee</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Frank Thomas (Chair) </w:t>
      </w:r>
    </w:p>
    <w:p>
      <w:pPr>
        <w:pStyle w:val="TextBody"/>
        <w:bidi w:val="0"/>
        <w:spacing w:before="0" w:after="0"/>
        <w:jc w:val="both"/>
        <w:rPr>
          <w:rFonts w:ascii="Times New Roman" w:hAnsi="Times New Roman"/>
          <w:sz w:val="20"/>
        </w:rPr>
      </w:pPr>
      <w:r>
        <w:rPr>
          <w:rFonts w:ascii="Times New Roman" w:hAnsi="Times New Roman"/>
          <w:sz w:val="20"/>
        </w:rPr>
        <w:t xml:space="preserve">Thomas E. Hamilton </w:t>
      </w:r>
    </w:p>
    <w:p>
      <w:pPr>
        <w:pStyle w:val="TextBody"/>
        <w:bidi w:val="0"/>
        <w:spacing w:before="0" w:after="0"/>
        <w:jc w:val="both"/>
        <w:rPr>
          <w:rFonts w:ascii="Times New Roman" w:hAnsi="Times New Roman"/>
          <w:sz w:val="20"/>
        </w:rPr>
      </w:pPr>
      <w:r>
        <w:rPr>
          <w:rFonts w:ascii="Times New Roman" w:hAnsi="Times New Roman"/>
          <w:sz w:val="20"/>
        </w:rPr>
        <w:t xml:space="preserve">Joseph Truitt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33" w:name="summary636298_31"/>
            <w:bookmarkEnd w:id="33"/>
            <w:r>
              <w:rPr>
                <w:rFonts w:ascii="Times New Roman" w:hAnsi="Times New Roman"/>
                <w:b/>
                <w:sz w:val="24"/>
              </w:rPr>
              <w:t>EXECUTIVE OFFICERS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the name, age and position of each of our executive officers as of the date of this Proxy Statement: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4339"/>
        <w:gridCol w:w="98"/>
        <w:gridCol w:w="3550"/>
        <w:gridCol w:w="121"/>
        <w:gridCol w:w="60"/>
        <w:gridCol w:w="60"/>
        <w:gridCol w:w="98"/>
        <w:gridCol w:w="98"/>
        <w:gridCol w:w="1678"/>
      </w:tblGrid>
      <w:tr>
        <w:trPr/>
        <w:tc>
          <w:tcPr>
            <w:tcW w:w="4339"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355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rHeight w:val="30" w:hRule="atLeast"/>
        </w:trPr>
        <w:tc>
          <w:tcPr>
            <w:tcW w:w="4339" w:type="dxa"/>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c>
          <w:tcPr>
            <w:tcW w:w="3648" w:type="dxa"/>
            <w:gridSpan w:val="2"/>
            <w:tcBorders>
              <w:top w:val="single" w:sz="2" w:space="0" w:color="000000"/>
            </w:tcBorders>
            <w:shd w:fill="4DC1E4" w:val="clear"/>
            <w:tcMar>
              <w:top w:w="28" w:type="dxa"/>
            </w:tcMar>
            <w:vAlign w:val="center"/>
          </w:tcPr>
          <w:p>
            <w:pPr>
              <w:pStyle w:val="TableContents"/>
              <w:bidi w:val="0"/>
              <w:spacing w:before="0" w:after="283"/>
              <w:jc w:val="left"/>
              <w:rPr/>
            </w:pPr>
            <w:r>
              <w:rPr/>
              <w:t> </w:t>
            </w:r>
          </w:p>
        </w:tc>
        <w:tc>
          <w:tcPr>
            <w:tcW w:w="339"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776"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4339" w:type="dxa"/>
            <w:tcBorders>
              <w:left w:val="single" w:sz="2" w:space="0" w:color="000000"/>
              <w:bottom w:val="single" w:sz="2" w:space="0" w:color="000000"/>
              <w:right w:val="single" w:sz="2" w:space="0" w:color="000000"/>
            </w:tcBorders>
            <w:shd w:fill="4DC1E4" w:val="clear"/>
            <w:tcMar>
              <w:left w:w="160" w:type="dxa"/>
              <w:bottom w:w="40" w:type="dxa"/>
              <w:right w:w="28" w:type="dxa"/>
            </w:tcMar>
            <w:vAlign w:val="bottom"/>
          </w:tcPr>
          <w:p>
            <w:pPr>
              <w:pStyle w:val="TableContents"/>
              <w:bidi w:val="0"/>
              <w:spacing w:before="0" w:after="0"/>
              <w:jc w:val="left"/>
              <w:rPr>
                <w:color w:val="FFFFFF"/>
              </w:rPr>
            </w:pPr>
            <w:r>
              <w:rPr>
                <w:color w:val="FFFFFF"/>
              </w:rPr>
              <w:t> </w:t>
            </w:r>
            <w:r>
              <w:rPr>
                <w:rFonts w:ascii="Times New Roman" w:hAnsi="Times New Roman"/>
                <w:b/>
                <w:color w:val="FFFFFF"/>
                <w:sz w:val="20"/>
              </w:rPr>
              <w:t>N</w:t>
            </w:r>
            <w:r>
              <w:rPr>
                <w:rFonts w:ascii="Times New Roman" w:hAnsi="Times New Roman"/>
                <w:b/>
                <w:color w:val="FFFFFF"/>
                <w:sz w:val="14"/>
              </w:rPr>
              <w:t>AME</w:t>
            </w:r>
          </w:p>
          <w:p>
            <w:pPr>
              <w:pStyle w:val="TableContents"/>
              <w:bidi w:val="0"/>
              <w:spacing w:before="0" w:after="20"/>
              <w:jc w:val="left"/>
              <w:rPr/>
            </w:pPr>
            <w:r>
              <w:rPr/>
              <w:t> </w:t>
            </w:r>
          </w:p>
        </w:tc>
        <w:tc>
          <w:tcPr>
            <w:tcW w:w="98"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3550" w:type="dxa"/>
            <w:tcBorders>
              <w:bottom w:val="single" w:sz="2" w:space="0" w:color="000000"/>
            </w:tcBorders>
            <w:shd w:fill="4DC1E4" w:val="clear"/>
            <w:tcMar>
              <w:bottom w:w="40" w:type="dxa"/>
            </w:tcMar>
            <w:vAlign w:val="bottom"/>
          </w:tcPr>
          <w:p>
            <w:pPr>
              <w:pStyle w:val="TableContents"/>
              <w:bidi w:val="0"/>
              <w:jc w:val="left"/>
              <w:rPr/>
            </w:pPr>
            <w:r>
              <w:rPr>
                <w:color w:val="FFFFFF"/>
              </w:rPr>
              <w:t>  </w:t>
            </w:r>
            <w:r>
              <w:rPr>
                <w:b/>
                <w:color w:val="FFFFFF"/>
              </w:rPr>
              <w:t>P</w:t>
            </w:r>
            <w:r>
              <w:rPr>
                <w:b/>
                <w:color w:val="FFFFFF"/>
                <w:sz w:val="14"/>
              </w:rPr>
              <w:t>OSITION</w:t>
            </w:r>
            <w:r>
              <w:rPr/>
              <w:t xml:space="preserve"> </w:t>
            </w:r>
          </w:p>
          <w:p>
            <w:pPr>
              <w:pStyle w:val="TableContents"/>
              <w:bidi w:val="0"/>
              <w:spacing w:before="0" w:after="20"/>
              <w:jc w:val="left"/>
              <w:rPr/>
            </w:pPr>
            <w:r>
              <w:rPr/>
              <w:t> </w:t>
            </w:r>
          </w:p>
        </w:tc>
        <w:tc>
          <w:tcPr>
            <w:tcW w:w="12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0" w:type="dxa"/>
            <w:gridSpan w:val="2"/>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98"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c>
          <w:tcPr>
            <w:tcW w:w="98"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678" w:type="dxa"/>
            <w:tcBorders>
              <w:bottom w:val="single" w:sz="2" w:space="0" w:color="000000"/>
              <w:right w:val="single" w:sz="2" w:space="0" w:color="000000"/>
            </w:tcBorders>
            <w:shd w:fill="4DC1E4" w:val="clear"/>
            <w:tcMar>
              <w:bottom w:w="40" w:type="dxa"/>
              <w:right w:w="40" w:type="dxa"/>
            </w:tcMar>
            <w:vAlign w:val="bottom"/>
          </w:tcPr>
          <w:p>
            <w:pPr>
              <w:pStyle w:val="TableContents"/>
              <w:bidi w:val="0"/>
              <w:jc w:val="left"/>
              <w:rPr/>
            </w:pPr>
            <w:r>
              <w:rPr>
                <w:color w:val="FFFFFF"/>
              </w:rPr>
              <w:t>  </w:t>
            </w:r>
            <w:r>
              <w:rPr>
                <w:b/>
                <w:color w:val="FFFFFF"/>
              </w:rPr>
              <w:t>A</w:t>
            </w:r>
            <w:r>
              <w:rPr>
                <w:b/>
                <w:color w:val="FFFFFF"/>
                <w:sz w:val="14"/>
              </w:rPr>
              <w:t>GE</w:t>
            </w:r>
            <w:r>
              <w:rPr/>
              <w:t xml:space="preserve"> </w:t>
            </w:r>
          </w:p>
          <w:p>
            <w:pPr>
              <w:pStyle w:val="TableContents"/>
              <w:bidi w:val="0"/>
              <w:spacing w:before="0" w:after="20"/>
              <w:jc w:val="left"/>
              <w:rPr/>
            </w:pPr>
            <w:r>
              <w:rPr/>
              <w:t> </w:t>
            </w:r>
          </w:p>
        </w:tc>
      </w:tr>
      <w:tr>
        <w:trPr/>
        <w:tc>
          <w:tcPr>
            <w:tcW w:w="4339" w:type="dxa"/>
            <w:tcBorders>
              <w:left w:val="single" w:sz="2" w:space="0" w:color="000000"/>
              <w:right w:val="single" w:sz="2" w:space="0" w:color="000000"/>
            </w:tcBorders>
            <w:tcMar>
              <w:left w:w="160" w:type="dxa"/>
              <w:right w:w="28" w:type="dxa"/>
            </w:tcMar>
          </w:tcPr>
          <w:p>
            <w:pPr>
              <w:pStyle w:val="TableContents"/>
              <w:bidi w:val="0"/>
              <w:spacing w:before="0" w:after="0"/>
              <w:jc w:val="left"/>
              <w:rPr/>
            </w:pPr>
            <w:r>
              <w:rPr/>
              <w:t> </w:t>
            </w:r>
            <w:r>
              <w:rPr>
                <w:rFonts w:ascii="Times New Roman" w:hAnsi="Times New Roman"/>
                <w:sz w:val="20"/>
              </w:rPr>
              <w:t>Carole S. Ben-Maimon, M.D.</w:t>
            </w:r>
          </w:p>
        </w:tc>
        <w:tc>
          <w:tcPr>
            <w:tcW w:w="98" w:type="dxa"/>
            <w:tcBorders/>
            <w:vAlign w:val="bottom"/>
          </w:tcPr>
          <w:p>
            <w:pPr>
              <w:pStyle w:val="TableContents"/>
              <w:bidi w:val="0"/>
              <w:spacing w:before="0" w:after="283"/>
              <w:jc w:val="left"/>
              <w:rPr/>
            </w:pPr>
            <w:r>
              <w:rPr/>
              <w:t> </w:t>
            </w:r>
          </w:p>
        </w:tc>
        <w:tc>
          <w:tcPr>
            <w:tcW w:w="35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w:t>
            </w:r>
          </w:p>
        </w:tc>
        <w:tc>
          <w:tcPr>
            <w:tcW w:w="12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8" w:type="dxa"/>
            <w:tcBorders>
              <w:right w:val="single" w:sz="2" w:space="0" w:color="000000"/>
            </w:tcBorders>
            <w:tcMar>
              <w:right w:w="28" w:type="dxa"/>
            </w:tcMar>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678" w:type="dxa"/>
            <w:tcBorders>
              <w:right w:val="single" w:sz="2" w:space="0" w:color="000000"/>
            </w:tcBorders>
            <w:tcMar>
              <w:right w:w="4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65</w:t>
            </w:r>
          </w:p>
        </w:tc>
      </w:tr>
      <w:tr>
        <w:trPr>
          <w:trHeight w:val="30" w:hRule="atLeast"/>
        </w:trPr>
        <w:tc>
          <w:tcPr>
            <w:tcW w:w="4339"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3648" w:type="dxa"/>
            <w:gridSpan w:val="2"/>
            <w:tcBorders>
              <w:top w:val="single" w:sz="2" w:space="0" w:color="000000"/>
            </w:tcBorders>
            <w:tcMar>
              <w:top w:w="28" w:type="dxa"/>
            </w:tcMar>
            <w:vAlign w:val="center"/>
          </w:tcPr>
          <w:p>
            <w:pPr>
              <w:pStyle w:val="TableContents"/>
              <w:bidi w:val="0"/>
              <w:spacing w:before="0" w:after="283"/>
              <w:jc w:val="left"/>
              <w:rPr/>
            </w:pPr>
            <w:r>
              <w:rPr/>
              <w:t> </w:t>
            </w:r>
          </w:p>
        </w:tc>
        <w:tc>
          <w:tcPr>
            <w:tcW w:w="339" w:type="dxa"/>
            <w:gridSpan w:val="4"/>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c>
          <w:tcPr>
            <w:tcW w:w="1776" w:type="dxa"/>
            <w:gridSpan w:val="2"/>
            <w:tcBorders>
              <w:top w:val="single" w:sz="2" w:space="0" w:color="000000"/>
              <w:right w:val="single" w:sz="2" w:space="0" w:color="000000"/>
            </w:tcBorders>
            <w:tcMar>
              <w:top w:w="28" w:type="dxa"/>
              <w:right w:w="28" w:type="dxa"/>
            </w:tcMar>
            <w:vAlign w:val="center"/>
          </w:tcPr>
          <w:p>
            <w:pPr>
              <w:pStyle w:val="TableContents"/>
              <w:bidi w:val="0"/>
              <w:spacing w:before="0" w:after="283"/>
              <w:jc w:val="left"/>
              <w:rPr/>
            </w:pPr>
            <w:r>
              <w:rPr/>
              <w:t> </w:t>
            </w:r>
          </w:p>
        </w:tc>
      </w:tr>
      <w:tr>
        <w:trPr/>
        <w:tc>
          <w:tcPr>
            <w:tcW w:w="43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pPr>
            <w:r>
              <w:rPr/>
              <w:t> </w:t>
            </w:r>
            <w:r>
              <w:rPr>
                <w:rFonts w:ascii="Times New Roman" w:hAnsi="Times New Roman"/>
                <w:sz w:val="20"/>
              </w:rPr>
              <w:t>Michael Celano</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355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Chief Financial Officer and Secretary</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8"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1678" w:type="dxa"/>
            <w:tcBorders>
              <w:bottom w:val="single" w:sz="2" w:space="0" w:color="000000"/>
              <w:right w:val="single" w:sz="2" w:space="0" w:color="000000"/>
            </w:tcBorders>
            <w:tcMar>
              <w:bottom w:w="28" w:type="dxa"/>
              <w:right w:w="4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65</w:t>
            </w:r>
          </w:p>
        </w:tc>
      </w:tr>
      <w:tr>
        <w:trPr>
          <w:trHeight w:val="30" w:hRule="atLeast"/>
        </w:trPr>
        <w:tc>
          <w:tcPr>
            <w:tcW w:w="4339"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3648" w:type="dxa"/>
            <w:gridSpan w:val="2"/>
            <w:tcBorders/>
            <w:vAlign w:val="center"/>
          </w:tcPr>
          <w:p>
            <w:pPr>
              <w:pStyle w:val="TableContents"/>
              <w:bidi w:val="0"/>
              <w:spacing w:before="0" w:after="283"/>
              <w:jc w:val="left"/>
              <w:rPr>
                <w:sz w:val="4"/>
                <w:szCs w:val="4"/>
              </w:rPr>
            </w:pPr>
            <w:r>
              <w:rPr>
                <w:sz w:val="4"/>
                <w:szCs w:val="4"/>
              </w:rPr>
            </w:r>
          </w:p>
        </w:tc>
        <w:tc>
          <w:tcPr>
            <w:tcW w:w="339" w:type="dxa"/>
            <w:gridSpan w:val="4"/>
            <w:tcBorders>
              <w:right w:val="single" w:sz="2" w:space="0" w:color="000000"/>
            </w:tcBorders>
            <w:tcMar>
              <w:right w:w="28" w:type="dxa"/>
            </w:tcMar>
            <w:vAlign w:val="center"/>
          </w:tcPr>
          <w:p>
            <w:pPr>
              <w:pStyle w:val="TableContents"/>
              <w:bidi w:val="0"/>
              <w:spacing w:before="0" w:after="283"/>
              <w:jc w:val="left"/>
              <w:rPr/>
            </w:pPr>
            <w:r>
              <w:rPr/>
              <w:t> </w:t>
            </w:r>
          </w:p>
        </w:tc>
        <w:tc>
          <w:tcPr>
            <w:tcW w:w="1776"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3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pPr>
            <w:r>
              <w:rPr/>
              <w:t> </w:t>
            </w:r>
            <w:r>
              <w:rPr>
                <w:rFonts w:ascii="Times New Roman" w:hAnsi="Times New Roman"/>
                <w:sz w:val="20"/>
              </w:rPr>
              <w:t>Gopi Shankar, Ph.D., MBA, FAAPS</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355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Chief Development Officer</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8"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1678" w:type="dxa"/>
            <w:tcBorders>
              <w:bottom w:val="single" w:sz="2" w:space="0" w:color="000000"/>
              <w:right w:val="single" w:sz="2" w:space="0" w:color="000000"/>
            </w:tcBorders>
            <w:tcMar>
              <w:bottom w:w="28" w:type="dxa"/>
              <w:right w:w="4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53</w:t>
            </w:r>
          </w:p>
        </w:tc>
      </w:tr>
      <w:tr>
        <w:trPr>
          <w:trHeight w:val="30" w:hRule="atLeast"/>
        </w:trPr>
        <w:tc>
          <w:tcPr>
            <w:tcW w:w="4339" w:type="dxa"/>
            <w:tcBorders>
              <w:left w:val="single" w:sz="2" w:space="0" w:color="000000"/>
              <w:right w:val="single" w:sz="2" w:space="0" w:color="000000"/>
            </w:tcBorders>
            <w:tcMar>
              <w:left w:w="160" w:type="dxa"/>
              <w:right w:w="28" w:type="dxa"/>
            </w:tcMar>
            <w:vAlign w:val="center"/>
          </w:tcPr>
          <w:p>
            <w:pPr>
              <w:pStyle w:val="TableContents"/>
              <w:bidi w:val="0"/>
              <w:spacing w:before="0" w:after="283"/>
              <w:jc w:val="left"/>
              <w:rPr/>
            </w:pPr>
            <w:r>
              <w:rPr/>
              <w:t> </w:t>
            </w:r>
          </w:p>
        </w:tc>
        <w:tc>
          <w:tcPr>
            <w:tcW w:w="3648" w:type="dxa"/>
            <w:gridSpan w:val="2"/>
            <w:tcBorders/>
            <w:vAlign w:val="center"/>
          </w:tcPr>
          <w:p>
            <w:pPr>
              <w:pStyle w:val="TableContents"/>
              <w:bidi w:val="0"/>
              <w:spacing w:before="0" w:after="283"/>
              <w:jc w:val="left"/>
              <w:rPr>
                <w:sz w:val="4"/>
                <w:szCs w:val="4"/>
              </w:rPr>
            </w:pPr>
            <w:r>
              <w:rPr>
                <w:sz w:val="4"/>
                <w:szCs w:val="4"/>
              </w:rPr>
            </w:r>
          </w:p>
        </w:tc>
        <w:tc>
          <w:tcPr>
            <w:tcW w:w="339" w:type="dxa"/>
            <w:gridSpan w:val="4"/>
            <w:tcBorders>
              <w:right w:val="single" w:sz="2" w:space="0" w:color="000000"/>
            </w:tcBorders>
            <w:tcMar>
              <w:right w:w="28" w:type="dxa"/>
            </w:tcMar>
            <w:vAlign w:val="center"/>
          </w:tcPr>
          <w:p>
            <w:pPr>
              <w:pStyle w:val="TableContents"/>
              <w:bidi w:val="0"/>
              <w:spacing w:before="0" w:after="283"/>
              <w:jc w:val="left"/>
              <w:rPr/>
            </w:pPr>
            <w:r>
              <w:rPr/>
              <w:t> </w:t>
            </w:r>
          </w:p>
        </w:tc>
        <w:tc>
          <w:tcPr>
            <w:tcW w:w="1776" w:type="dxa"/>
            <w:gridSpan w:val="2"/>
            <w:tcBorders>
              <w:right w:val="single" w:sz="2" w:space="0" w:color="000000"/>
            </w:tcBorders>
            <w:tcMar>
              <w:right w:w="28" w:type="dxa"/>
            </w:tcMar>
            <w:vAlign w:val="center"/>
          </w:tcPr>
          <w:p>
            <w:pPr>
              <w:pStyle w:val="TableContents"/>
              <w:bidi w:val="0"/>
              <w:spacing w:before="0" w:after="283"/>
              <w:jc w:val="left"/>
              <w:rPr/>
            </w:pPr>
            <w:r>
              <w:rPr/>
              <w:t> </w:t>
            </w:r>
          </w:p>
        </w:tc>
      </w:tr>
      <w:tr>
        <w:trPr/>
        <w:tc>
          <w:tcPr>
            <w:tcW w:w="4339"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0"/>
              <w:jc w:val="left"/>
              <w:rPr/>
            </w:pPr>
            <w:r>
              <w:rPr/>
              <w:t> </w:t>
            </w:r>
            <w:r>
              <w:rPr>
                <w:rFonts w:ascii="Times New Roman" w:hAnsi="Times New Roman"/>
                <w:sz w:val="20"/>
              </w:rPr>
              <w:t>Russell G. Clayton, DO</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3550" w:type="dxa"/>
            <w:tcBorders>
              <w:bottom w:val="single" w:sz="2"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Chief Medical Officer</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8"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98" w:type="dxa"/>
            <w:tcBorders>
              <w:bottom w:val="single" w:sz="2" w:space="0" w:color="000000"/>
            </w:tcBorders>
            <w:tcMar>
              <w:bottom w:w="28" w:type="dxa"/>
            </w:tcMar>
            <w:vAlign w:val="bottom"/>
          </w:tcPr>
          <w:p>
            <w:pPr>
              <w:pStyle w:val="TableContents"/>
              <w:bidi w:val="0"/>
              <w:spacing w:before="0" w:after="283"/>
              <w:jc w:val="left"/>
              <w:rPr/>
            </w:pPr>
            <w:r>
              <w:rPr/>
              <w:t> </w:t>
            </w:r>
          </w:p>
        </w:tc>
        <w:tc>
          <w:tcPr>
            <w:tcW w:w="1678" w:type="dxa"/>
            <w:tcBorders>
              <w:bottom w:val="single" w:sz="2" w:space="0" w:color="000000"/>
              <w:right w:val="single" w:sz="2" w:space="0" w:color="000000"/>
            </w:tcBorders>
            <w:tcMar>
              <w:bottom w:w="28" w:type="dxa"/>
              <w:right w:w="4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63</w:t>
            </w:r>
          </w:p>
        </w:tc>
      </w:tr>
    </w:tbl>
    <w:p>
      <w:pPr>
        <w:pStyle w:val="TextBody"/>
        <w:bidi w:val="0"/>
        <w:spacing w:before="240" w:after="0"/>
        <w:jc w:val="both"/>
        <w:rPr>
          <w:rFonts w:ascii="Times New Roman" w:hAnsi="Times New Roman"/>
          <w:sz w:val="20"/>
        </w:rPr>
      </w:pPr>
      <w:r>
        <w:rPr>
          <w:rFonts w:ascii="Times New Roman" w:hAnsi="Times New Roman"/>
          <w:i/>
          <w:sz w:val="20"/>
        </w:rPr>
        <w:t>Carole S. Ben-Maimon, M.D.</w:t>
      </w:r>
      <w:r>
        <w:rPr>
          <w:rFonts w:ascii="Times New Roman" w:hAnsi="Times New Roman"/>
          <w:sz w:val="20"/>
        </w:rPr>
        <w:t xml:space="preserve">  For biographical information for Carole S. Ben-Maimon, M.D., see Board of Directors  Continuing Directors. </w:t>
      </w:r>
    </w:p>
    <w:p>
      <w:pPr>
        <w:pStyle w:val="TextBody"/>
        <w:bidi w:val="0"/>
        <w:spacing w:before="200" w:after="0"/>
        <w:jc w:val="both"/>
        <w:rPr>
          <w:rFonts w:ascii="Times New Roman" w:hAnsi="Times New Roman"/>
          <w:sz w:val="20"/>
        </w:rPr>
      </w:pPr>
      <w:r>
        <w:rPr>
          <w:rFonts w:ascii="Times New Roman" w:hAnsi="Times New Roman"/>
          <w:i/>
          <w:sz w:val="20"/>
        </w:rPr>
        <w:t>Michael Celano</w:t>
      </w:r>
      <w:r>
        <w:rPr>
          <w:rFonts w:ascii="Times New Roman" w:hAnsi="Times New Roman"/>
          <w:sz w:val="20"/>
        </w:rPr>
        <w:t xml:space="preserve"> has served as our Chief Financial Officer since May 2020 and as our Secretary since April 2021. Prior to joining the Company, Mr. Celano served as the Chief Financial Officer of The Columbus Organization, a provider of services for individuals with intellectual and developmental disabilities, since January 2020. From May 2019 to January 2020, Mr. Celano performed consulting work. From January 2018 to May 2019, Mr. Celano served as the Chief Operating Officer of formerly Recro Pharma, Inc., and from July 2016 to January 2018, Mr. Celano served as their Chief Financial Officer. Between 2015 and June 2016 Mr. Celano was self-employed providing consulting services to healthcare companies. From 2013 to 2015, Mr. Celano served as Chief Financial Officer of DrugScan, Inc., a clinical laboratory services company. Prior to that, Mr. Celano served as the Chief Financial Officer of Kensey Nash Corporation, a biomaterials company, from 2009 to 2012. From 2007 to 2008, Mr. Celano also served as Chief Financial Officer for BioRexis Pharmaceutical Corporation (BioRexis), a biopharmaceutical company. Before joining BioRexis, Mr. Celano served as a partner with KPMG LLP (KPMG) where he was co-leader of its National Life Science Practice. Mr. Celano also was co-leader of the Life Science Practice for Arthur Andersen LLP before he joined KPMG. Mr. Celano previously served on the boards of directors of OraSure Technologies, Inc. (OraSure), a publicly-traded company specializing in point-of-care diagnostic tests and specimen collection devices, from October 2006 to November 2022, and as the chairman of the board of OraSure from April 2018 to November 2022, and Performance Health, a consumer health care product manufacturing company, from 2015 to 2016. Mr. Celano holds a B.S. in Accounting from St. Josephs University. </w:t>
      </w:r>
    </w:p>
    <w:p>
      <w:pPr>
        <w:pStyle w:val="TextBody"/>
        <w:bidi w:val="0"/>
        <w:spacing w:before="200" w:after="0"/>
        <w:jc w:val="both"/>
        <w:rPr>
          <w:rFonts w:ascii="Times New Roman" w:hAnsi="Times New Roman"/>
          <w:sz w:val="20"/>
        </w:rPr>
      </w:pPr>
      <w:r>
        <w:rPr>
          <w:rFonts w:ascii="Times New Roman" w:hAnsi="Times New Roman"/>
          <w:i/>
          <w:sz w:val="20"/>
        </w:rPr>
        <w:t>Gopi Shankar, Ph.D., MBA, FAAPS</w:t>
      </w:r>
      <w:r>
        <w:rPr>
          <w:rFonts w:ascii="Times New Roman" w:hAnsi="Times New Roman"/>
          <w:sz w:val="20"/>
        </w:rPr>
        <w:t xml:space="preserve"> has served as our Chief Development Officer since February 2023. Before joining the Company, Dr. Shankar served as Vice President and Global Head, Biologics Development Sciences at Janssen Research &amp; Development, Inc. (Janssen R&amp;D), a pharmaceutical company of Johnson &amp; Johnson, Inc. (Johnson &amp; Johnson) from April 2018 to April 2022, where he led a global, 175-person R&amp;D department that contributed to more than 60 combined investigational new drug applications, biologics license applications, and marketing authorization application filings, after which he undertook a sabbatical from April 2022 to February 2023. Dr. Shankar had also worked as Senior Director and Head, Bioanalytical Sciences and Immunogenicity at Janssen R&amp;D from May 2011 to April 2018. Prior to joining Janssen R&amp;D, Dr. Shankar served as Director, Immune Response Assessment and Research at Centocor Research &amp; Development, Inc., a wholly-owned subsidiary of Johnson &amp; Johnson, from June 2007 to April 2011 where he contributed to multiple regulatory approvals and spearheaded the publication of five multi-author white papers that formed the basis of the FDA and European Medicines Agency guidance on clinical immunogenicity assessment and reporting. Dr. Shankar is a Fellow of the American Association of Pharmaceutical Scientists (AAPS) and currently serves as the AAPS President. Dr. Shankar holds a B.S. in Biology from Saint Marys University, an M.S. in Molecular and Cell Biology from Oklahoma State University, a Ph.D. in Immunology from the University of Kentucky and a MBA in Leadership &amp; General Management from Drexel Universitys LeBow College of Business. </w:t>
      </w:r>
    </w:p>
    <w:p>
      <w:pPr>
        <w:pStyle w:val="TextBody"/>
        <w:bidi w:val="0"/>
        <w:spacing w:before="200" w:after="0"/>
        <w:jc w:val="both"/>
        <w:rPr>
          <w:rFonts w:ascii="Times New Roman" w:hAnsi="Times New Roman"/>
          <w:sz w:val="20"/>
        </w:rPr>
      </w:pPr>
      <w:r>
        <w:rPr>
          <w:rFonts w:ascii="Times New Roman" w:hAnsi="Times New Roman"/>
          <w:i/>
          <w:sz w:val="20"/>
        </w:rPr>
        <w:t>Russell G. Clayton, DO</w:t>
      </w:r>
      <w:r>
        <w:rPr>
          <w:rFonts w:ascii="Times New Roman" w:hAnsi="Times New Roman"/>
          <w:sz w:val="20"/>
        </w:rPr>
        <w:t xml:space="preserve"> has served as our Chief Medical Officer since July 2023. Prior to joining the Company, Dr. Clayton served as Principal at Aeremedea, a company providing consulting services, including translational and clinical research, regulatory affairs, medical affairs, and management/operations to companies developing pharmaceuticals, biologics, or medical devices either directly or through clinical research organizations, from April 2017 to July 2023, where he worked with the Company and several other companies as an advisor, contractor, and interim Chief Medical Officer to support the development and commercialization of therapies targeting rare diseases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OFFICERS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across several therapeutic areas. Dr. Clayton has also served as a member and Chair of the Companys Scientific Advisory Board since June 2021. From June 2015 to April 2017, Dr. Clayton served as the Chief Medical Officer at Alcresta Therapeutics, Inc. (Alcresta), a medical device company. While at Alcresta, Dr. Clayton led clinical development and medical affairs, overseeing the design and execution of pivotal clinical studies as well as developing a medical affairs capability in support of a new product launch. Dr. Clayton previously served in a number of roles at Discovery Laboratories, Inc. (Discovery), a pharmaceutical and medical device company, including Senior Vice President, Research and Development from October 2011 to November 2014, Vice President, Research and Development from June 2009 to October 2011, Vice President, Medical and Academic Affairs from September 2007 to June 2009, Vice President, Global Research and Development from May 2006 to September 2007 and Vice President of Medical Affairs from December 2005 to April 2006. At Discovery, Dr. Clayton led the scientific and regulatory efforts leading to the marketing authorization of Discoverys first product. Prior to joining Discovery, Dr. Clayton served as the Director of International Regulatory Affairs and Regional Medical Director, Medical and Scientific Affairs at Merck &amp; Company. Dr. Clayton is a board-certified pediatric pulmonologist and previously served as Attending Pulmonologist at both the Childrens Hospital of Philadelphia, where he was Director of the Asthma Program for the Division of Pulmonary Medicine and Associate Director for the Cystic Fibrosis Center, and St. Christophers Hospital for Children in Philadelphia. Dr. Clayton also served as Assistant Professor of Pediatrics at Temple University School of Medicine and the University of Pennsylvania School of Medicine. Dr. Clayton has dedicated his career to improving neonatal and pediatric respiratory and critical care medicine, is published in scientific literature and has presented at universities, hospitals, and medical conferences and otherwise routinely engaged in scientific exchange on the topic of neonatal pulmonary medicine. Dr. Clayton holds a B.A. in Biology from La Salle University and a DO from the Philadelphia College of Osteopathic Medicine.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34" w:name="summary636298_32"/>
            <w:bookmarkEnd w:id="34"/>
            <w:r>
              <w:rPr>
                <w:rFonts w:ascii="Times New Roman" w:hAnsi="Times New Roman"/>
                <w:b/>
                <w:sz w:val="24"/>
              </w:rPr>
              <w:t>EXECUTIVE COMPENSATION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section discusses the material components of the executive compensation program for our named executive officers. In 2023, our named executive officers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Carole S. Ben-Maimon, M.D., our President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Michael Celano, our Chief Financial Officer and Secretary;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Gopi Shankar, Ph.D., MBA, FAAPS, our Chief Development Officer. </w:t>
            </w:r>
          </w:p>
        </w:tc>
      </w:tr>
    </w:tbl>
    <w:p>
      <w:pPr>
        <w:pStyle w:val="TextBody"/>
        <w:bidi w:val="0"/>
        <w:spacing w:before="200" w:after="0"/>
        <w:jc w:val="left"/>
        <w:rPr>
          <w:rFonts w:ascii="Times New Roman" w:hAnsi="Times New Roman"/>
          <w:b/>
          <w:sz w:val="20"/>
        </w:rPr>
      </w:pPr>
      <w:bookmarkStart w:id="35" w:name="summary636298_33"/>
      <w:bookmarkEnd w:id="35"/>
      <w:r>
        <w:rPr>
          <w:rFonts w:ascii="Times New Roman" w:hAnsi="Times New Roman"/>
          <w:b/>
          <w:sz w:val="20"/>
        </w:rPr>
        <w:t xml:space="preserve">2023 SUMMARY COMPENSATION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concerning the compensation of our named executive officers during the fiscal years ended December 31, 2023 and December 31, 2022: </w:t>
      </w:r>
    </w:p>
    <w:p>
      <w:pPr>
        <w:pStyle w:val="TextBody"/>
        <w:bidi w:val="0"/>
        <w:spacing w:before="0" w:after="0"/>
        <w:jc w:val="left"/>
        <w:rPr/>
      </w:pPr>
      <w:r>
        <w:rPr/>
        <w:t> </w:t>
      </w:r>
    </w:p>
    <w:tbl>
      <w:tblPr>
        <w:tblW w:w="11405" w:type="dxa"/>
        <w:jc w:val="center"/>
        <w:tblInd w:w="0" w:type="dxa"/>
        <w:tblLayout w:type="fixed"/>
        <w:tblCellMar>
          <w:top w:w="0" w:type="dxa"/>
          <w:left w:w="0" w:type="dxa"/>
          <w:bottom w:w="0" w:type="dxa"/>
          <w:right w:w="0" w:type="dxa"/>
        </w:tblCellMar>
      </w:tblPr>
      <w:tblGrid>
        <w:gridCol w:w="2675"/>
        <w:gridCol w:w="120"/>
        <w:gridCol w:w="60"/>
        <w:gridCol w:w="500"/>
        <w:gridCol w:w="60"/>
        <w:gridCol w:w="120"/>
        <w:gridCol w:w="60"/>
        <w:gridCol w:w="800"/>
        <w:gridCol w:w="60"/>
        <w:gridCol w:w="120"/>
        <w:gridCol w:w="60"/>
        <w:gridCol w:w="860"/>
        <w:gridCol w:w="350"/>
        <w:gridCol w:w="60"/>
        <w:gridCol w:w="60"/>
        <w:gridCol w:w="980"/>
        <w:gridCol w:w="60"/>
        <w:gridCol w:w="120"/>
        <w:gridCol w:w="60"/>
        <w:gridCol w:w="980"/>
        <w:gridCol w:w="60"/>
        <w:gridCol w:w="120"/>
        <w:gridCol w:w="82"/>
        <w:gridCol w:w="1018"/>
        <w:gridCol w:w="350"/>
        <w:gridCol w:w="60"/>
        <w:gridCol w:w="60"/>
        <w:gridCol w:w="1430"/>
        <w:gridCol w:w="60"/>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675" w:type="dxa"/>
            <w:tcBorders>
              <w:top w:val="single" w:sz="2" w:space="0" w:color="000000"/>
              <w:left w:val="single" w:sz="2" w:space="0" w:color="000000"/>
              <w:bottom w:val="single" w:sz="2" w:space="0" w:color="000000"/>
            </w:tcBorders>
            <w:shd w:fill="4DC1E4" w:val="clear"/>
            <w:tcMar>
              <w:top w:w="28" w:type="dxa"/>
              <w:left w:w="160" w:type="dxa"/>
              <w:bottom w:w="28" w:type="dxa"/>
            </w:tcMar>
            <w:vAlign w:val="center"/>
          </w:tcPr>
          <w:p>
            <w:pPr>
              <w:pStyle w:val="TableContents"/>
              <w:bidi w:val="0"/>
              <w:spacing w:before="0" w:after="0"/>
              <w:jc w:val="left"/>
              <w:rPr>
                <w:rFonts w:ascii="Times New Roman" w:hAnsi="Times New Roman"/>
                <w:b/>
                <w:color w:val="FFFFFF"/>
                <w:sz w:val="14"/>
              </w:rPr>
            </w:pPr>
            <w:r>
              <w:rPr>
                <w:rFonts w:ascii="Times New Roman" w:hAnsi="Times New Roman"/>
                <w:b/>
                <w:color w:val="FFFFFF"/>
                <w:sz w:val="14"/>
              </w:rPr>
              <w:t>NAME AND PRINCIPAL POSITION</w:t>
            </w:r>
          </w:p>
        </w:tc>
        <w:tc>
          <w:tcPr>
            <w:tcW w:w="12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560" w:type="dxa"/>
            <w:gridSpan w:val="2"/>
            <w:tcBorders>
              <w:top w:val="single" w:sz="2" w:space="0" w:color="000000"/>
              <w:bottom w:val="single" w:sz="2" w:space="0" w:color="000000"/>
            </w:tcBorders>
            <w:shd w:fill="4DC1E4" w:val="clear"/>
            <w:tcMar>
              <w:top w:w="28" w:type="dxa"/>
              <w:bottom w:w="28" w:type="dxa"/>
            </w:tcMar>
            <w:vAlign w:val="center"/>
          </w:tcPr>
          <w:p>
            <w:pPr>
              <w:pStyle w:val="TableContents"/>
              <w:bidi w:val="0"/>
              <w:spacing w:before="0" w:after="283"/>
              <w:jc w:val="center"/>
              <w:rPr>
                <w:b/>
                <w:color w:val="FFFFFF"/>
              </w:rPr>
            </w:pPr>
            <w:r>
              <w:rPr>
                <w:b/>
                <w:color w:val="FFFFFF"/>
              </w:rPr>
              <w:t>Y</w:t>
            </w:r>
            <w:r>
              <w:rPr>
                <w:b/>
                <w:color w:val="FFFFFF"/>
                <w:sz w:val="14"/>
              </w:rPr>
              <w:t>EAR</w:t>
            </w:r>
          </w:p>
        </w:tc>
        <w:tc>
          <w:tcPr>
            <w:tcW w:w="6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2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860" w:type="dxa"/>
            <w:gridSpan w:val="2"/>
            <w:tcBorders>
              <w:top w:val="single" w:sz="2" w:space="0" w:color="000000"/>
              <w:bottom w:val="single" w:sz="2" w:space="0" w:color="000000"/>
            </w:tcBorders>
            <w:shd w:fill="4DC1E4" w:val="clear"/>
            <w:tcMar>
              <w:top w:w="28" w:type="dxa"/>
              <w:bottom w:w="28" w:type="dxa"/>
            </w:tcMar>
            <w:vAlign w:val="center"/>
          </w:tcPr>
          <w:p>
            <w:pPr>
              <w:pStyle w:val="TableContents"/>
              <w:bidi w:val="0"/>
              <w:spacing w:before="0" w:after="0"/>
              <w:jc w:val="center"/>
              <w:rPr>
                <w:rFonts w:ascii="Times New Roman" w:hAnsi="Times New Roman"/>
                <w:b/>
                <w:color w:val="FFFFFF"/>
                <w:sz w:val="14"/>
              </w:rPr>
            </w:pPr>
            <w:r>
              <w:rPr>
                <w:rFonts w:ascii="Times New Roman" w:hAnsi="Times New Roman"/>
                <w:b/>
                <w:color w:val="FFFFFF"/>
                <w:sz w:val="14"/>
              </w:rPr>
              <w:t>SALARY</w:t>
              <w:br/>
              <w:t>($)</w:t>
            </w:r>
          </w:p>
          <w:p>
            <w:pPr>
              <w:pStyle w:val="TableContents"/>
              <w:bidi w:val="0"/>
              <w:spacing w:before="0" w:after="20"/>
              <w:jc w:val="left"/>
              <w:rPr/>
            </w:pPr>
            <w:r>
              <w:rPr/>
              <w:t> </w:t>
            </w:r>
          </w:p>
        </w:tc>
        <w:tc>
          <w:tcPr>
            <w:tcW w:w="6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2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920" w:type="dxa"/>
            <w:gridSpan w:val="2"/>
            <w:tcBorders>
              <w:top w:val="single" w:sz="2" w:space="0" w:color="000000"/>
              <w:bottom w:val="single" w:sz="2" w:space="0" w:color="000000"/>
            </w:tcBorders>
            <w:shd w:fill="4DC1E4" w:val="clear"/>
            <w:tcMar>
              <w:top w:w="28" w:type="dxa"/>
              <w:bottom w:w="28" w:type="dxa"/>
            </w:tcMar>
            <w:vAlign w:val="center"/>
          </w:tcPr>
          <w:p>
            <w:pPr>
              <w:pStyle w:val="TableContents"/>
              <w:bidi w:val="0"/>
              <w:spacing w:before="0" w:after="0"/>
              <w:jc w:val="center"/>
              <w:rPr>
                <w:rFonts w:ascii="Times New Roman" w:hAnsi="Times New Roman"/>
                <w:b/>
                <w:color w:val="FFFFFF"/>
                <w:sz w:val="14"/>
              </w:rPr>
            </w:pPr>
            <w:r>
              <w:rPr>
                <w:rFonts w:ascii="Times New Roman" w:hAnsi="Times New Roman"/>
                <w:b/>
                <w:color w:val="FFFFFF"/>
                <w:sz w:val="14"/>
              </w:rPr>
              <w:t>BONUS</w:t>
              <w:br/>
              <w:t>($)</w:t>
            </w:r>
          </w:p>
          <w:p>
            <w:pPr>
              <w:pStyle w:val="TableContents"/>
              <w:bidi w:val="0"/>
              <w:spacing w:before="0" w:after="20"/>
              <w:jc w:val="left"/>
              <w:rPr/>
            </w:pPr>
            <w:r>
              <w:rPr/>
              <w:t> </w:t>
            </w:r>
          </w:p>
        </w:tc>
        <w:tc>
          <w:tcPr>
            <w:tcW w:w="35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040" w:type="dxa"/>
            <w:gridSpan w:val="2"/>
            <w:tcBorders>
              <w:top w:val="single" w:sz="2" w:space="0" w:color="000000"/>
              <w:bottom w:val="single" w:sz="2" w:space="0" w:color="000000"/>
            </w:tcBorders>
            <w:shd w:fill="4DC1E4" w:val="clear"/>
            <w:tcMar>
              <w:top w:w="28" w:type="dxa"/>
              <w:bottom w:w="28" w:type="dxa"/>
            </w:tcMar>
            <w:vAlign w:val="center"/>
          </w:tcPr>
          <w:p>
            <w:pPr>
              <w:pStyle w:val="TableContents"/>
              <w:bidi w:val="0"/>
              <w:spacing w:before="0" w:after="0"/>
              <w:jc w:val="center"/>
              <w:rPr>
                <w:rFonts w:ascii="Times New Roman" w:hAnsi="Times New Roman"/>
                <w:b/>
                <w:color w:val="FFFFFF"/>
                <w:sz w:val="14"/>
              </w:rPr>
            </w:pPr>
            <w:r>
              <w:rPr>
                <w:rFonts w:ascii="Times New Roman" w:hAnsi="Times New Roman"/>
                <w:b/>
                <w:color w:val="FFFFFF"/>
                <w:sz w:val="14"/>
              </w:rPr>
              <w:t>STOCK</w:t>
              <w:br/>
              <w:t>AWARDS</w:t>
              <w:br/>
              <w:t>($)(1)</w:t>
            </w:r>
          </w:p>
          <w:p>
            <w:pPr>
              <w:pStyle w:val="TableContents"/>
              <w:bidi w:val="0"/>
              <w:spacing w:before="0" w:after="20"/>
              <w:jc w:val="left"/>
              <w:rPr/>
            </w:pPr>
            <w:r>
              <w:rPr/>
              <w:t> </w:t>
            </w:r>
          </w:p>
        </w:tc>
        <w:tc>
          <w:tcPr>
            <w:tcW w:w="6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2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040" w:type="dxa"/>
            <w:gridSpan w:val="2"/>
            <w:tcBorders>
              <w:top w:val="single" w:sz="2" w:space="0" w:color="000000"/>
              <w:bottom w:val="single" w:sz="2" w:space="0" w:color="000000"/>
            </w:tcBorders>
            <w:shd w:fill="4DC1E4" w:val="clear"/>
            <w:tcMar>
              <w:top w:w="28" w:type="dxa"/>
              <w:bottom w:w="28" w:type="dxa"/>
            </w:tcMar>
            <w:vAlign w:val="center"/>
          </w:tcPr>
          <w:p>
            <w:pPr>
              <w:pStyle w:val="TableContents"/>
              <w:bidi w:val="0"/>
              <w:spacing w:before="0" w:after="0"/>
              <w:jc w:val="center"/>
              <w:rPr>
                <w:rFonts w:ascii="Times New Roman" w:hAnsi="Times New Roman"/>
                <w:b/>
                <w:color w:val="FFFFFF"/>
                <w:sz w:val="14"/>
              </w:rPr>
            </w:pPr>
            <w:r>
              <w:rPr>
                <w:rFonts w:ascii="Times New Roman" w:hAnsi="Times New Roman"/>
                <w:b/>
                <w:color w:val="FFFFFF"/>
                <w:sz w:val="14"/>
              </w:rPr>
              <w:t>OPTION</w:t>
              <w:br/>
              <w:t>AWARDS</w:t>
              <w:br/>
              <w:t>($)(1)</w:t>
            </w:r>
          </w:p>
          <w:p>
            <w:pPr>
              <w:pStyle w:val="TableContents"/>
              <w:bidi w:val="0"/>
              <w:spacing w:before="0" w:after="20"/>
              <w:jc w:val="left"/>
              <w:rPr/>
            </w:pPr>
            <w:r>
              <w:rPr/>
              <w:t> </w:t>
            </w:r>
          </w:p>
        </w:tc>
        <w:tc>
          <w:tcPr>
            <w:tcW w:w="6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2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100" w:type="dxa"/>
            <w:gridSpan w:val="2"/>
            <w:tcBorders>
              <w:top w:val="single" w:sz="2" w:space="0" w:color="000000"/>
              <w:bottom w:val="single" w:sz="2" w:space="0" w:color="000000"/>
            </w:tcBorders>
            <w:shd w:fill="4DC1E4" w:val="clear"/>
            <w:tcMar>
              <w:top w:w="28" w:type="dxa"/>
              <w:bottom w:w="28" w:type="dxa"/>
            </w:tcMar>
            <w:vAlign w:val="center"/>
          </w:tcPr>
          <w:p>
            <w:pPr>
              <w:pStyle w:val="TableContents"/>
              <w:bidi w:val="0"/>
              <w:spacing w:before="0" w:after="0"/>
              <w:jc w:val="center"/>
              <w:rPr>
                <w:rFonts w:ascii="Times New Roman" w:hAnsi="Times New Roman"/>
                <w:b/>
                <w:color w:val="FFFFFF"/>
                <w:sz w:val="14"/>
              </w:rPr>
            </w:pPr>
            <w:r>
              <w:rPr>
                <w:rFonts w:ascii="Times New Roman" w:hAnsi="Times New Roman"/>
                <w:b/>
                <w:color w:val="FFFFFF"/>
                <w:sz w:val="14"/>
              </w:rPr>
              <w:t>ALL OTHER</w:t>
              <w:br/>
              <w:t>COMPENSATION</w:t>
              <w:br/>
              <w:t>($)</w:t>
            </w:r>
          </w:p>
          <w:p>
            <w:pPr>
              <w:pStyle w:val="TableContents"/>
              <w:bidi w:val="0"/>
              <w:spacing w:before="0" w:after="20"/>
              <w:jc w:val="left"/>
              <w:rPr/>
            </w:pPr>
            <w:r>
              <w:rPr/>
              <w:t> </w:t>
            </w:r>
          </w:p>
        </w:tc>
        <w:tc>
          <w:tcPr>
            <w:tcW w:w="35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60"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490" w:type="dxa"/>
            <w:gridSpan w:val="2"/>
            <w:tcBorders>
              <w:top w:val="single" w:sz="2" w:space="0" w:color="000000"/>
              <w:bottom w:val="single" w:sz="2" w:space="0" w:color="000000"/>
            </w:tcBorders>
            <w:shd w:fill="4DC1E4" w:val="clear"/>
            <w:tcMar>
              <w:top w:w="28" w:type="dxa"/>
              <w:bottom w:w="28" w:type="dxa"/>
            </w:tcMar>
            <w:vAlign w:val="center"/>
          </w:tcPr>
          <w:p>
            <w:pPr>
              <w:pStyle w:val="TableContents"/>
              <w:bidi w:val="0"/>
              <w:spacing w:before="0" w:after="283"/>
              <w:jc w:val="right"/>
              <w:rPr>
                <w:b/>
                <w:color w:val="FFFFFF"/>
              </w:rPr>
            </w:pPr>
            <w:r>
              <w:rPr>
                <w:b/>
                <w:color w:val="FFFFFF"/>
              </w:rPr>
              <w:t>T</w:t>
            </w:r>
            <w:r>
              <w:rPr>
                <w:b/>
                <w:color w:val="FFFFFF"/>
                <w:sz w:val="14"/>
              </w:rPr>
              <w:t>OTAL</w:t>
            </w:r>
            <w:r>
              <w:rPr>
                <w:b/>
                <w:color w:val="FFFFFF"/>
              </w:rPr>
              <w:t> ($)   </w:t>
            </w:r>
          </w:p>
        </w:tc>
        <w:tc>
          <w:tcPr>
            <w:tcW w:w="60" w:type="dxa"/>
            <w:tcBorders>
              <w:top w:val="single" w:sz="2" w:space="0" w:color="000000"/>
              <w:bottom w:val="single" w:sz="2" w:space="0" w:color="000000"/>
              <w:right w:val="single" w:sz="2" w:space="0" w:color="000000"/>
            </w:tcBorders>
            <w:shd w:fill="4DC1E4" w:val="clear"/>
            <w:tcMar>
              <w:top w:w="28" w:type="dxa"/>
              <w:bottom w:w="28" w:type="dxa"/>
              <w:right w:w="40" w:type="dxa"/>
            </w:tcMar>
            <w:vAlign w:val="bottom"/>
          </w:tcPr>
          <w:p>
            <w:pPr>
              <w:pStyle w:val="TableContents"/>
              <w:bidi w:val="0"/>
              <w:spacing w:before="0" w:after="283"/>
              <w:jc w:val="left"/>
              <w:rPr/>
            </w:pPr>
            <w:r>
              <w:rPr/>
              <w:t> </w:t>
            </w:r>
          </w:p>
        </w:tc>
      </w:tr>
      <w:tr>
        <w:trPr>
          <w:trHeight w:val="60" w:hRule="atLeast"/>
        </w:trPr>
        <w:tc>
          <w:tcPr>
            <w:tcW w:w="2675" w:type="dxa"/>
            <w:tcBorders>
              <w:left w:val="single" w:sz="2" w:space="0" w:color="000000"/>
            </w:tcBorders>
            <w:tcMar>
              <w:left w:w="160" w:type="dxa"/>
            </w:tcMar>
            <w:vAlign w:val="center"/>
          </w:tcPr>
          <w:p>
            <w:pPr>
              <w:pStyle w:val="TableContents"/>
              <w:bidi w:val="0"/>
              <w:spacing w:before="0" w:after="283"/>
              <w:jc w:val="left"/>
              <w:rPr/>
            </w:pPr>
            <w:r>
              <w:rPr/>
              <w:t> </w:t>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675" w:type="dxa"/>
            <w:tcBorders>
              <w:left w:val="single" w:sz="2" w:space="0" w:color="000000"/>
            </w:tcBorders>
            <w:tcMar>
              <w:left w:w="160" w:type="dxa"/>
            </w:tcMar>
          </w:tcPr>
          <w:p>
            <w:pPr>
              <w:pStyle w:val="TableContents"/>
              <w:bidi w:val="0"/>
              <w:spacing w:before="0" w:after="0"/>
              <w:jc w:val="left"/>
              <w:rPr>
                <w:rFonts w:ascii="Times New Roman" w:hAnsi="Times New Roman"/>
                <w:b/>
                <w:sz w:val="16"/>
              </w:rPr>
            </w:pPr>
            <w:r>
              <w:rPr>
                <w:rFonts w:ascii="Times New Roman" w:hAnsi="Times New Roman"/>
                <w:b/>
                <w:sz w:val="16"/>
              </w:rPr>
              <w:t xml:space="preserve">Carole S. Ben-Maimon, M.D.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500" w:type="dxa"/>
            <w:tcBorders>
              <w:bottom w:val="single" w:sz="2" w:space="0" w:color="000000"/>
            </w:tcBorders>
            <w:tcMar>
              <w:bottom w:w="40" w:type="dxa"/>
            </w:tcMar>
          </w:tcPr>
          <w:p>
            <w:pPr>
              <w:pStyle w:val="TableContents"/>
              <w:bidi w:val="0"/>
              <w:spacing w:before="0" w:after="283"/>
              <w:jc w:val="right"/>
              <w:rPr/>
            </w:pPr>
            <w:r>
              <w:rPr/>
              <w:t>2023</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00" w:type="dxa"/>
            <w:tcBorders>
              <w:bottom w:val="single" w:sz="2" w:space="0" w:color="000000"/>
            </w:tcBorders>
            <w:tcMar>
              <w:bottom w:w="40" w:type="dxa"/>
            </w:tcMar>
          </w:tcPr>
          <w:p>
            <w:pPr>
              <w:pStyle w:val="TableContents"/>
              <w:bidi w:val="0"/>
              <w:spacing w:before="0" w:after="283"/>
              <w:jc w:val="right"/>
              <w:rPr/>
            </w:pPr>
            <w:r>
              <w:rPr/>
              <w:t>560,000</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60" w:type="dxa"/>
            <w:tcBorders>
              <w:bottom w:val="single" w:sz="2" w:space="0" w:color="000000"/>
            </w:tcBorders>
            <w:tcMar>
              <w:bottom w:w="40" w:type="dxa"/>
            </w:tcMar>
          </w:tcPr>
          <w:p>
            <w:pPr>
              <w:pStyle w:val="TableContents"/>
              <w:bidi w:val="0"/>
              <w:spacing w:before="0" w:after="283"/>
              <w:jc w:val="right"/>
              <w:rPr/>
            </w:pPr>
            <w:r>
              <w:rPr/>
              <w:t>288,400 </w:t>
            </w:r>
          </w:p>
        </w:tc>
        <w:tc>
          <w:tcPr>
            <w:tcW w:w="350" w:type="dxa"/>
            <w:tcBorders>
              <w:bottom w:val="single" w:sz="2" w:space="0" w:color="000000"/>
            </w:tcBorders>
            <w:tcMar>
              <w:bottom w:w="40" w:type="dxa"/>
            </w:tcMar>
          </w:tcPr>
          <w:p>
            <w:pPr>
              <w:pStyle w:val="TableContents"/>
              <w:bidi w:val="0"/>
              <w:spacing w:before="0" w:after="283"/>
              <w:jc w:val="left"/>
              <w:rPr/>
            </w:pPr>
            <w:r>
              <w:rPr/>
              <w:t>(2)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1,012,700</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1,259,733</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 w:type="dxa"/>
            <w:tcBorders>
              <w:bottom w:val="single" w:sz="2" w:space="0" w:color="000000"/>
            </w:tcBorders>
            <w:tcMar>
              <w:bottom w:w="40" w:type="dxa"/>
            </w:tcMar>
          </w:tcPr>
          <w:p>
            <w:pPr>
              <w:pStyle w:val="TableContents"/>
              <w:bidi w:val="0"/>
              <w:spacing w:before="0" w:after="283"/>
              <w:jc w:val="left"/>
              <w:rPr/>
            </w:pPr>
            <w:r>
              <w:rPr/>
              <w:t> </w:t>
            </w:r>
          </w:p>
        </w:tc>
        <w:tc>
          <w:tcPr>
            <w:tcW w:w="1018" w:type="dxa"/>
            <w:tcBorders>
              <w:bottom w:val="single" w:sz="2" w:space="0" w:color="000000"/>
            </w:tcBorders>
            <w:tcMar>
              <w:bottom w:w="40" w:type="dxa"/>
            </w:tcMar>
          </w:tcPr>
          <w:p>
            <w:pPr>
              <w:pStyle w:val="TableContents"/>
              <w:bidi w:val="0"/>
              <w:spacing w:before="0" w:after="283"/>
              <w:jc w:val="right"/>
              <w:rPr/>
            </w:pPr>
            <w:r>
              <w:rPr/>
              <w:t>16,599 </w:t>
            </w:r>
          </w:p>
        </w:tc>
        <w:tc>
          <w:tcPr>
            <w:tcW w:w="350" w:type="dxa"/>
            <w:tcBorders>
              <w:bottom w:val="single" w:sz="2" w:space="0" w:color="000000"/>
            </w:tcBorders>
            <w:tcMar>
              <w:bottom w:w="40" w:type="dxa"/>
            </w:tcMar>
          </w:tcPr>
          <w:p>
            <w:pPr>
              <w:pStyle w:val="TableContents"/>
              <w:bidi w:val="0"/>
              <w:spacing w:before="0" w:after="283"/>
              <w:jc w:val="left"/>
              <w:rPr/>
            </w:pPr>
            <w:r>
              <w:rPr/>
              <w:t>(3)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430" w:type="dxa"/>
            <w:tcBorders>
              <w:bottom w:val="single" w:sz="2" w:space="0" w:color="000000"/>
            </w:tcBorders>
            <w:tcMar>
              <w:bottom w:w="40" w:type="dxa"/>
            </w:tcMar>
          </w:tcPr>
          <w:p>
            <w:pPr>
              <w:pStyle w:val="TableContents"/>
              <w:bidi w:val="0"/>
              <w:spacing w:before="0" w:after="283"/>
              <w:jc w:val="right"/>
              <w:rPr/>
            </w:pPr>
            <w:r>
              <w:rPr/>
              <w:t>3,137,431   </w:t>
            </w:r>
          </w:p>
        </w:tc>
        <w:tc>
          <w:tcPr>
            <w:tcW w:w="60"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 </w:t>
            </w:r>
          </w:p>
        </w:tc>
      </w:tr>
      <w:tr>
        <w:trPr/>
        <w:tc>
          <w:tcPr>
            <w:tcW w:w="2675" w:type="dxa"/>
            <w:tcBorders>
              <w:left w:val="single" w:sz="2" w:space="0" w:color="000000"/>
              <w:bottom w:val="single" w:sz="2" w:space="0" w:color="000000"/>
            </w:tcBorders>
            <w:tcMar>
              <w:left w:w="160" w:type="dxa"/>
              <w:bottom w:w="40" w:type="dxa"/>
            </w:tcMar>
          </w:tcPr>
          <w:p>
            <w:pPr>
              <w:pStyle w:val="TableContents"/>
              <w:bidi w:val="0"/>
              <w:spacing w:before="0" w:after="0"/>
              <w:jc w:val="left"/>
              <w:rPr>
                <w:rFonts w:ascii="Times New Roman" w:hAnsi="Times New Roman"/>
                <w:sz w:val="16"/>
              </w:rPr>
            </w:pPr>
            <w:r>
              <w:rPr>
                <w:rFonts w:ascii="Times New Roman" w:hAnsi="Times New Roman"/>
                <w:sz w:val="16"/>
              </w:rPr>
              <w:t>President and Chief Executive Officer</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500" w:type="dxa"/>
            <w:tcBorders>
              <w:bottom w:val="single" w:sz="2" w:space="0" w:color="000000"/>
            </w:tcBorders>
            <w:tcMar>
              <w:bottom w:w="40" w:type="dxa"/>
            </w:tcMar>
          </w:tcPr>
          <w:p>
            <w:pPr>
              <w:pStyle w:val="TableContents"/>
              <w:bidi w:val="0"/>
              <w:spacing w:before="0" w:after="283"/>
              <w:jc w:val="right"/>
              <w:rPr/>
            </w:pPr>
            <w:r>
              <w:rPr/>
              <w:t>2022</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00" w:type="dxa"/>
            <w:tcBorders>
              <w:bottom w:val="single" w:sz="2" w:space="0" w:color="000000"/>
            </w:tcBorders>
            <w:tcMar>
              <w:bottom w:w="40" w:type="dxa"/>
            </w:tcMar>
          </w:tcPr>
          <w:p>
            <w:pPr>
              <w:pStyle w:val="TableContents"/>
              <w:bidi w:val="0"/>
              <w:spacing w:before="0" w:after="283"/>
              <w:jc w:val="right"/>
              <w:rPr/>
            </w:pPr>
            <w:r>
              <w:rPr/>
              <w:t>527,850</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60" w:type="dxa"/>
            <w:tcBorders>
              <w:bottom w:val="single" w:sz="2" w:space="0" w:color="000000"/>
            </w:tcBorders>
            <w:tcMar>
              <w:bottom w:w="40" w:type="dxa"/>
            </w:tcMar>
          </w:tcPr>
          <w:p>
            <w:pPr>
              <w:pStyle w:val="TableContents"/>
              <w:bidi w:val="0"/>
              <w:spacing w:before="0" w:after="283"/>
              <w:jc w:val="right"/>
              <w:rPr/>
            </w:pPr>
            <w:r>
              <w:rPr/>
              <w:t>304,000 </w:t>
            </w:r>
          </w:p>
        </w:tc>
        <w:tc>
          <w:tcPr>
            <w:tcW w:w="350" w:type="dxa"/>
            <w:tcBorders>
              <w:bottom w:val="single" w:sz="2" w:space="0" w:color="000000"/>
            </w:tcBorders>
            <w:tcMar>
              <w:bottom w:w="40" w:type="dxa"/>
            </w:tcMar>
          </w:tcPr>
          <w:p>
            <w:pPr>
              <w:pStyle w:val="TableContents"/>
              <w:bidi w:val="0"/>
              <w:spacing w:before="0" w:after="283"/>
              <w:jc w:val="left"/>
              <w:rPr/>
            </w:pPr>
            <w:r>
              <w:rPr/>
              <w:t>(4)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1,283,915</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 w:type="dxa"/>
            <w:tcBorders>
              <w:bottom w:val="single" w:sz="2" w:space="0" w:color="000000"/>
            </w:tcBorders>
            <w:tcMar>
              <w:bottom w:w="40" w:type="dxa"/>
            </w:tcMar>
          </w:tcPr>
          <w:p>
            <w:pPr>
              <w:pStyle w:val="TableContents"/>
              <w:bidi w:val="0"/>
              <w:spacing w:before="0" w:after="283"/>
              <w:jc w:val="left"/>
              <w:rPr/>
            </w:pPr>
            <w:r>
              <w:rPr/>
              <w:t> </w:t>
            </w:r>
          </w:p>
        </w:tc>
        <w:tc>
          <w:tcPr>
            <w:tcW w:w="1018" w:type="dxa"/>
            <w:tcBorders>
              <w:bottom w:val="single" w:sz="2" w:space="0" w:color="000000"/>
            </w:tcBorders>
            <w:tcMar>
              <w:bottom w:w="40" w:type="dxa"/>
            </w:tcMar>
          </w:tcPr>
          <w:p>
            <w:pPr>
              <w:pStyle w:val="TableContents"/>
              <w:bidi w:val="0"/>
              <w:spacing w:before="0" w:after="283"/>
              <w:jc w:val="right"/>
              <w:rPr/>
            </w:pPr>
            <w:r>
              <w:rPr/>
              <w:t>13,784 </w:t>
            </w:r>
          </w:p>
        </w:tc>
        <w:tc>
          <w:tcPr>
            <w:tcW w:w="350" w:type="dxa"/>
            <w:tcBorders>
              <w:bottom w:val="single" w:sz="2" w:space="0" w:color="000000"/>
            </w:tcBorders>
            <w:tcMar>
              <w:bottom w:w="40" w:type="dxa"/>
            </w:tcMar>
          </w:tcPr>
          <w:p>
            <w:pPr>
              <w:pStyle w:val="TableContents"/>
              <w:bidi w:val="0"/>
              <w:spacing w:before="0" w:after="283"/>
              <w:jc w:val="left"/>
              <w:rPr/>
            </w:pPr>
            <w:r>
              <w:rPr/>
              <w:t>(5)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430" w:type="dxa"/>
            <w:tcBorders>
              <w:bottom w:val="single" w:sz="2" w:space="0" w:color="000000"/>
            </w:tcBorders>
            <w:tcMar>
              <w:bottom w:w="40" w:type="dxa"/>
            </w:tcMar>
          </w:tcPr>
          <w:p>
            <w:pPr>
              <w:pStyle w:val="TableContents"/>
              <w:bidi w:val="0"/>
              <w:spacing w:before="0" w:after="283"/>
              <w:jc w:val="right"/>
              <w:rPr/>
            </w:pPr>
            <w:r>
              <w:rPr/>
              <w:t>2,129,549   </w:t>
            </w:r>
          </w:p>
        </w:tc>
        <w:tc>
          <w:tcPr>
            <w:tcW w:w="60"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 </w:t>
            </w:r>
          </w:p>
        </w:tc>
      </w:tr>
      <w:tr>
        <w:trPr>
          <w:trHeight w:val="60" w:hRule="atLeast"/>
        </w:trPr>
        <w:tc>
          <w:tcPr>
            <w:tcW w:w="2675" w:type="dxa"/>
            <w:tcBorders>
              <w:left w:val="single" w:sz="2" w:space="0" w:color="000000"/>
            </w:tcBorders>
            <w:tcMar>
              <w:left w:w="160" w:type="dxa"/>
            </w:tcMar>
            <w:vAlign w:val="center"/>
          </w:tcPr>
          <w:p>
            <w:pPr>
              <w:pStyle w:val="TableContents"/>
              <w:bidi w:val="0"/>
              <w:spacing w:before="0" w:after="283"/>
              <w:jc w:val="left"/>
              <w:rPr/>
            </w:pPr>
            <w:r>
              <w:rPr/>
              <w:t> </w:t>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675" w:type="dxa"/>
            <w:tcBorders>
              <w:left w:val="single" w:sz="2" w:space="0" w:color="000000"/>
            </w:tcBorders>
            <w:tcMar>
              <w:left w:w="160" w:type="dxa"/>
            </w:tcMar>
          </w:tcPr>
          <w:p>
            <w:pPr>
              <w:pStyle w:val="TableContents"/>
              <w:bidi w:val="0"/>
              <w:spacing w:before="0" w:after="0"/>
              <w:jc w:val="left"/>
              <w:rPr>
                <w:rFonts w:ascii="Times New Roman" w:hAnsi="Times New Roman"/>
                <w:b/>
                <w:sz w:val="16"/>
              </w:rPr>
            </w:pPr>
            <w:r>
              <w:rPr>
                <w:rFonts w:ascii="Times New Roman" w:hAnsi="Times New Roman"/>
                <w:b/>
                <w:sz w:val="16"/>
              </w:rPr>
              <w:t>Michael Celano</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500" w:type="dxa"/>
            <w:tcBorders>
              <w:bottom w:val="single" w:sz="2" w:space="0" w:color="000000"/>
            </w:tcBorders>
            <w:tcMar>
              <w:bottom w:w="40" w:type="dxa"/>
            </w:tcMar>
            <w:vAlign w:val="bottom"/>
          </w:tcPr>
          <w:p>
            <w:pPr>
              <w:pStyle w:val="TableContents"/>
              <w:bidi w:val="0"/>
              <w:spacing w:before="0" w:after="283"/>
              <w:jc w:val="right"/>
              <w:rPr/>
            </w:pPr>
            <w:r>
              <w:rPr/>
              <w:t>2023</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800" w:type="dxa"/>
            <w:tcBorders>
              <w:bottom w:val="single" w:sz="2" w:space="0" w:color="000000"/>
            </w:tcBorders>
            <w:tcMar>
              <w:bottom w:w="40" w:type="dxa"/>
            </w:tcMar>
            <w:vAlign w:val="bottom"/>
          </w:tcPr>
          <w:p>
            <w:pPr>
              <w:pStyle w:val="TableContents"/>
              <w:bidi w:val="0"/>
              <w:spacing w:before="0" w:after="283"/>
              <w:jc w:val="right"/>
              <w:rPr/>
            </w:pPr>
            <w:r>
              <w:rPr/>
              <w:t>401,000</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860" w:type="dxa"/>
            <w:tcBorders>
              <w:bottom w:val="single" w:sz="2" w:space="0" w:color="000000"/>
            </w:tcBorders>
            <w:tcMar>
              <w:bottom w:w="40" w:type="dxa"/>
            </w:tcMar>
            <w:vAlign w:val="bottom"/>
          </w:tcPr>
          <w:p>
            <w:pPr>
              <w:pStyle w:val="TableContents"/>
              <w:bidi w:val="0"/>
              <w:spacing w:before="0" w:after="283"/>
              <w:jc w:val="right"/>
              <w:rPr/>
            </w:pPr>
            <w:r>
              <w:rPr/>
              <w:t>165,034 </w:t>
            </w:r>
          </w:p>
        </w:tc>
        <w:tc>
          <w:tcPr>
            <w:tcW w:w="350" w:type="dxa"/>
            <w:tcBorders>
              <w:bottom w:val="single" w:sz="2" w:space="0" w:color="000000"/>
            </w:tcBorders>
            <w:tcMar>
              <w:bottom w:w="40" w:type="dxa"/>
            </w:tcMar>
            <w:vAlign w:val="bottom"/>
          </w:tcPr>
          <w:p>
            <w:pPr>
              <w:pStyle w:val="TableContents"/>
              <w:bidi w:val="0"/>
              <w:spacing w:before="0" w:after="283"/>
              <w:jc w:val="left"/>
              <w:rPr/>
            </w:pPr>
            <w:r>
              <w:rPr/>
              <w:t>(2)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980" w:type="dxa"/>
            <w:tcBorders>
              <w:bottom w:val="single" w:sz="2" w:space="0" w:color="000000"/>
            </w:tcBorders>
            <w:tcMar>
              <w:bottom w:w="40" w:type="dxa"/>
            </w:tcMar>
            <w:vAlign w:val="bottom"/>
          </w:tcPr>
          <w:p>
            <w:pPr>
              <w:pStyle w:val="TableContents"/>
              <w:bidi w:val="0"/>
              <w:spacing w:before="0" w:after="283"/>
              <w:jc w:val="right"/>
              <w:rPr/>
            </w:pPr>
            <w:r>
              <w:rPr/>
              <w:t>375,440</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980" w:type="dxa"/>
            <w:tcBorders>
              <w:bottom w:val="single" w:sz="2" w:space="0" w:color="000000"/>
            </w:tcBorders>
            <w:tcMar>
              <w:bottom w:w="40" w:type="dxa"/>
            </w:tcMar>
            <w:vAlign w:val="bottom"/>
          </w:tcPr>
          <w:p>
            <w:pPr>
              <w:pStyle w:val="TableContents"/>
              <w:bidi w:val="0"/>
              <w:spacing w:before="0" w:after="283"/>
              <w:jc w:val="right"/>
              <w:rPr/>
            </w:pPr>
            <w:r>
              <w:rPr/>
              <w:t>465,132</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 w:type="dxa"/>
            <w:tcBorders>
              <w:bottom w:val="single" w:sz="2" w:space="0" w:color="000000"/>
            </w:tcBorders>
            <w:tcMar>
              <w:bottom w:w="40" w:type="dxa"/>
            </w:tcMar>
            <w:vAlign w:val="bottom"/>
          </w:tcPr>
          <w:p>
            <w:pPr>
              <w:pStyle w:val="TableContents"/>
              <w:bidi w:val="0"/>
              <w:spacing w:before="0" w:after="283"/>
              <w:jc w:val="left"/>
              <w:rPr/>
            </w:pPr>
            <w:r>
              <w:rPr/>
              <w:t> </w:t>
            </w:r>
          </w:p>
        </w:tc>
        <w:tc>
          <w:tcPr>
            <w:tcW w:w="1018" w:type="dxa"/>
            <w:tcBorders>
              <w:bottom w:val="single" w:sz="2" w:space="0" w:color="000000"/>
            </w:tcBorders>
            <w:tcMar>
              <w:bottom w:w="40" w:type="dxa"/>
            </w:tcMar>
            <w:vAlign w:val="bottom"/>
          </w:tcPr>
          <w:p>
            <w:pPr>
              <w:pStyle w:val="TableContents"/>
              <w:bidi w:val="0"/>
              <w:spacing w:before="0" w:after="283"/>
              <w:jc w:val="right"/>
              <w:rPr/>
            </w:pPr>
            <w:r>
              <w:rPr/>
              <w:t>11,545 </w:t>
            </w:r>
          </w:p>
        </w:tc>
        <w:tc>
          <w:tcPr>
            <w:tcW w:w="350" w:type="dxa"/>
            <w:tcBorders>
              <w:bottom w:val="single" w:sz="2" w:space="0" w:color="000000"/>
            </w:tcBorders>
            <w:tcMar>
              <w:bottom w:w="40" w:type="dxa"/>
            </w:tcMar>
            <w:vAlign w:val="bottom"/>
          </w:tcPr>
          <w:p>
            <w:pPr>
              <w:pStyle w:val="TableContents"/>
              <w:bidi w:val="0"/>
              <w:spacing w:before="0" w:after="283"/>
              <w:jc w:val="left"/>
              <w:rPr/>
            </w:pPr>
            <w:r>
              <w:rPr/>
              <w:t>(6)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430" w:type="dxa"/>
            <w:tcBorders>
              <w:bottom w:val="single" w:sz="2" w:space="0" w:color="000000"/>
            </w:tcBorders>
            <w:tcMar>
              <w:bottom w:w="40" w:type="dxa"/>
            </w:tcMar>
            <w:vAlign w:val="bottom"/>
          </w:tcPr>
          <w:p>
            <w:pPr>
              <w:pStyle w:val="TableContents"/>
              <w:bidi w:val="0"/>
              <w:spacing w:before="0" w:after="283"/>
              <w:jc w:val="right"/>
              <w:rPr/>
            </w:pPr>
            <w:r>
              <w:rPr/>
              <w:t>1,418,152   </w:t>
            </w:r>
          </w:p>
        </w:tc>
        <w:tc>
          <w:tcPr>
            <w:tcW w:w="60" w:type="dxa"/>
            <w:tcBorders>
              <w:bottom w:val="single" w:sz="2" w:space="0" w:color="000000"/>
              <w:right w:val="single" w:sz="2" w:space="0" w:color="000000"/>
            </w:tcBorders>
            <w:tcMar>
              <w:bottom w:w="40" w:type="dxa"/>
              <w:right w:w="40" w:type="dxa"/>
            </w:tcMar>
            <w:vAlign w:val="bottom"/>
          </w:tcPr>
          <w:p>
            <w:pPr>
              <w:pStyle w:val="TableContents"/>
              <w:bidi w:val="0"/>
              <w:spacing w:before="0" w:after="283"/>
              <w:jc w:val="left"/>
              <w:rPr/>
            </w:pPr>
            <w:r>
              <w:rPr/>
              <w:t> </w:t>
            </w:r>
          </w:p>
        </w:tc>
      </w:tr>
      <w:tr>
        <w:trPr/>
        <w:tc>
          <w:tcPr>
            <w:tcW w:w="2675" w:type="dxa"/>
            <w:tcBorders>
              <w:left w:val="single" w:sz="2" w:space="0" w:color="000000"/>
              <w:bottom w:val="single" w:sz="2" w:space="0" w:color="000000"/>
            </w:tcBorders>
            <w:tcMar>
              <w:left w:w="160" w:type="dxa"/>
              <w:bottom w:w="40" w:type="dxa"/>
            </w:tcMar>
          </w:tcPr>
          <w:p>
            <w:pPr>
              <w:pStyle w:val="TableContents"/>
              <w:bidi w:val="0"/>
              <w:spacing w:before="0" w:after="0"/>
              <w:jc w:val="left"/>
              <w:rPr>
                <w:rFonts w:ascii="Times New Roman" w:hAnsi="Times New Roman"/>
                <w:sz w:val="16"/>
              </w:rPr>
            </w:pPr>
            <w:r>
              <w:rPr>
                <w:rFonts w:ascii="Times New Roman" w:hAnsi="Times New Roman"/>
                <w:sz w:val="16"/>
              </w:rPr>
              <w:t>Chief Financial Officer and Secretary</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500" w:type="dxa"/>
            <w:tcBorders>
              <w:bottom w:val="single" w:sz="2" w:space="0" w:color="000000"/>
            </w:tcBorders>
            <w:tcMar>
              <w:bottom w:w="40" w:type="dxa"/>
            </w:tcMar>
          </w:tcPr>
          <w:p>
            <w:pPr>
              <w:pStyle w:val="TableContents"/>
              <w:bidi w:val="0"/>
              <w:spacing w:before="0" w:after="283"/>
              <w:jc w:val="right"/>
              <w:rPr/>
            </w:pPr>
            <w:r>
              <w:rPr/>
              <w:t>2022</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00" w:type="dxa"/>
            <w:tcBorders>
              <w:bottom w:val="single" w:sz="2" w:space="0" w:color="000000"/>
            </w:tcBorders>
            <w:tcMar>
              <w:bottom w:w="40" w:type="dxa"/>
            </w:tcMar>
          </w:tcPr>
          <w:p>
            <w:pPr>
              <w:pStyle w:val="TableContents"/>
              <w:bidi w:val="0"/>
              <w:spacing w:before="0" w:after="283"/>
              <w:jc w:val="right"/>
              <w:rPr/>
            </w:pPr>
            <w:r>
              <w:rPr/>
              <w:t>376,904</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60" w:type="dxa"/>
            <w:tcBorders>
              <w:bottom w:val="single" w:sz="2" w:space="0" w:color="000000"/>
            </w:tcBorders>
            <w:tcMar>
              <w:bottom w:w="40" w:type="dxa"/>
            </w:tcMar>
          </w:tcPr>
          <w:p>
            <w:pPr>
              <w:pStyle w:val="TableContents"/>
              <w:bidi w:val="0"/>
              <w:spacing w:before="0" w:after="283"/>
              <w:jc w:val="right"/>
              <w:rPr/>
            </w:pPr>
            <w:r>
              <w:rPr/>
              <w:t>173,832 </w:t>
            </w:r>
          </w:p>
        </w:tc>
        <w:tc>
          <w:tcPr>
            <w:tcW w:w="350" w:type="dxa"/>
            <w:tcBorders>
              <w:bottom w:val="single" w:sz="2" w:space="0" w:color="000000"/>
            </w:tcBorders>
            <w:tcMar>
              <w:bottom w:w="40" w:type="dxa"/>
            </w:tcMar>
          </w:tcPr>
          <w:p>
            <w:pPr>
              <w:pStyle w:val="TableContents"/>
              <w:bidi w:val="0"/>
              <w:spacing w:before="0" w:after="283"/>
              <w:jc w:val="left"/>
              <w:rPr/>
            </w:pPr>
            <w:r>
              <w:rPr/>
              <w:t>(4)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569,702</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 w:type="dxa"/>
            <w:tcBorders>
              <w:bottom w:val="single" w:sz="2" w:space="0" w:color="000000"/>
            </w:tcBorders>
            <w:tcMar>
              <w:bottom w:w="40" w:type="dxa"/>
            </w:tcMar>
          </w:tcPr>
          <w:p>
            <w:pPr>
              <w:pStyle w:val="TableContents"/>
              <w:bidi w:val="0"/>
              <w:spacing w:before="0" w:after="283"/>
              <w:jc w:val="left"/>
              <w:rPr/>
            </w:pPr>
            <w:r>
              <w:rPr/>
              <w:t> </w:t>
            </w:r>
          </w:p>
        </w:tc>
        <w:tc>
          <w:tcPr>
            <w:tcW w:w="1018" w:type="dxa"/>
            <w:tcBorders>
              <w:bottom w:val="single" w:sz="2" w:space="0" w:color="000000"/>
            </w:tcBorders>
            <w:tcMar>
              <w:bottom w:w="40" w:type="dxa"/>
            </w:tcMar>
          </w:tcPr>
          <w:p>
            <w:pPr>
              <w:pStyle w:val="TableContents"/>
              <w:bidi w:val="0"/>
              <w:spacing w:before="0" w:after="283"/>
              <w:jc w:val="right"/>
              <w:rPr/>
            </w:pPr>
            <w:r>
              <w:rPr/>
              <w:t>11,885 </w:t>
            </w:r>
          </w:p>
        </w:tc>
        <w:tc>
          <w:tcPr>
            <w:tcW w:w="350" w:type="dxa"/>
            <w:tcBorders>
              <w:bottom w:val="single" w:sz="2" w:space="0" w:color="000000"/>
            </w:tcBorders>
            <w:tcMar>
              <w:bottom w:w="40" w:type="dxa"/>
            </w:tcMar>
          </w:tcPr>
          <w:p>
            <w:pPr>
              <w:pStyle w:val="TableContents"/>
              <w:bidi w:val="0"/>
              <w:spacing w:before="0" w:after="283"/>
              <w:jc w:val="left"/>
              <w:rPr/>
            </w:pPr>
            <w:r>
              <w:rPr/>
              <w:t>(7)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430" w:type="dxa"/>
            <w:tcBorders>
              <w:bottom w:val="single" w:sz="2" w:space="0" w:color="000000"/>
            </w:tcBorders>
            <w:tcMar>
              <w:bottom w:w="40" w:type="dxa"/>
            </w:tcMar>
          </w:tcPr>
          <w:p>
            <w:pPr>
              <w:pStyle w:val="TableContents"/>
              <w:bidi w:val="0"/>
              <w:spacing w:before="0" w:after="283"/>
              <w:jc w:val="right"/>
              <w:rPr/>
            </w:pPr>
            <w:r>
              <w:rPr/>
              <w:t>1,132,323   </w:t>
            </w:r>
          </w:p>
        </w:tc>
        <w:tc>
          <w:tcPr>
            <w:tcW w:w="60"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 </w:t>
            </w:r>
          </w:p>
        </w:tc>
      </w:tr>
      <w:tr>
        <w:trPr>
          <w:trHeight w:val="60" w:hRule="atLeast"/>
        </w:trPr>
        <w:tc>
          <w:tcPr>
            <w:tcW w:w="2675" w:type="dxa"/>
            <w:tcBorders>
              <w:left w:val="single" w:sz="2" w:space="0" w:color="000000"/>
            </w:tcBorders>
            <w:tcMar>
              <w:left w:w="160" w:type="dxa"/>
            </w:tcMar>
            <w:vAlign w:val="center"/>
          </w:tcPr>
          <w:p>
            <w:pPr>
              <w:pStyle w:val="TableContents"/>
              <w:bidi w:val="0"/>
              <w:spacing w:before="0" w:after="283"/>
              <w:jc w:val="left"/>
              <w:rPr/>
            </w:pPr>
            <w:r>
              <w:rPr/>
              <w:t> </w:t>
            </w:r>
          </w:p>
        </w:tc>
        <w:tc>
          <w:tcPr>
            <w:tcW w:w="74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57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right w:val="single" w:sz="2" w:space="0" w:color="000000"/>
            </w:tcBorders>
            <w:tcMar>
              <w:right w:w="28" w:type="dxa"/>
            </w:tcMar>
            <w:vAlign w:val="center"/>
          </w:tcPr>
          <w:p>
            <w:pPr>
              <w:pStyle w:val="TableContents"/>
              <w:bidi w:val="0"/>
              <w:spacing w:before="0" w:after="283"/>
              <w:jc w:val="left"/>
              <w:rPr/>
            </w:pPr>
            <w:r>
              <w:rPr/>
              <w:t> </w:t>
            </w:r>
          </w:p>
        </w:tc>
      </w:tr>
      <w:tr>
        <w:trPr/>
        <w:tc>
          <w:tcPr>
            <w:tcW w:w="2675" w:type="dxa"/>
            <w:tcBorders>
              <w:left w:val="single" w:sz="2" w:space="0" w:color="000000"/>
            </w:tcBorders>
            <w:tcMar>
              <w:left w:w="160" w:type="dxa"/>
            </w:tcMar>
          </w:tcPr>
          <w:p>
            <w:pPr>
              <w:pStyle w:val="TableContents"/>
              <w:bidi w:val="0"/>
              <w:spacing w:before="0" w:after="0"/>
              <w:jc w:val="left"/>
              <w:rPr>
                <w:rFonts w:ascii="Times New Roman" w:hAnsi="Times New Roman"/>
                <w:b/>
                <w:sz w:val="16"/>
              </w:rPr>
            </w:pPr>
            <w:r>
              <w:rPr>
                <w:rFonts w:ascii="Times New Roman" w:hAnsi="Times New Roman"/>
                <w:b/>
                <w:sz w:val="16"/>
              </w:rPr>
              <w:t xml:space="preserve">Gopi Shankar, Ph.D., MBA, FAAPS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500" w:type="dxa"/>
            <w:tcBorders>
              <w:bottom w:val="single" w:sz="2" w:space="0" w:color="000000"/>
            </w:tcBorders>
            <w:tcMar>
              <w:bottom w:w="40" w:type="dxa"/>
            </w:tcMar>
            <w:vAlign w:val="bottom"/>
          </w:tcPr>
          <w:p>
            <w:pPr>
              <w:pStyle w:val="TableContents"/>
              <w:bidi w:val="0"/>
              <w:spacing w:before="0" w:after="283"/>
              <w:jc w:val="right"/>
              <w:rPr/>
            </w:pPr>
            <w:r>
              <w:rPr/>
              <w:t>2023</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800" w:type="dxa"/>
            <w:tcBorders>
              <w:bottom w:val="single" w:sz="2" w:space="0" w:color="000000"/>
            </w:tcBorders>
            <w:tcMar>
              <w:bottom w:w="40" w:type="dxa"/>
            </w:tcMar>
            <w:vAlign w:val="bottom"/>
          </w:tcPr>
          <w:p>
            <w:pPr>
              <w:pStyle w:val="TableContents"/>
              <w:bidi w:val="0"/>
              <w:spacing w:before="0" w:after="283"/>
              <w:jc w:val="right"/>
              <w:rPr/>
            </w:pPr>
            <w:r>
              <w:rPr/>
              <w:t>383,144</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860" w:type="dxa"/>
            <w:tcBorders>
              <w:bottom w:val="single" w:sz="2" w:space="0" w:color="000000"/>
            </w:tcBorders>
            <w:tcMar>
              <w:bottom w:w="40" w:type="dxa"/>
            </w:tcMar>
            <w:vAlign w:val="bottom"/>
          </w:tcPr>
          <w:p>
            <w:pPr>
              <w:pStyle w:val="TableContents"/>
              <w:bidi w:val="0"/>
              <w:spacing w:before="0" w:after="283"/>
              <w:jc w:val="right"/>
              <w:rPr/>
            </w:pPr>
            <w:r>
              <w:rPr/>
              <w:t>157,855 </w:t>
            </w:r>
          </w:p>
        </w:tc>
        <w:tc>
          <w:tcPr>
            <w:tcW w:w="350" w:type="dxa"/>
            <w:tcBorders>
              <w:bottom w:val="single" w:sz="2" w:space="0" w:color="000000"/>
            </w:tcBorders>
            <w:tcMar>
              <w:bottom w:w="40" w:type="dxa"/>
            </w:tcMar>
            <w:vAlign w:val="bottom"/>
          </w:tcPr>
          <w:p>
            <w:pPr>
              <w:pStyle w:val="TableContents"/>
              <w:bidi w:val="0"/>
              <w:spacing w:before="0" w:after="283"/>
              <w:jc w:val="left"/>
              <w:rPr/>
            </w:pPr>
            <w:r>
              <w:rPr/>
              <w:t>(2)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980" w:type="dxa"/>
            <w:tcBorders>
              <w:bottom w:val="single" w:sz="2" w:space="0" w:color="000000"/>
            </w:tcBorders>
            <w:tcMar>
              <w:bottom w:w="40" w:type="dxa"/>
            </w:tcMar>
            <w:vAlign w:val="bottom"/>
          </w:tcPr>
          <w:p>
            <w:pPr>
              <w:pStyle w:val="TableContents"/>
              <w:bidi w:val="0"/>
              <w:spacing w:before="0" w:after="283"/>
              <w:jc w:val="right"/>
              <w:rPr/>
            </w:pPr>
            <w:r>
              <w:rPr/>
              <w:t></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980" w:type="dxa"/>
            <w:tcBorders>
              <w:bottom w:val="single" w:sz="2" w:space="0" w:color="000000"/>
            </w:tcBorders>
            <w:tcMar>
              <w:bottom w:w="40" w:type="dxa"/>
            </w:tcMar>
            <w:vAlign w:val="bottom"/>
          </w:tcPr>
          <w:p>
            <w:pPr>
              <w:pStyle w:val="TableContents"/>
              <w:bidi w:val="0"/>
              <w:spacing w:before="0" w:after="283"/>
              <w:jc w:val="right"/>
              <w:rPr/>
            </w:pPr>
            <w:r>
              <w:rPr/>
              <w:t>831,996</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 w:type="dxa"/>
            <w:tcBorders>
              <w:bottom w:val="single" w:sz="2" w:space="0" w:color="000000"/>
            </w:tcBorders>
            <w:tcMar>
              <w:bottom w:w="40" w:type="dxa"/>
            </w:tcMar>
            <w:vAlign w:val="bottom"/>
          </w:tcPr>
          <w:p>
            <w:pPr>
              <w:pStyle w:val="TableContents"/>
              <w:bidi w:val="0"/>
              <w:spacing w:before="0" w:after="283"/>
              <w:jc w:val="left"/>
              <w:rPr/>
            </w:pPr>
            <w:r>
              <w:rPr/>
              <w:t> </w:t>
            </w:r>
          </w:p>
        </w:tc>
        <w:tc>
          <w:tcPr>
            <w:tcW w:w="1018" w:type="dxa"/>
            <w:tcBorders>
              <w:bottom w:val="single" w:sz="2" w:space="0" w:color="000000"/>
            </w:tcBorders>
            <w:tcMar>
              <w:bottom w:w="40" w:type="dxa"/>
            </w:tcMar>
            <w:vAlign w:val="bottom"/>
          </w:tcPr>
          <w:p>
            <w:pPr>
              <w:pStyle w:val="TableContents"/>
              <w:bidi w:val="0"/>
              <w:spacing w:before="0" w:after="283"/>
              <w:jc w:val="right"/>
              <w:rPr/>
            </w:pPr>
            <w:r>
              <w:rPr/>
              <w:t>8,726 </w:t>
            </w:r>
          </w:p>
        </w:tc>
        <w:tc>
          <w:tcPr>
            <w:tcW w:w="350" w:type="dxa"/>
            <w:tcBorders>
              <w:bottom w:val="single" w:sz="2" w:space="0" w:color="000000"/>
            </w:tcBorders>
            <w:tcMar>
              <w:bottom w:w="40" w:type="dxa"/>
            </w:tcMar>
            <w:vAlign w:val="bottom"/>
          </w:tcPr>
          <w:p>
            <w:pPr>
              <w:pStyle w:val="TableContents"/>
              <w:bidi w:val="0"/>
              <w:spacing w:before="0" w:after="283"/>
              <w:jc w:val="left"/>
              <w:rPr/>
            </w:pPr>
            <w:r>
              <w:rPr/>
              <w:t>(9)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vAlign w:val="bottom"/>
          </w:tcPr>
          <w:p>
            <w:pPr>
              <w:pStyle w:val="TableContents"/>
              <w:bidi w:val="0"/>
              <w:spacing w:before="0" w:after="283"/>
              <w:jc w:val="left"/>
              <w:rPr/>
            </w:pPr>
            <w:r>
              <w:rPr/>
              <w:t> </w:t>
            </w:r>
          </w:p>
        </w:tc>
        <w:tc>
          <w:tcPr>
            <w:tcW w:w="1430" w:type="dxa"/>
            <w:tcBorders>
              <w:bottom w:val="single" w:sz="2" w:space="0" w:color="000000"/>
            </w:tcBorders>
            <w:tcMar>
              <w:bottom w:w="40" w:type="dxa"/>
            </w:tcMar>
            <w:vAlign w:val="bottom"/>
          </w:tcPr>
          <w:p>
            <w:pPr>
              <w:pStyle w:val="TableContents"/>
              <w:bidi w:val="0"/>
              <w:spacing w:before="0" w:after="283"/>
              <w:jc w:val="right"/>
              <w:rPr/>
            </w:pPr>
            <w:r>
              <w:rPr/>
              <w:t>1,381,721   </w:t>
            </w:r>
          </w:p>
        </w:tc>
        <w:tc>
          <w:tcPr>
            <w:tcW w:w="60" w:type="dxa"/>
            <w:tcBorders>
              <w:bottom w:val="single" w:sz="2" w:space="0" w:color="000000"/>
              <w:right w:val="single" w:sz="2" w:space="0" w:color="000000"/>
            </w:tcBorders>
            <w:tcMar>
              <w:bottom w:w="40" w:type="dxa"/>
              <w:right w:w="40" w:type="dxa"/>
            </w:tcMar>
            <w:vAlign w:val="bottom"/>
          </w:tcPr>
          <w:p>
            <w:pPr>
              <w:pStyle w:val="TableContents"/>
              <w:bidi w:val="0"/>
              <w:spacing w:before="0" w:after="283"/>
              <w:jc w:val="left"/>
              <w:rPr/>
            </w:pPr>
            <w:r>
              <w:rPr/>
              <w:t> </w:t>
            </w:r>
          </w:p>
        </w:tc>
      </w:tr>
      <w:tr>
        <w:trPr/>
        <w:tc>
          <w:tcPr>
            <w:tcW w:w="2675" w:type="dxa"/>
            <w:tcBorders>
              <w:left w:val="single" w:sz="2" w:space="0" w:color="000000"/>
              <w:bottom w:val="single" w:sz="2" w:space="0" w:color="000000"/>
            </w:tcBorders>
            <w:tcMar>
              <w:left w:w="160" w:type="dxa"/>
              <w:bottom w:w="40" w:type="dxa"/>
            </w:tcMar>
          </w:tcPr>
          <w:p>
            <w:pPr>
              <w:pStyle w:val="TableContents"/>
              <w:bidi w:val="0"/>
              <w:spacing w:before="0" w:after="0"/>
              <w:jc w:val="left"/>
              <w:rPr>
                <w:rFonts w:ascii="Times New Roman" w:hAnsi="Times New Roman"/>
                <w:sz w:val="16"/>
              </w:rPr>
            </w:pPr>
            <w:r>
              <w:rPr>
                <w:rFonts w:ascii="Times New Roman" w:hAnsi="Times New Roman"/>
                <w:sz w:val="16"/>
              </w:rPr>
              <w:t>Chief Development Officer (8)</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500" w:type="dxa"/>
            <w:tcBorders>
              <w:bottom w:val="single" w:sz="2" w:space="0" w:color="000000"/>
            </w:tcBorders>
            <w:tcMar>
              <w:bottom w:w="40" w:type="dxa"/>
            </w:tcMar>
          </w:tcPr>
          <w:p>
            <w:pPr>
              <w:pStyle w:val="TableContents"/>
              <w:bidi w:val="0"/>
              <w:spacing w:before="0" w:after="283"/>
              <w:jc w:val="right"/>
              <w:rPr/>
            </w:pPr>
            <w:r>
              <w:rPr/>
              <w:t>2022</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00" w:type="dxa"/>
            <w:tcBorders>
              <w:bottom w:val="single" w:sz="2" w:space="0" w:color="000000"/>
            </w:tcBorders>
            <w:tcMar>
              <w:bottom w:w="40" w:type="dxa"/>
            </w:tcMar>
          </w:tcPr>
          <w:p>
            <w:pPr>
              <w:pStyle w:val="TableContents"/>
              <w:bidi w:val="0"/>
              <w:spacing w:before="0" w:after="283"/>
              <w:jc w:val="right"/>
              <w:rPr/>
            </w:pPr>
            <w:r>
              <w:rPr/>
              <w:t></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860" w:type="dxa"/>
            <w:tcBorders>
              <w:bottom w:val="single" w:sz="2" w:space="0" w:color="000000"/>
            </w:tcBorders>
            <w:tcMar>
              <w:bottom w:w="40" w:type="dxa"/>
            </w:tcMar>
          </w:tcPr>
          <w:p>
            <w:pPr>
              <w:pStyle w:val="TableContents"/>
              <w:bidi w:val="0"/>
              <w:spacing w:before="0" w:after="283"/>
              <w:jc w:val="right"/>
              <w:rPr/>
            </w:pPr>
            <w:r>
              <w:rPr/>
              <w:t></w:t>
            </w:r>
          </w:p>
        </w:tc>
        <w:tc>
          <w:tcPr>
            <w:tcW w:w="350" w:type="dxa"/>
            <w:tcBorders>
              <w:bottom w:val="single" w:sz="2" w:space="0" w:color="000000"/>
            </w:tcBorders>
            <w:tcMar>
              <w:bottom w:w="40" w:type="dxa"/>
            </w:tcMar>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980" w:type="dxa"/>
            <w:tcBorders>
              <w:bottom w:val="single" w:sz="2" w:space="0" w:color="000000"/>
            </w:tcBorders>
            <w:tcMar>
              <w:bottom w:w="40" w:type="dxa"/>
            </w:tcMar>
          </w:tcPr>
          <w:p>
            <w:pPr>
              <w:pStyle w:val="TableContents"/>
              <w:bidi w:val="0"/>
              <w:spacing w:before="0" w:after="283"/>
              <w:jc w:val="right"/>
              <w:rPr/>
            </w:pPr>
            <w:r>
              <w:rPr/>
              <w:t></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82" w:type="dxa"/>
            <w:tcBorders>
              <w:bottom w:val="single" w:sz="2" w:space="0" w:color="000000"/>
            </w:tcBorders>
            <w:tcMar>
              <w:bottom w:w="40" w:type="dxa"/>
            </w:tcMar>
          </w:tcPr>
          <w:p>
            <w:pPr>
              <w:pStyle w:val="TableContents"/>
              <w:bidi w:val="0"/>
              <w:spacing w:before="0" w:after="283"/>
              <w:jc w:val="left"/>
              <w:rPr/>
            </w:pPr>
            <w:r>
              <w:rPr/>
              <w:t> </w:t>
            </w:r>
          </w:p>
        </w:tc>
        <w:tc>
          <w:tcPr>
            <w:tcW w:w="1018" w:type="dxa"/>
            <w:tcBorders>
              <w:bottom w:val="single" w:sz="2" w:space="0" w:color="000000"/>
            </w:tcBorders>
            <w:tcMar>
              <w:bottom w:w="40" w:type="dxa"/>
            </w:tcMar>
          </w:tcPr>
          <w:p>
            <w:pPr>
              <w:pStyle w:val="TableContents"/>
              <w:bidi w:val="0"/>
              <w:spacing w:before="0" w:after="283"/>
              <w:jc w:val="right"/>
              <w:rPr/>
            </w:pPr>
            <w:r>
              <w:rPr/>
              <w:t></w:t>
            </w:r>
          </w:p>
        </w:tc>
        <w:tc>
          <w:tcPr>
            <w:tcW w:w="350" w:type="dxa"/>
            <w:tcBorders>
              <w:bottom w:val="single" w:sz="2" w:space="0" w:color="000000"/>
            </w:tcBorders>
            <w:tcMar>
              <w:bottom w:w="40" w:type="dxa"/>
            </w:tcMar>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40" w:type="dxa"/>
            </w:tcMar>
          </w:tcPr>
          <w:p>
            <w:pPr>
              <w:pStyle w:val="TableContents"/>
              <w:bidi w:val="0"/>
              <w:spacing w:before="0" w:after="283"/>
              <w:jc w:val="left"/>
              <w:rPr/>
            </w:pPr>
            <w:r>
              <w:rPr/>
              <w:t> </w:t>
            </w:r>
          </w:p>
        </w:tc>
        <w:tc>
          <w:tcPr>
            <w:tcW w:w="1430" w:type="dxa"/>
            <w:tcBorders>
              <w:bottom w:val="single" w:sz="2" w:space="0" w:color="000000"/>
            </w:tcBorders>
            <w:tcMar>
              <w:bottom w:w="40" w:type="dxa"/>
            </w:tcMar>
          </w:tcPr>
          <w:p>
            <w:pPr>
              <w:pStyle w:val="TableContents"/>
              <w:bidi w:val="0"/>
              <w:spacing w:before="0" w:after="283"/>
              <w:jc w:val="right"/>
              <w:rPr/>
            </w:pPr>
            <w:r>
              <w:rPr/>
              <w:t>   </w:t>
            </w:r>
          </w:p>
        </w:tc>
        <w:tc>
          <w:tcPr>
            <w:tcW w:w="60" w:type="dxa"/>
            <w:tcBorders>
              <w:bottom w:val="single" w:sz="2" w:space="0" w:color="000000"/>
              <w:right w:val="single" w:sz="2" w:space="0" w:color="000000"/>
            </w:tcBorders>
            <w:tcMar>
              <w:bottom w:w="40" w:type="dxa"/>
              <w:right w:w="40"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(1)</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Reflects the grant date fair value of the restricted stock units and stock option awards determined in accordance with the FASB ASC Topic 718, disregarding the effect of estimated forfeitures related to service-based vesting. The assumptions made in these valuations are included in Note 7 of the Notes to the Consolidated Financial Statements included in our 2023 Annual Report. The amounts reported in this column reflect the accounting cost for these awards and do not correspond to the actual economic value that may be received by the named executive officer upon the exercise of the stock options or any sale of the underlying shares of common stock.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(2)</w:t>
            </w:r>
          </w:p>
        </w:tc>
        <w:tc>
          <w:tcPr>
            <w:tcW w:w="94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Represents bonus paid in February 2024 based upon 2023 corporate performance, as approved by our Compensation Committee or Board, as applicable. </w:t>
            </w:r>
          </w:p>
        </w:tc>
      </w:tr>
    </w:tbl>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(3)</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the Companys contribution to a 401(k) plan, a defined contribution plan, of $13,200 and the value of group term life benefits provided by the Company of $3,399. </w:t>
            </w:r>
          </w:p>
        </w:tc>
      </w:tr>
    </w:tbl>
    <w:tbl>
      <w:tblPr>
        <w:tblW w:w="5000" w:type="pct"/>
        <w:jc w:val="left"/>
        <w:tblInd w:w="0" w:type="dxa"/>
        <w:tblLayout w:type="fixed"/>
        <w:tblCellMar>
          <w:top w:w="0" w:type="dxa"/>
          <w:left w:w="0" w:type="dxa"/>
          <w:bottom w:w="0" w:type="dxa"/>
          <w:right w:w="0" w:type="dxa"/>
        </w:tblCellMar>
      </w:tblPr>
      <w:tblGrid>
        <w:gridCol w:w="714"/>
        <w:gridCol w:w="9491"/>
      </w:tblGrid>
      <w:tr>
        <w:trPr/>
        <w:tc>
          <w:tcPr>
            <w:tcW w:w="714" w:type="dxa"/>
            <w:tcBorders/>
          </w:tcPr>
          <w:p>
            <w:pPr>
              <w:pStyle w:val="TableContents"/>
              <w:bidi w:val="0"/>
              <w:spacing w:before="0" w:after="283"/>
              <w:jc w:val="left"/>
              <w:rPr/>
            </w:pPr>
            <w:r>
              <w:rPr/>
              <w:t>(4)</w:t>
            </w:r>
          </w:p>
        </w:tc>
        <w:tc>
          <w:tcPr>
            <w:tcW w:w="94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Represents bonus paid in February 2023 based upon 2022 corporate performance, as approved by our Compensation Committee or Board, as applicable. </w:t>
            </w:r>
          </w:p>
        </w:tc>
      </w:tr>
    </w:tbl>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(5)</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the Companys contribution to a 401(k) plan, a defined contribution plan, of $12,200 and the value of group term life benefits provided by the Company of $1,584. </w:t>
            </w:r>
          </w:p>
        </w:tc>
      </w:tr>
    </w:tbl>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(6)</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the Companys contribution to a 401(k) plan, a defined contribution plan, of $6,247 and the value of group term life benefits provided by the Company of $5,298. </w:t>
            </w:r>
          </w:p>
        </w:tc>
      </w:tr>
    </w:tbl>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(7)</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the Companys contribution to a 401(k) plan, a defined contribution plan, of $9,382 and the value of group term life benefits provided by the Company of $2,503. </w:t>
            </w:r>
          </w:p>
        </w:tc>
      </w:tr>
    </w:tbl>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(8)</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Dr. Shankar commenced employment with us on February 7, 2023 and had no compensation history with us prior to his employment commencement date. The amount reported for Dr. Shankars salary reflects the amount paid following his commencement of employment and the amount of the bonus paid to him was prorated based upon his time employed in 2023. </w:t>
            </w:r>
          </w:p>
        </w:tc>
      </w:tr>
    </w:tbl>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tcPr>
          <w:p>
            <w:pPr>
              <w:pStyle w:val="TableContents"/>
              <w:bidi w:val="0"/>
              <w:spacing w:before="0" w:after="283"/>
              <w:jc w:val="left"/>
              <w:rPr/>
            </w:pPr>
            <w:r>
              <w:rPr/>
              <w:t>(9)</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Includes the Companys contribution to a 401(k) plan, a defined contribution plan, of $7,777 and the value of group term life benefits provided by the Company of $949. </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Elements of Compensation </w:t>
      </w:r>
    </w:p>
    <w:p>
      <w:pPr>
        <w:pStyle w:val="TextBody"/>
        <w:bidi w:val="0"/>
        <w:spacing w:before="200" w:after="0"/>
        <w:jc w:val="both"/>
        <w:rPr>
          <w:rFonts w:ascii="Times New Roman" w:hAnsi="Times New Roman"/>
          <w:sz w:val="20"/>
        </w:rPr>
      </w:pPr>
      <w:r>
        <w:rPr>
          <w:rFonts w:ascii="Times New Roman" w:hAnsi="Times New Roman"/>
          <w:sz w:val="20"/>
        </w:rPr>
        <w:t xml:space="preserve">The compensation of our named executive officers generally consists of base salary, annual cash bonus opportunities, long term incentive compensation in the form of equity awards and other benefits, as described below.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Base Salary </w:t>
      </w:r>
    </w:p>
    <w:p>
      <w:pPr>
        <w:pStyle w:val="TextBody"/>
        <w:bidi w:val="0"/>
        <w:spacing w:before="200" w:after="0"/>
        <w:jc w:val="both"/>
        <w:rPr>
          <w:rFonts w:ascii="Times New Roman" w:hAnsi="Times New Roman"/>
          <w:sz w:val="20"/>
        </w:rPr>
      </w:pPr>
      <w:r>
        <w:rPr>
          <w:rFonts w:ascii="Times New Roman" w:hAnsi="Times New Roman"/>
          <w:sz w:val="20"/>
        </w:rPr>
        <w:t xml:space="preserve">The base salary payable to each named executive officer is intended to provide a fixed component of compensation reflecting the executives skill set, experience, role, responsibilities, and contributions. For 2023, the annual base salary rates for Dr. Ben-Maimon, Mr. Celano and Dr. Shankar were $560,000, $401,000 and $425,000, respectively. In the first quarter of 2024, the Compensation Committee or Board, as applicable, increased the annual base salary rates for Dr. Ben-Maimon, Mr. Celano and Dr. Shankar to $600,000, $447,000 and $440,583, respectively. </w:t>
      </w:r>
    </w:p>
    <w:p>
      <w:pPr>
        <w:pStyle w:val="TextBody"/>
        <w:bidi w:val="0"/>
        <w:spacing w:before="200" w:after="0"/>
        <w:jc w:val="left"/>
        <w:rPr>
          <w:rFonts w:ascii="Times New Roman" w:hAnsi="Times New Roman"/>
          <w:b/>
          <w:sz w:val="20"/>
        </w:rPr>
      </w:pPr>
      <w:r>
        <w:rPr>
          <w:rFonts w:ascii="Times New Roman" w:hAnsi="Times New Roman"/>
          <w:b/>
          <w:sz w:val="20"/>
        </w:rPr>
        <w:t xml:space="preserve">Annual Cash Bonus Opportunities </w:t>
      </w:r>
    </w:p>
    <w:p>
      <w:pPr>
        <w:pStyle w:val="TextBody"/>
        <w:bidi w:val="0"/>
        <w:spacing w:before="200" w:after="0"/>
        <w:jc w:val="both"/>
        <w:rPr>
          <w:rFonts w:ascii="Times New Roman" w:hAnsi="Times New Roman"/>
          <w:sz w:val="20"/>
        </w:rPr>
      </w:pPr>
      <w:r>
        <w:rPr>
          <w:rFonts w:ascii="Times New Roman" w:hAnsi="Times New Roman"/>
          <w:sz w:val="20"/>
        </w:rPr>
        <w:t xml:space="preserve">Each of our named executive officers performance-based cash bonus opportunity is expressed as a percentage of base salary that can be achieved by meeting predetermined corporate and individual performance objectives. Our Compensation Committee annually approves each of the Chief Financial Officer and Chief Development Officers bonus payout for the year, while the Board annually approves, upon recommendation from the Compensation Committee, the Chief Executive Officers bonus payout for the year. </w:t>
      </w:r>
    </w:p>
    <w:p>
      <w:pPr>
        <w:pStyle w:val="TextBody"/>
        <w:bidi w:val="0"/>
        <w:spacing w:before="200" w:after="0"/>
        <w:jc w:val="both"/>
        <w:rPr>
          <w:rFonts w:ascii="Times New Roman" w:hAnsi="Times New Roman"/>
          <w:sz w:val="20"/>
        </w:rPr>
      </w:pPr>
      <w:r>
        <w:rPr>
          <w:rFonts w:ascii="Times New Roman" w:hAnsi="Times New Roman"/>
          <w:sz w:val="20"/>
        </w:rPr>
        <w:t xml:space="preserve">The 2023 annual bonuses for Dr. Ben-Maimon, Mr. Celano and Dr. Shankar were targeted at 50%, 40% and 40% of their respective base salaries. For 2023, they were eligible to earn their annual bonuses pursuant to the achievement of corporate performance goals as previously approved by the Board. These goals primarily included being in a position to conduct a financing, completing the analysis from cohort 1 of the Companys nomlabofusp clinical program, supplying clinical trial material, executing a long-term manufacturing plan to support commercialization and executing a global regulatory strategy and a global development plan. In January 2024, the Compensation Committee approved, and the Board approved, the 2023 corporate goals at an overall achievement level of 103%. Following a review of the achievement level, our Compensation Committee approved, and, in the case of Dr. Ben-Maimon, our Compensation Committee recommended and our Board approved, 2023 annual cash bonus payments to each of Dr. Ben-Maimon, Mr. Celano and Dr. Shankar in an amount equal to 103% of their respective target bonus amounts, totaling $288,400, $165,034 and $157,855, respectively. </w:t>
      </w:r>
    </w:p>
    <w:p>
      <w:pPr>
        <w:pStyle w:val="TextBody"/>
        <w:bidi w:val="0"/>
        <w:spacing w:before="200" w:after="0"/>
        <w:jc w:val="left"/>
        <w:rPr>
          <w:rFonts w:ascii="Times New Roman" w:hAnsi="Times New Roman"/>
          <w:b/>
          <w:sz w:val="20"/>
        </w:rPr>
      </w:pPr>
      <w:r>
        <w:rPr>
          <w:rFonts w:ascii="Times New Roman" w:hAnsi="Times New Roman"/>
          <w:b/>
          <w:sz w:val="20"/>
        </w:rPr>
        <w:t xml:space="preserve">Equity Incentives </w:t>
      </w:r>
    </w:p>
    <w:p>
      <w:pPr>
        <w:pStyle w:val="TextBody"/>
        <w:bidi w:val="0"/>
        <w:spacing w:before="200" w:after="0"/>
        <w:jc w:val="both"/>
        <w:rPr>
          <w:rFonts w:ascii="Times New Roman" w:hAnsi="Times New Roman"/>
          <w:sz w:val="20"/>
        </w:rPr>
      </w:pPr>
      <w:r>
        <w:rPr>
          <w:rFonts w:ascii="Times New Roman" w:hAnsi="Times New Roman"/>
          <w:sz w:val="20"/>
        </w:rPr>
        <w:t xml:space="preserve">Our equity-based incentive awards are designed to align our interests and the interests of our stockholders with those of our named executive officers. Our Board or Compensation Committee, as applicable, approves equity grants. In January 2023, following a review of the achievement level of the Companys corporate goals and objectives, our Compensation Committee approved, and, in the case of Dr. Ben-Maimon, our Compensation Committee recommended and our Board approved, equity awards to each of Dr. Ben-Maimon and Mr. Celano in the amount of 325,000 and 120,000 options to purchase shares of the Companys common stock, respectively, and 205,000 and 76,000 restricted stock units, respectively. Dr. Shankar joined the Company in February 2023 and in accordance with his employment agreement, he was granted an inducement stock option award to purchase 180,000 shares of the Companys common stock. </w:t>
      </w:r>
    </w:p>
    <w:p>
      <w:pPr>
        <w:pStyle w:val="TextBody"/>
        <w:bidi w:val="0"/>
        <w:spacing w:before="200" w:after="0"/>
        <w:jc w:val="both"/>
        <w:rPr>
          <w:rFonts w:ascii="Times New Roman" w:hAnsi="Times New Roman"/>
          <w:sz w:val="20"/>
        </w:rPr>
      </w:pPr>
      <w:r>
        <w:rPr>
          <w:rFonts w:ascii="Times New Roman" w:hAnsi="Times New Roman"/>
          <w:sz w:val="20"/>
        </w:rPr>
        <w:t xml:space="preserve">Each of the option awards will vest 25% on the first anniversary of the grant date, with the remaining 75% vesting in equal monthly installments on the last day of each of the 36 calendar months immediately following such date, subject to the grantees continued service through the applicable vesting dates. Each of the restricted stock unit awards will vest in four equal annual installments beginning on the first anniversary of the grant date, subject to the grantees continued service through the applicable vesting dates. </w:t>
      </w:r>
    </w:p>
    <w:p>
      <w:pPr>
        <w:pStyle w:val="TextBody"/>
        <w:bidi w:val="0"/>
        <w:spacing w:before="200" w:after="0"/>
        <w:jc w:val="left"/>
        <w:rPr>
          <w:rFonts w:ascii="Times New Roman" w:hAnsi="Times New Roman"/>
          <w:b/>
          <w:sz w:val="20"/>
        </w:rPr>
      </w:pPr>
      <w:r>
        <w:rPr>
          <w:rFonts w:ascii="Times New Roman" w:hAnsi="Times New Roman"/>
          <w:b/>
          <w:sz w:val="20"/>
        </w:rPr>
        <w:t xml:space="preserve">Other Benefits </w:t>
      </w:r>
    </w:p>
    <w:p>
      <w:pPr>
        <w:pStyle w:val="TextBody"/>
        <w:bidi w:val="0"/>
        <w:spacing w:before="200" w:after="0"/>
        <w:jc w:val="both"/>
        <w:rPr>
          <w:rFonts w:ascii="Times New Roman" w:hAnsi="Times New Roman"/>
          <w:sz w:val="20"/>
        </w:rPr>
      </w:pPr>
      <w:r>
        <w:rPr>
          <w:rFonts w:ascii="Times New Roman" w:hAnsi="Times New Roman"/>
          <w:sz w:val="20"/>
        </w:rPr>
        <w:t xml:space="preserve">We currently provide broad-based welfare benefits that are available to all our employees, including our named executive officers, including health, dental, life, vision and disability insurance. </w:t>
      </w:r>
    </w:p>
    <w:p>
      <w:pPr>
        <w:pStyle w:val="TextBody"/>
        <w:bidi w:val="0"/>
        <w:spacing w:before="200" w:after="0"/>
        <w:jc w:val="both"/>
        <w:rPr>
          <w:rFonts w:ascii="Times New Roman" w:hAnsi="Times New Roman"/>
          <w:sz w:val="20"/>
        </w:rPr>
      </w:pPr>
      <w:r>
        <w:rPr>
          <w:rFonts w:ascii="Times New Roman" w:hAnsi="Times New Roman"/>
          <w:sz w:val="20"/>
        </w:rPr>
        <w:t xml:space="preserve">We do not maintain any defined benefit pension plans or nonqualified deferred compensation plans. We do maintain a 401(k) plan and our named executive officers are eligible to participate in that plan on the same terms as our other employees generally. </w:t>
      </w:r>
    </w:p>
    <w:p>
      <w:pPr>
        <w:pStyle w:val="TextBody"/>
        <w:bidi w:val="0"/>
        <w:spacing w:before="200" w:after="0"/>
        <w:jc w:val="left"/>
        <w:rPr>
          <w:rFonts w:ascii="Times New Roman" w:hAnsi="Times New Roman"/>
          <w:b/>
          <w:sz w:val="20"/>
        </w:rPr>
      </w:pPr>
      <w:bookmarkStart w:id="36" w:name="summary636298_34"/>
      <w:bookmarkEnd w:id="36"/>
      <w:r>
        <w:rPr>
          <w:rFonts w:ascii="Times New Roman" w:hAnsi="Times New Roman"/>
          <w:b/>
          <w:sz w:val="20"/>
        </w:rPr>
        <w:t xml:space="preserve">PLEDGING AND HEDGING POLICIES </w:t>
      </w:r>
    </w:p>
    <w:p>
      <w:pPr>
        <w:pStyle w:val="TextBody"/>
        <w:bidi w:val="0"/>
        <w:spacing w:before="200" w:after="0"/>
        <w:jc w:val="both"/>
        <w:rPr>
          <w:rFonts w:ascii="Times New Roman" w:hAnsi="Times New Roman"/>
          <w:sz w:val="20"/>
        </w:rPr>
      </w:pPr>
      <w:r>
        <w:rPr>
          <w:rFonts w:ascii="Times New Roman" w:hAnsi="Times New Roman"/>
          <w:sz w:val="20"/>
        </w:rPr>
        <w:t xml:space="preserve">Under the terms of our Insider Trading Policy, our executive officers and directors are prohibited from: trading in call or put options involving our securities and other derivative securities; engaging in short sales of our securities;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holding our securities in a margin account, all forms of hedging or monetizing our transactions, such as zero-cost collars and forward sale contracts and pledging company securities to secure margin or other loans. </w:t>
      </w:r>
    </w:p>
    <w:p>
      <w:pPr>
        <w:pStyle w:val="TextBody"/>
        <w:bidi w:val="0"/>
        <w:spacing w:before="200" w:after="0"/>
        <w:jc w:val="left"/>
        <w:rPr>
          <w:rFonts w:ascii="Times New Roman" w:hAnsi="Times New Roman"/>
          <w:b/>
          <w:sz w:val="20"/>
        </w:rPr>
      </w:pPr>
      <w:bookmarkStart w:id="37" w:name="summary636298_35"/>
      <w:bookmarkEnd w:id="37"/>
      <w:r>
        <w:rPr>
          <w:rFonts w:ascii="Times New Roman" w:hAnsi="Times New Roman"/>
          <w:b/>
          <w:sz w:val="20"/>
        </w:rPr>
        <w:t xml:space="preserve">CLAWBACK POLICY </w:t>
      </w:r>
    </w:p>
    <w:p>
      <w:pPr>
        <w:pStyle w:val="TextBody"/>
        <w:bidi w:val="0"/>
        <w:spacing w:before="200" w:after="0"/>
        <w:jc w:val="both"/>
        <w:rPr>
          <w:rFonts w:ascii="Times New Roman" w:hAnsi="Times New Roman"/>
          <w:sz w:val="20"/>
        </w:rPr>
      </w:pPr>
      <w:r>
        <w:rPr>
          <w:rFonts w:ascii="Times New Roman" w:hAnsi="Times New Roman"/>
          <w:sz w:val="20"/>
        </w:rPr>
        <w:t xml:space="preserve">In September 2023, we adopted a policy for recoupment of incentive compensation (the Clawback Policy) in compliance with the requirements of the Dodd-Frank Act, final SEC rules and applicable Nasdaq listing standards (the final clawback rules), which covers our current and former executive officers, including all of our named executive officers.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 </w:t>
      </w:r>
    </w:p>
    <w:p>
      <w:pPr>
        <w:pStyle w:val="TextBody"/>
        <w:bidi w:val="0"/>
        <w:spacing w:before="200" w:after="0"/>
        <w:jc w:val="left"/>
        <w:rPr>
          <w:rFonts w:ascii="Times New Roman" w:hAnsi="Times New Roman"/>
          <w:b/>
          <w:sz w:val="20"/>
        </w:rPr>
      </w:pPr>
      <w:bookmarkStart w:id="38" w:name="summary636298_36"/>
      <w:bookmarkEnd w:id="38"/>
      <w:r>
        <w:rPr>
          <w:rFonts w:ascii="Times New Roman" w:hAnsi="Times New Roman"/>
          <w:b/>
          <w:sz w:val="20"/>
        </w:rPr>
        <w:t xml:space="preserve">OUTSTANDING EQUITY AWARDS AT FISCAL 2023 YEAR-END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the number of shares of common stock underlying outstanding plan awards held by each of our named executive officers as of December 31, 2023: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1726"/>
        <w:gridCol w:w="153"/>
        <w:gridCol w:w="654"/>
        <w:gridCol w:w="153"/>
        <w:gridCol w:w="1082"/>
        <w:gridCol w:w="235"/>
        <w:gridCol w:w="1260"/>
        <w:gridCol w:w="235"/>
        <w:gridCol w:w="786"/>
        <w:gridCol w:w="153"/>
        <w:gridCol w:w="1011"/>
        <w:gridCol w:w="153"/>
        <w:gridCol w:w="1082"/>
        <w:gridCol w:w="235"/>
        <w:gridCol w:w="1184"/>
      </w:tblGrid>
      <w:tr>
        <w:trPr/>
        <w:tc>
          <w:tcPr>
            <w:tcW w:w="1726"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35" w:type="dxa"/>
            <w:tcBorders/>
            <w:vAlign w:val="bottom"/>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1726" w:type="dxa"/>
            <w:tcBorders>
              <w:top w:val="single" w:sz="2" w:space="0" w:color="000000"/>
              <w:left w:val="single" w:sz="2" w:space="0" w:color="000000"/>
              <w:bottom w:val="single" w:sz="2" w:space="0" w:color="000000"/>
              <w:right w:val="single" w:sz="2" w:space="0" w:color="000000"/>
            </w:tcBorders>
            <w:shd w:fill="4DC1E4" w:val="clear"/>
            <w:tcMar>
              <w:top w:w="28" w:type="dxa"/>
              <w:left w:w="160" w:type="dxa"/>
              <w:bottom w:w="28" w:type="dxa"/>
              <w:right w:w="28" w:type="dxa"/>
            </w:tcMar>
            <w:vAlign w:val="bottom"/>
          </w:tcPr>
          <w:p>
            <w:pPr>
              <w:pStyle w:val="TableContents"/>
              <w:bidi w:val="0"/>
              <w:spacing w:before="0" w:after="283"/>
              <w:jc w:val="left"/>
              <w:rPr/>
            </w:pPr>
            <w:r>
              <w:rPr/>
              <w:t>  </w:t>
            </w:r>
          </w:p>
        </w:tc>
        <w:tc>
          <w:tcPr>
            <w:tcW w:w="153"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5569" w:type="dxa"/>
            <w:gridSpan w:val="9"/>
            <w:tcBorders>
              <w:top w:val="single" w:sz="2" w:space="0" w:color="000000"/>
              <w:bottom w:val="single" w:sz="2" w:space="0" w:color="000000"/>
              <w:right w:val="single" w:sz="2" w:space="0" w:color="000000"/>
            </w:tcBorders>
            <w:shd w:fill="4DC1E4" w:val="clear"/>
            <w:tcMar>
              <w:top w:w="28" w:type="dxa"/>
              <w:bottom w:w="60" w:type="dxa"/>
              <w:right w:w="28" w:type="dxa"/>
            </w:tcMar>
            <w:vAlign w:val="bottom"/>
          </w:tcPr>
          <w:p>
            <w:pPr>
              <w:pStyle w:val="TableContents"/>
              <w:bidi w:val="0"/>
              <w:spacing w:before="0" w:after="283"/>
              <w:jc w:val="center"/>
              <w:rPr>
                <w:b/>
                <w:color w:val="FFFFFF"/>
              </w:rPr>
            </w:pPr>
            <w:r>
              <w:rPr>
                <w:b/>
                <w:color w:val="FFFFFF"/>
              </w:rPr>
              <w:t>O</w:t>
            </w:r>
            <w:r>
              <w:rPr>
                <w:b/>
                <w:color w:val="FFFFFF"/>
                <w:sz w:val="14"/>
              </w:rPr>
              <w:t>PTION</w:t>
            </w:r>
            <w:r>
              <w:rPr>
                <w:b/>
                <w:color w:val="FFFFFF"/>
              </w:rPr>
              <w:t xml:space="preserve"> A</w:t>
            </w:r>
            <w:r>
              <w:rPr>
                <w:b/>
                <w:color w:val="FFFFFF"/>
                <w:sz w:val="14"/>
              </w:rPr>
              <w:t>WARDS</w:t>
            </w:r>
            <w:r>
              <w:rPr>
                <w:b/>
                <w:color w:val="FFFFFF"/>
              </w:rPr>
              <w:t>(1)</w:t>
            </w:r>
          </w:p>
        </w:tc>
        <w:tc>
          <w:tcPr>
            <w:tcW w:w="153"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2501" w:type="dxa"/>
            <w:gridSpan w:val="3"/>
            <w:tcBorders>
              <w:top w:val="single" w:sz="2" w:space="0" w:color="000000"/>
              <w:bottom w:val="single" w:sz="2" w:space="0" w:color="000000"/>
              <w:right w:val="single" w:sz="2" w:space="0" w:color="000000"/>
            </w:tcBorders>
            <w:shd w:fill="4DC1E4" w:val="clear"/>
            <w:tcMar>
              <w:top w:w="28" w:type="dxa"/>
              <w:bottom w:w="60" w:type="dxa"/>
              <w:right w:w="40" w:type="dxa"/>
            </w:tcMar>
            <w:vAlign w:val="bottom"/>
          </w:tcPr>
          <w:p>
            <w:pPr>
              <w:pStyle w:val="TableContents"/>
              <w:bidi w:val="0"/>
              <w:spacing w:before="0" w:after="283"/>
              <w:jc w:val="center"/>
              <w:rPr>
                <w:b/>
                <w:color w:val="FFFFFF"/>
              </w:rPr>
            </w:pPr>
            <w:r>
              <w:rPr>
                <w:b/>
                <w:color w:val="FFFFFF"/>
              </w:rPr>
              <w:t>S</w:t>
            </w:r>
            <w:r>
              <w:rPr>
                <w:b/>
                <w:color w:val="FFFFFF"/>
                <w:sz w:val="14"/>
              </w:rPr>
              <w:t>TOCK</w:t>
            </w:r>
            <w:r>
              <w:rPr>
                <w:b/>
                <w:color w:val="FFFFFF"/>
              </w:rPr>
              <w:t xml:space="preserve"> A</w:t>
            </w:r>
            <w:r>
              <w:rPr>
                <w:b/>
                <w:color w:val="FFFFFF"/>
                <w:sz w:val="14"/>
              </w:rPr>
              <w:t xml:space="preserve">WARDS </w:t>
            </w:r>
            <w:r>
              <w:rPr>
                <w:b/>
                <w:color w:val="FFFFFF"/>
              </w:rPr>
              <w:t>(2)</w:t>
            </w:r>
          </w:p>
        </w:tc>
      </w:tr>
      <w:tr>
        <w:trPr/>
        <w:tc>
          <w:tcPr>
            <w:tcW w:w="1726" w:type="dxa"/>
            <w:tcBorders>
              <w:left w:val="single" w:sz="2" w:space="0" w:color="000000"/>
              <w:bottom w:val="single" w:sz="2" w:space="0" w:color="000000"/>
              <w:right w:val="single" w:sz="2" w:space="0" w:color="000000"/>
            </w:tcBorders>
            <w:shd w:fill="4DC1E4" w:val="clear"/>
            <w:tcMar>
              <w:left w:w="160" w:type="dxa"/>
              <w:bottom w:w="60" w:type="dxa"/>
              <w:right w:w="28" w:type="dxa"/>
            </w:tcMar>
            <w:vAlign w:val="bottom"/>
          </w:tcPr>
          <w:p>
            <w:pPr>
              <w:pStyle w:val="TableContents"/>
              <w:bidi w:val="0"/>
              <w:spacing w:before="0" w:after="283"/>
              <w:jc w:val="center"/>
              <w:rPr>
                <w:color w:val="FFFFFF"/>
              </w:rPr>
            </w:pPr>
            <w:r>
              <w:rPr>
                <w:b/>
                <w:color w:val="FFFFFF"/>
              </w:rPr>
              <w:t>N</w:t>
            </w:r>
            <w:r>
              <w:rPr>
                <w:b/>
                <w:color w:val="FFFFFF"/>
                <w:sz w:val="14"/>
              </w:rPr>
              <w:t>AME</w:t>
            </w:r>
            <w:r>
              <w:rPr>
                <w:color w:val="FFFFFF"/>
              </w:rPr>
              <w:t xml:space="preserve"> </w:t>
            </w:r>
          </w:p>
        </w:tc>
        <w:tc>
          <w:tcPr>
            <w:tcW w:w="153"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shd w:fill="4DC1E4" w:val="clear"/>
            <w:tcMar>
              <w:bottom w:w="60" w:type="dxa"/>
            </w:tcMar>
            <w:vAlign w:val="bottom"/>
          </w:tcPr>
          <w:p>
            <w:pPr>
              <w:pStyle w:val="TableContents"/>
              <w:bidi w:val="0"/>
              <w:spacing w:before="0" w:after="283"/>
              <w:jc w:val="center"/>
              <w:rPr>
                <w:b/>
                <w:color w:val="FFFFFF"/>
              </w:rPr>
            </w:pPr>
            <w:r>
              <w:rPr>
                <w:b/>
                <w:color w:val="FFFFFF"/>
              </w:rPr>
              <w:t>G</w:t>
            </w:r>
            <w:r>
              <w:rPr>
                <w:b/>
                <w:color w:val="FFFFFF"/>
                <w:sz w:val="14"/>
              </w:rPr>
              <w:t>RANT</w:t>
            </w:r>
            <w:r>
              <w:rPr>
                <w:b/>
                <w:color w:val="FFFFFF"/>
              </w:rPr>
              <w:br/>
              <w:t>D</w:t>
            </w:r>
            <w:r>
              <w:rPr>
                <w:b/>
                <w:color w:val="FFFFFF"/>
                <w:sz w:val="14"/>
              </w:rPr>
              <w:t>ATE</w:t>
            </w:r>
          </w:p>
        </w:tc>
        <w:tc>
          <w:tcPr>
            <w:tcW w:w="153"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shd w:fill="4DC1E4" w:val="clear"/>
            <w:tcMar>
              <w:bottom w:w="60" w:type="dxa"/>
            </w:tcMar>
            <w:vAlign w:val="bottom"/>
          </w:tcPr>
          <w:p>
            <w:pPr>
              <w:pStyle w:val="TableContents"/>
              <w:bidi w:val="0"/>
              <w:spacing w:before="0" w:after="283"/>
              <w:jc w:val="center"/>
              <w:rPr>
                <w:b/>
                <w:color w:val="FFFFFF"/>
              </w:rPr>
            </w:pPr>
            <w:r>
              <w:rPr>
                <w:b/>
                <w:color w:val="FFFFFF"/>
              </w:rPr>
              <w:t>N</w:t>
            </w:r>
            <w:r>
              <w:rPr>
                <w:b/>
                <w:color w:val="FFFFFF"/>
                <w:sz w:val="14"/>
              </w:rPr>
              <w:t>UMBER</w:t>
            </w:r>
            <w:r>
              <w:rPr>
                <w:b/>
                <w:color w:val="FFFFFF"/>
              </w:rPr>
              <w:t xml:space="preserve"> </w:t>
            </w:r>
            <w:r>
              <w:rPr>
                <w:b/>
                <w:color w:val="FFFFFF"/>
                <w:sz w:val="14"/>
              </w:rPr>
              <w:t>OF</w:t>
            </w:r>
            <w:r>
              <w:rPr>
                <w:b/>
                <w:color w:val="FFFFFF"/>
              </w:rPr>
              <w:br/>
              <w:t>S</w:t>
            </w:r>
            <w:r>
              <w:rPr>
                <w:b/>
                <w:color w:val="FFFFFF"/>
                <w:sz w:val="14"/>
              </w:rPr>
              <w:t>ECURITIES</w:t>
            </w:r>
            <w:r>
              <w:rPr>
                <w:b/>
                <w:color w:val="FFFFFF"/>
              </w:rPr>
              <w:br/>
              <w:t>U</w:t>
            </w:r>
            <w:r>
              <w:rPr>
                <w:b/>
                <w:color w:val="FFFFFF"/>
                <w:sz w:val="14"/>
              </w:rPr>
              <w:t>NDERLYING</w:t>
            </w:r>
            <w:r>
              <w:rPr>
                <w:b/>
                <w:color w:val="FFFFFF"/>
              </w:rPr>
              <w:br/>
              <w:t>U</w:t>
            </w:r>
            <w:r>
              <w:rPr>
                <w:b/>
                <w:color w:val="FFFFFF"/>
                <w:sz w:val="14"/>
              </w:rPr>
              <w:t>NEXERCISED</w:t>
            </w:r>
            <w:r>
              <w:rPr>
                <w:b/>
                <w:color w:val="FFFFFF"/>
              </w:rPr>
              <w:br/>
              <w:t>O</w:t>
            </w:r>
            <w:r>
              <w:rPr>
                <w:b/>
                <w:color w:val="FFFFFF"/>
                <w:sz w:val="14"/>
              </w:rPr>
              <w:t>PTIONS</w:t>
            </w:r>
            <w:r>
              <w:rPr>
                <w:b/>
                <w:color w:val="FFFFFF"/>
              </w:rPr>
              <w:t xml:space="preserve"> (#)</w:t>
              <w:br/>
              <w:t>E</w:t>
            </w:r>
            <w:r>
              <w:rPr>
                <w:b/>
                <w:color w:val="FFFFFF"/>
                <w:sz w:val="14"/>
              </w:rPr>
              <w:t>XERCISABLE</w:t>
            </w:r>
          </w:p>
        </w:tc>
        <w:tc>
          <w:tcPr>
            <w:tcW w:w="235"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shd w:fill="4DC1E4" w:val="clear"/>
            <w:tcMar>
              <w:bottom w:w="60" w:type="dxa"/>
            </w:tcMar>
            <w:vAlign w:val="bottom"/>
          </w:tcPr>
          <w:p>
            <w:pPr>
              <w:pStyle w:val="TableContents"/>
              <w:bidi w:val="0"/>
              <w:spacing w:before="0" w:after="283"/>
              <w:jc w:val="center"/>
              <w:rPr>
                <w:b/>
                <w:color w:val="FFFFFF"/>
              </w:rPr>
            </w:pPr>
            <w:r>
              <w:rPr>
                <w:b/>
                <w:color w:val="FFFFFF"/>
              </w:rPr>
              <w:t>N</w:t>
            </w:r>
            <w:r>
              <w:rPr>
                <w:b/>
                <w:color w:val="FFFFFF"/>
                <w:sz w:val="14"/>
              </w:rPr>
              <w:t>UMBER</w:t>
            </w:r>
            <w:r>
              <w:rPr>
                <w:b/>
                <w:color w:val="FFFFFF"/>
              </w:rPr>
              <w:t xml:space="preserve"> </w:t>
            </w:r>
            <w:r>
              <w:rPr>
                <w:b/>
                <w:color w:val="FFFFFF"/>
                <w:sz w:val="14"/>
              </w:rPr>
              <w:t>OF</w:t>
            </w:r>
            <w:r>
              <w:rPr>
                <w:b/>
                <w:color w:val="FFFFFF"/>
              </w:rPr>
              <w:br/>
              <w:t>S</w:t>
            </w:r>
            <w:r>
              <w:rPr>
                <w:b/>
                <w:color w:val="FFFFFF"/>
                <w:sz w:val="14"/>
              </w:rPr>
              <w:t>ECURITIES</w:t>
            </w:r>
            <w:r>
              <w:rPr>
                <w:b/>
                <w:color w:val="FFFFFF"/>
              </w:rPr>
              <w:br/>
              <w:t>U</w:t>
            </w:r>
            <w:r>
              <w:rPr>
                <w:b/>
                <w:color w:val="FFFFFF"/>
                <w:sz w:val="14"/>
              </w:rPr>
              <w:t>NDERLYING</w:t>
            </w:r>
            <w:r>
              <w:rPr>
                <w:b/>
                <w:color w:val="FFFFFF"/>
              </w:rPr>
              <w:br/>
              <w:t>U</w:t>
            </w:r>
            <w:r>
              <w:rPr>
                <w:b/>
                <w:color w:val="FFFFFF"/>
                <w:sz w:val="14"/>
              </w:rPr>
              <w:t>NEXERCISED</w:t>
            </w:r>
            <w:r>
              <w:rPr>
                <w:b/>
                <w:color w:val="FFFFFF"/>
              </w:rPr>
              <w:br/>
              <w:t>O</w:t>
            </w:r>
            <w:r>
              <w:rPr>
                <w:b/>
                <w:color w:val="FFFFFF"/>
                <w:sz w:val="14"/>
              </w:rPr>
              <w:t>PTIONS</w:t>
            </w:r>
            <w:r>
              <w:rPr>
                <w:b/>
                <w:color w:val="FFFFFF"/>
              </w:rPr>
              <w:t xml:space="preserve"> (#)</w:t>
              <w:br/>
              <w:t>U</w:t>
            </w:r>
            <w:r>
              <w:rPr>
                <w:b/>
                <w:color w:val="FFFFFF"/>
                <w:sz w:val="14"/>
              </w:rPr>
              <w:t>NEXERCISABLE</w:t>
            </w:r>
          </w:p>
        </w:tc>
        <w:tc>
          <w:tcPr>
            <w:tcW w:w="235"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shd w:fill="4DC1E4" w:val="clear"/>
            <w:tcMar>
              <w:bottom w:w="60" w:type="dxa"/>
            </w:tcMar>
            <w:vAlign w:val="bottom"/>
          </w:tcPr>
          <w:p>
            <w:pPr>
              <w:pStyle w:val="TableContents"/>
              <w:bidi w:val="0"/>
              <w:spacing w:before="0" w:after="283"/>
              <w:jc w:val="center"/>
              <w:rPr>
                <w:b/>
                <w:color w:val="FFFFFF"/>
              </w:rPr>
            </w:pPr>
            <w:r>
              <w:rPr>
                <w:b/>
                <w:color w:val="FFFFFF"/>
              </w:rPr>
              <w:t>O</w:t>
            </w:r>
            <w:r>
              <w:rPr>
                <w:b/>
                <w:color w:val="FFFFFF"/>
                <w:sz w:val="14"/>
              </w:rPr>
              <w:t>PTION</w:t>
            </w:r>
            <w:r>
              <w:rPr>
                <w:b/>
                <w:color w:val="FFFFFF"/>
              </w:rPr>
              <w:br/>
              <w:t>E</w:t>
            </w:r>
            <w:r>
              <w:rPr>
                <w:b/>
                <w:color w:val="FFFFFF"/>
                <w:sz w:val="14"/>
              </w:rPr>
              <w:t>XERCISE</w:t>
            </w:r>
            <w:r>
              <w:rPr>
                <w:b/>
                <w:color w:val="FFFFFF"/>
              </w:rPr>
              <w:br/>
              <w:t>P</w:t>
            </w:r>
            <w:r>
              <w:rPr>
                <w:b/>
                <w:color w:val="FFFFFF"/>
                <w:sz w:val="14"/>
              </w:rPr>
              <w:t>RICE</w:t>
            </w:r>
            <w:r>
              <w:rPr>
                <w:b/>
                <w:color w:val="FFFFFF"/>
              </w:rPr>
              <w:t xml:space="preserve"> ($)</w:t>
            </w:r>
          </w:p>
        </w:tc>
        <w:tc>
          <w:tcPr>
            <w:tcW w:w="153"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shd w:fill="4DC1E4" w:val="clear"/>
            <w:tcMar>
              <w:bottom w:w="60" w:type="dxa"/>
              <w:right w:w="28" w:type="dxa"/>
            </w:tcMar>
            <w:vAlign w:val="bottom"/>
          </w:tcPr>
          <w:p>
            <w:pPr>
              <w:pStyle w:val="TableContents"/>
              <w:bidi w:val="0"/>
              <w:spacing w:before="0" w:after="283"/>
              <w:jc w:val="center"/>
              <w:rPr>
                <w:b/>
                <w:color w:val="FFFFFF"/>
              </w:rPr>
            </w:pPr>
            <w:r>
              <w:rPr>
                <w:b/>
                <w:color w:val="FFFFFF"/>
              </w:rPr>
              <w:t>O</w:t>
            </w:r>
            <w:r>
              <w:rPr>
                <w:b/>
                <w:color w:val="FFFFFF"/>
                <w:sz w:val="14"/>
              </w:rPr>
              <w:t>PTION</w:t>
            </w:r>
            <w:r>
              <w:rPr>
                <w:b/>
                <w:color w:val="FFFFFF"/>
              </w:rPr>
              <w:br/>
              <w:t>E</w:t>
            </w:r>
            <w:r>
              <w:rPr>
                <w:b/>
                <w:color w:val="FFFFFF"/>
                <w:sz w:val="14"/>
              </w:rPr>
              <w:t>XPIRATION </w:t>
            </w:r>
            <w:r>
              <w:rPr>
                <w:b/>
                <w:color w:val="FFFFFF"/>
              </w:rPr>
              <w:br/>
              <w:t>D</w:t>
            </w:r>
            <w:r>
              <w:rPr>
                <w:b/>
                <w:color w:val="FFFFFF"/>
                <w:sz w:val="14"/>
              </w:rPr>
              <w:t>ATE</w:t>
            </w:r>
            <w:r>
              <w:rPr>
                <w:b/>
                <w:color w:val="FFFFFF"/>
              </w:rPr>
              <w:t xml:space="preserve"> </w:t>
            </w:r>
          </w:p>
        </w:tc>
        <w:tc>
          <w:tcPr>
            <w:tcW w:w="153"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shd w:fill="4DC1E4" w:val="clear"/>
            <w:tcMar>
              <w:bottom w:w="60" w:type="dxa"/>
            </w:tcMar>
            <w:vAlign w:val="bottom"/>
          </w:tcPr>
          <w:p>
            <w:pPr>
              <w:pStyle w:val="TableContents"/>
              <w:bidi w:val="0"/>
              <w:spacing w:before="0" w:after="283"/>
              <w:jc w:val="center"/>
              <w:rPr>
                <w:b/>
                <w:color w:val="FFFFFF"/>
              </w:rPr>
            </w:pPr>
            <w:r>
              <w:rPr>
                <w:b/>
                <w:color w:val="FFFFFF"/>
              </w:rPr>
              <w:t>N</w:t>
            </w:r>
            <w:r>
              <w:rPr>
                <w:b/>
                <w:color w:val="FFFFFF"/>
                <w:sz w:val="14"/>
              </w:rPr>
              <w:t>UMBER</w:t>
            </w:r>
            <w:r>
              <w:rPr>
                <w:b/>
                <w:color w:val="FFFFFF"/>
              </w:rPr>
              <w:t> </w:t>
            </w:r>
            <w:r>
              <w:rPr>
                <w:b/>
                <w:color w:val="FFFFFF"/>
                <w:sz w:val="14"/>
              </w:rPr>
              <w:t>OF</w:t>
            </w:r>
            <w:r>
              <w:rPr>
                <w:b/>
                <w:color w:val="FFFFFF"/>
              </w:rPr>
              <w:br/>
              <w:t>S</w:t>
            </w:r>
            <w:r>
              <w:rPr>
                <w:b/>
                <w:color w:val="FFFFFF"/>
                <w:sz w:val="14"/>
              </w:rPr>
              <w:t>HARES</w:t>
            </w:r>
            <w:r>
              <w:rPr>
                <w:b/>
                <w:color w:val="FFFFFF"/>
              </w:rPr>
              <w:t xml:space="preserve"> </w:t>
            </w:r>
            <w:r>
              <w:rPr>
                <w:b/>
                <w:color w:val="FFFFFF"/>
                <w:sz w:val="14"/>
              </w:rPr>
              <w:t>OR</w:t>
            </w:r>
            <w:r>
              <w:rPr>
                <w:b/>
                <w:color w:val="FFFFFF"/>
              </w:rPr>
              <w:br/>
              <w:t>U</w:t>
            </w:r>
            <w:r>
              <w:rPr>
                <w:b/>
                <w:color w:val="FFFFFF"/>
                <w:sz w:val="14"/>
              </w:rPr>
              <w:t>NITS</w:t>
            </w:r>
            <w:r>
              <w:rPr>
                <w:b/>
                <w:color w:val="FFFFFF"/>
              </w:rPr>
              <w:t xml:space="preserve"> </w:t>
            </w:r>
            <w:r>
              <w:rPr>
                <w:b/>
                <w:color w:val="FFFFFF"/>
                <w:sz w:val="14"/>
              </w:rPr>
              <w:t>OF</w:t>
            </w:r>
            <w:r>
              <w:rPr>
                <w:b/>
                <w:color w:val="FFFFFF"/>
              </w:rPr>
              <w:br/>
              <w:t>S</w:t>
            </w:r>
            <w:r>
              <w:rPr>
                <w:b/>
                <w:color w:val="FFFFFF"/>
                <w:sz w:val="14"/>
              </w:rPr>
              <w:t>TOCK</w:t>
            </w:r>
            <w:r>
              <w:rPr>
                <w:b/>
                <w:color w:val="FFFFFF"/>
              </w:rPr>
              <w:t> T</w:t>
            </w:r>
            <w:r>
              <w:rPr>
                <w:b/>
                <w:color w:val="FFFFFF"/>
                <w:sz w:val="14"/>
              </w:rPr>
              <w:t>HAT</w:t>
            </w:r>
            <w:r>
              <w:rPr>
                <w:b/>
                <w:color w:val="FFFFFF"/>
              </w:rPr>
              <w:br/>
              <w:t>H</w:t>
            </w:r>
            <w:r>
              <w:rPr>
                <w:b/>
                <w:color w:val="FFFFFF"/>
                <w:sz w:val="14"/>
              </w:rPr>
              <w:t>AVE</w:t>
            </w:r>
            <w:r>
              <w:rPr>
                <w:b/>
                <w:color w:val="FFFFFF"/>
              </w:rPr>
              <w:t xml:space="preserve"> </w:t>
            </w:r>
            <w:r>
              <w:rPr>
                <w:b/>
                <w:color w:val="FFFFFF"/>
                <w:sz w:val="14"/>
              </w:rPr>
              <w:t>NOT</w:t>
            </w:r>
            <w:r>
              <w:rPr>
                <w:b/>
                <w:color w:val="FFFFFF"/>
              </w:rPr>
              <w:br/>
              <w:t>V</w:t>
            </w:r>
            <w:r>
              <w:rPr>
                <w:b/>
                <w:color w:val="FFFFFF"/>
                <w:sz w:val="14"/>
              </w:rPr>
              <w:t>ESTED</w:t>
            </w:r>
            <w:r>
              <w:rPr>
                <w:b/>
                <w:color w:val="FFFFFF"/>
              </w:rPr>
              <w:t xml:space="preserve"> (#)</w:t>
            </w:r>
          </w:p>
        </w:tc>
        <w:tc>
          <w:tcPr>
            <w:tcW w:w="235"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shd w:fill="4DC1E4" w:val="clear"/>
            <w:tcMar>
              <w:bottom w:w="60" w:type="dxa"/>
              <w:right w:w="40" w:type="dxa"/>
            </w:tcMar>
            <w:vAlign w:val="bottom"/>
          </w:tcPr>
          <w:p>
            <w:pPr>
              <w:pStyle w:val="TableContents"/>
              <w:bidi w:val="0"/>
              <w:spacing w:before="0" w:after="283"/>
              <w:jc w:val="center"/>
              <w:rPr>
                <w:b/>
                <w:color w:val="FFFFFF"/>
              </w:rPr>
            </w:pPr>
            <w:r>
              <w:rPr>
                <w:b/>
                <w:color w:val="FFFFFF"/>
              </w:rPr>
              <w:t>M</w:t>
            </w:r>
            <w:r>
              <w:rPr>
                <w:b/>
                <w:color w:val="FFFFFF"/>
                <w:sz w:val="14"/>
              </w:rPr>
              <w:t>ARKET</w:t>
            </w:r>
            <w:r>
              <w:rPr>
                <w:b/>
                <w:color w:val="FFFFFF"/>
              </w:rPr>
              <w:br/>
              <w:t>V</w:t>
            </w:r>
            <w:r>
              <w:rPr>
                <w:b/>
                <w:color w:val="FFFFFF"/>
                <w:sz w:val="14"/>
              </w:rPr>
              <w:t>ALUE</w:t>
            </w:r>
            <w:r>
              <w:rPr>
                <w:b/>
                <w:color w:val="FFFFFF"/>
              </w:rPr>
              <w:t xml:space="preserve">  </w:t>
            </w:r>
            <w:r>
              <w:rPr>
                <w:b/>
                <w:color w:val="FFFFFF"/>
                <w:sz w:val="14"/>
              </w:rPr>
              <w:t>OF</w:t>
            </w:r>
            <w:r>
              <w:rPr>
                <w:b/>
                <w:color w:val="FFFFFF"/>
              </w:rPr>
              <w:br/>
              <w:t>S</w:t>
            </w:r>
            <w:r>
              <w:rPr>
                <w:b/>
                <w:color w:val="FFFFFF"/>
                <w:sz w:val="14"/>
              </w:rPr>
              <w:t>HARES</w:t>
            </w:r>
            <w:r>
              <w:rPr>
                <w:b/>
                <w:color w:val="FFFFFF"/>
              </w:rPr>
              <w:t> </w:t>
            </w:r>
            <w:r>
              <w:rPr>
                <w:b/>
                <w:color w:val="FFFFFF"/>
                <w:sz w:val="14"/>
              </w:rPr>
              <w:t>OR </w:t>
            </w:r>
            <w:r>
              <w:rPr>
                <w:b/>
                <w:color w:val="FFFFFF"/>
              </w:rPr>
              <w:br/>
              <w:t>U</w:t>
            </w:r>
            <w:r>
              <w:rPr>
                <w:b/>
                <w:color w:val="FFFFFF"/>
                <w:sz w:val="14"/>
              </w:rPr>
              <w:t>NITS</w:t>
            </w:r>
            <w:r>
              <w:rPr>
                <w:b/>
                <w:color w:val="FFFFFF"/>
              </w:rPr>
              <w:t xml:space="preserve"> </w:t>
            </w:r>
            <w:r>
              <w:rPr>
                <w:b/>
                <w:color w:val="FFFFFF"/>
                <w:sz w:val="14"/>
              </w:rPr>
              <w:t>OF</w:t>
            </w:r>
            <w:r>
              <w:rPr>
                <w:b/>
                <w:color w:val="FFFFFF"/>
              </w:rPr>
              <w:br/>
              <w:t>S</w:t>
            </w:r>
            <w:r>
              <w:rPr>
                <w:b/>
                <w:color w:val="FFFFFF"/>
                <w:sz w:val="14"/>
              </w:rPr>
              <w:t>TOCK</w:t>
            </w:r>
            <w:r>
              <w:rPr>
                <w:b/>
                <w:color w:val="FFFFFF"/>
              </w:rPr>
              <w:t> T</w:t>
            </w:r>
            <w:r>
              <w:rPr>
                <w:b/>
                <w:color w:val="FFFFFF"/>
                <w:sz w:val="14"/>
              </w:rPr>
              <w:t>HAT </w:t>
            </w:r>
            <w:r>
              <w:rPr>
                <w:b/>
                <w:color w:val="FFFFFF"/>
              </w:rPr>
              <w:br/>
              <w:t>H</w:t>
            </w:r>
            <w:r>
              <w:rPr>
                <w:b/>
                <w:color w:val="FFFFFF"/>
                <w:sz w:val="14"/>
              </w:rPr>
              <w:t>AVE</w:t>
            </w:r>
            <w:r>
              <w:rPr>
                <w:b/>
                <w:color w:val="FFFFFF"/>
              </w:rPr>
              <w:t xml:space="preserve"> N</w:t>
            </w:r>
            <w:r>
              <w:rPr>
                <w:b/>
                <w:color w:val="FFFFFF"/>
                <w:sz w:val="14"/>
              </w:rPr>
              <w:t>OT</w:t>
            </w:r>
            <w:r>
              <w:rPr>
                <w:b/>
                <w:color w:val="FFFFFF"/>
              </w:rPr>
              <w:br/>
              <w:t>V</w:t>
            </w:r>
            <w:r>
              <w:rPr>
                <w:b/>
                <w:color w:val="FFFFFF"/>
                <w:sz w:val="14"/>
              </w:rPr>
              <w:t>ESTED</w:t>
            </w:r>
            <w:r>
              <w:rPr>
                <w:b/>
                <w:color w:val="FFFFFF"/>
              </w:rPr>
              <w:t xml:space="preserve"> ($)(3)</w:t>
            </w:r>
          </w:p>
        </w:tc>
      </w:tr>
      <w:tr>
        <w:trPr/>
        <w:tc>
          <w:tcPr>
            <w:tcW w:w="1726"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b/>
                <w:sz w:val="18"/>
              </w:rPr>
            </w:pPr>
            <w:r>
              <w:rPr>
                <w:rFonts w:ascii="Times New Roman" w:hAnsi="Times New Roman"/>
                <w:b/>
                <w:sz w:val="18"/>
              </w:rPr>
              <w:t>Carole S. Ben-Maimon, M.D.</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tcPr>
          <w:p>
            <w:pPr>
              <w:pStyle w:val="TableContents"/>
              <w:bidi w:val="0"/>
              <w:spacing w:before="0" w:after="283"/>
              <w:jc w:val="center"/>
              <w:rPr/>
            </w:pPr>
            <w:r>
              <w:rPr/>
              <w:t>4/10/2017</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tcPr>
          <w:p>
            <w:pPr>
              <w:pStyle w:val="TableContents"/>
              <w:bidi w:val="0"/>
              <w:spacing w:before="0" w:after="283"/>
              <w:jc w:val="center"/>
              <w:rPr/>
            </w:pPr>
            <w:r>
              <w:rPr/>
              <w:t>61,419</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tcPr>
          <w:p>
            <w:pPr>
              <w:pStyle w:val="TableContents"/>
              <w:bidi w:val="0"/>
              <w:spacing w:before="0" w:after="283"/>
              <w:jc w:val="center"/>
              <w:rPr/>
            </w:pPr>
            <w:r>
              <w:rPr/>
              <w:t>11.73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tcPr>
          <w:p>
            <w:pPr>
              <w:pStyle w:val="TableContents"/>
              <w:bidi w:val="0"/>
              <w:spacing w:before="0" w:after="283"/>
              <w:jc w:val="center"/>
              <w:rPr/>
            </w:pPr>
            <w:r>
              <w:rPr/>
              <w:t>4/10/2027</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5/28/2019</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133,140</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11.73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5/28/2029</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9/29/2020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351,404</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59,996</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11.90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7/16/2030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1/19/2021</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77,802</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28,898</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19.61</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1/19/2031</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1/18/2022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87,208</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94,792</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8.75</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1/18/2032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5/10/2022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15,833</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24,167</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2.92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5/10/2032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tcPr>
          <w:p>
            <w:pPr>
              <w:pStyle w:val="TableContents"/>
              <w:bidi w:val="0"/>
              <w:spacing w:before="0" w:after="283"/>
              <w:jc w:val="center"/>
              <w:rPr/>
            </w:pPr>
            <w:r>
              <w:rPr/>
              <w:t>1/31/2023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tcPr>
          <w:p>
            <w:pPr>
              <w:pStyle w:val="TableContents"/>
              <w:bidi w:val="0"/>
              <w:spacing w:before="0" w:after="283"/>
              <w:jc w:val="center"/>
              <w:rPr/>
            </w:pPr>
            <w:r>
              <w:rPr/>
              <w:t>325,000</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tcPr>
          <w:p>
            <w:pPr>
              <w:pStyle w:val="TableContents"/>
              <w:bidi w:val="0"/>
              <w:spacing w:before="0" w:after="283"/>
              <w:jc w:val="center"/>
              <w:rPr/>
            </w:pPr>
            <w:r>
              <w:rPr/>
              <w:t>4.94</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tcPr>
          <w:p>
            <w:pPr>
              <w:pStyle w:val="TableContents"/>
              <w:bidi w:val="0"/>
              <w:spacing w:before="0" w:after="283"/>
              <w:jc w:val="center"/>
              <w:rPr/>
            </w:pPr>
            <w:r>
              <w:rPr/>
              <w:t>1/31/2033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tcPr>
          <w:p>
            <w:pPr>
              <w:pStyle w:val="TableContents"/>
              <w:bidi w:val="0"/>
              <w:spacing w:before="0" w:after="283"/>
              <w:jc w:val="center"/>
              <w:rPr/>
            </w:pPr>
            <w:r>
              <w:rPr/>
              <w:t>205,000</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tcPr>
          <w:p>
            <w:pPr>
              <w:pStyle w:val="TableContents"/>
              <w:bidi w:val="0"/>
              <w:spacing w:before="0" w:after="283"/>
              <w:jc w:val="center"/>
              <w:rPr/>
            </w:pPr>
            <w:r>
              <w:rPr/>
              <w:t>932,750</w:t>
            </w:r>
          </w:p>
        </w:tc>
      </w:tr>
      <w:tr>
        <w:trPr/>
        <w:tc>
          <w:tcPr>
            <w:tcW w:w="1726"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b/>
                <w:sz w:val="18"/>
              </w:rPr>
            </w:pPr>
            <w:r>
              <w:rPr>
                <w:rFonts w:ascii="Times New Roman" w:hAnsi="Times New Roman"/>
                <w:b/>
                <w:sz w:val="18"/>
              </w:rPr>
              <w:t>Michael Celano</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5/28/2020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54,179</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6,300</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11.88</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5/27/2030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9/29/2020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71,835</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12,265</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11.90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7/16/2030</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1/19/2021</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30,625</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11,375</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19.61</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1/19/2031</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1/18/2022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38,333</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41,667</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8.75</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1/18/2032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5/10/2022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7,916</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12,084</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2.92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5/10/2032</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w:t>
            </w:r>
          </w:p>
        </w:tc>
      </w:tr>
      <w:tr>
        <w:trPr/>
        <w:tc>
          <w:tcPr>
            <w:tcW w:w="1726"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vAlign w:val="bottom"/>
          </w:tcPr>
          <w:p>
            <w:pPr>
              <w:pStyle w:val="TableContents"/>
              <w:bidi w:val="0"/>
              <w:spacing w:before="0" w:after="283"/>
              <w:jc w:val="center"/>
              <w:rPr/>
            </w:pPr>
            <w:r>
              <w:rPr/>
              <w:t>1/31/2023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vAlign w:val="bottom"/>
          </w:tcPr>
          <w:p>
            <w:pPr>
              <w:pStyle w:val="TableContents"/>
              <w:bidi w:val="0"/>
              <w:spacing w:before="0" w:after="283"/>
              <w:jc w:val="center"/>
              <w:rPr/>
            </w:pPr>
            <w:r>
              <w:rPr/>
              <w:t>120,000</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vAlign w:val="bottom"/>
          </w:tcPr>
          <w:p>
            <w:pPr>
              <w:pStyle w:val="TableContents"/>
              <w:bidi w:val="0"/>
              <w:spacing w:before="0" w:after="283"/>
              <w:jc w:val="center"/>
              <w:rPr/>
            </w:pPr>
            <w:r>
              <w:rPr/>
              <w:t>4.94</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1/31/2033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vAlign w:val="bottom"/>
          </w:tcPr>
          <w:p>
            <w:pPr>
              <w:pStyle w:val="TableContents"/>
              <w:bidi w:val="0"/>
              <w:spacing w:before="0" w:after="283"/>
              <w:jc w:val="center"/>
              <w:rPr/>
            </w:pPr>
            <w:r>
              <w:rPr/>
              <w:t>76,000</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vAlign w:val="bottom"/>
          </w:tcPr>
          <w:p>
            <w:pPr>
              <w:pStyle w:val="TableContents"/>
              <w:bidi w:val="0"/>
              <w:spacing w:before="0" w:after="283"/>
              <w:jc w:val="center"/>
              <w:rPr/>
            </w:pPr>
            <w:r>
              <w:rPr/>
              <w:t>345,800</w:t>
            </w:r>
          </w:p>
        </w:tc>
      </w:tr>
      <w:tr>
        <w:trPr/>
        <w:tc>
          <w:tcPr>
            <w:tcW w:w="1726" w:type="dxa"/>
            <w:tcBorders>
              <w:left w:val="single" w:sz="2" w:space="0" w:color="000000"/>
              <w:bottom w:val="single" w:sz="2" w:space="0" w:color="000000"/>
              <w:right w:val="single" w:sz="2" w:space="0" w:color="000000"/>
            </w:tcBorders>
            <w:tcMar>
              <w:left w:w="160" w:type="dxa"/>
              <w:bottom w:w="40" w:type="dxa"/>
              <w:right w:w="28" w:type="dxa"/>
            </w:tcMar>
          </w:tcPr>
          <w:p>
            <w:pPr>
              <w:pStyle w:val="TableContents"/>
              <w:bidi w:val="0"/>
              <w:spacing w:before="0" w:after="0"/>
              <w:jc w:val="left"/>
              <w:rPr>
                <w:rFonts w:ascii="Times New Roman" w:hAnsi="Times New Roman"/>
                <w:b/>
                <w:sz w:val="18"/>
              </w:rPr>
            </w:pPr>
            <w:r>
              <w:rPr>
                <w:rFonts w:ascii="Times New Roman" w:hAnsi="Times New Roman"/>
                <w:b/>
                <w:sz w:val="18"/>
              </w:rPr>
              <w:t>Gopi Shankar, Ph.D., MBA, FAAPS</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654" w:type="dxa"/>
            <w:tcBorders>
              <w:bottom w:val="single" w:sz="2" w:space="0" w:color="000000"/>
            </w:tcBorders>
            <w:tcMar>
              <w:bottom w:w="40" w:type="dxa"/>
            </w:tcMar>
          </w:tcPr>
          <w:p>
            <w:pPr>
              <w:pStyle w:val="TableContents"/>
              <w:bidi w:val="0"/>
              <w:spacing w:before="0" w:after="283"/>
              <w:jc w:val="center"/>
              <w:rPr/>
            </w:pPr>
            <w:r>
              <w:rPr/>
              <w:t>2/07/2023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260" w:type="dxa"/>
            <w:tcBorders>
              <w:bottom w:val="single" w:sz="2" w:space="0" w:color="000000"/>
            </w:tcBorders>
            <w:tcMar>
              <w:bottom w:w="40" w:type="dxa"/>
            </w:tcMar>
          </w:tcPr>
          <w:p>
            <w:pPr>
              <w:pStyle w:val="TableContents"/>
              <w:bidi w:val="0"/>
              <w:spacing w:before="0" w:after="283"/>
              <w:jc w:val="center"/>
              <w:rPr/>
            </w:pPr>
            <w:r>
              <w:rPr/>
              <w:t>180,000</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786" w:type="dxa"/>
            <w:tcBorders>
              <w:bottom w:val="single" w:sz="2" w:space="0" w:color="000000"/>
            </w:tcBorders>
            <w:tcMar>
              <w:bottom w:w="40" w:type="dxa"/>
            </w:tcMar>
          </w:tcPr>
          <w:p>
            <w:pPr>
              <w:pStyle w:val="TableContents"/>
              <w:bidi w:val="0"/>
              <w:spacing w:before="0" w:after="283"/>
              <w:jc w:val="center"/>
              <w:rPr/>
            </w:pPr>
            <w:r>
              <w:rPr/>
              <w:t>5.88</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1" w:type="dxa"/>
            <w:tcBorders>
              <w:bottom w:val="single" w:sz="2" w:space="0" w:color="000000"/>
              <w:right w:val="single" w:sz="2" w:space="0" w:color="000000"/>
            </w:tcBorders>
            <w:tcMar>
              <w:bottom w:w="40" w:type="dxa"/>
              <w:right w:w="28" w:type="dxa"/>
            </w:tcMar>
          </w:tcPr>
          <w:p>
            <w:pPr>
              <w:pStyle w:val="TableContents"/>
              <w:bidi w:val="0"/>
              <w:spacing w:before="0" w:after="283"/>
              <w:jc w:val="center"/>
              <w:rPr/>
            </w:pPr>
            <w:r>
              <w:rPr/>
              <w:t>2/07/2033</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tcBorders>
              <w:bottom w:val="single" w:sz="2" w:space="0" w:color="000000"/>
            </w:tcBorders>
            <w:tcMar>
              <w:bottom w:w="40" w:type="dxa"/>
            </w:tcMar>
          </w:tcPr>
          <w:p>
            <w:pPr>
              <w:pStyle w:val="TableContents"/>
              <w:bidi w:val="0"/>
              <w:spacing w:before="0" w:after="283"/>
              <w:jc w:val="center"/>
              <w:rPr/>
            </w:pPr>
            <w:r>
              <w:rPr/>
              <w:t></w:t>
            </w:r>
          </w:p>
        </w:tc>
        <w:tc>
          <w:tcPr>
            <w:tcW w:w="235"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40" w:type="dxa"/>
              <w:right w:w="28" w:type="dxa"/>
            </w:tcMar>
          </w:tcPr>
          <w:p>
            <w:pPr>
              <w:pStyle w:val="TableContents"/>
              <w:bidi w:val="0"/>
              <w:spacing w:before="0" w:after="283"/>
              <w:jc w:val="center"/>
              <w:rPr/>
            </w:pP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(1)</w:t>
            </w:r>
          </w:p>
        </w:tc>
        <w:tc>
          <w:tcPr>
            <w:tcW w:w="94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These options each generally vest as follows: 25% on the first anniversary of the grant date, with the remaining 75% vesting in equal monthly installments over the following 36 calendar months, subject to the grantees continued service through the relevant vesting date (and in the case of Mr. Celanos May 28, 2020 award, subject to accelerated vesting upon certain termination events). </w:t>
            </w:r>
          </w:p>
        </w:tc>
      </w:tr>
    </w:tbl>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(2)</w:t>
            </w:r>
          </w:p>
        </w:tc>
        <w:tc>
          <w:tcPr>
            <w:tcW w:w="94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These restricted stock unit awards vest in four equal annual installments beginning on the first anniversary of the grant date, subject to the grantees continued service through the relevant vesting date. </w:t>
            </w:r>
          </w:p>
        </w:tc>
      </w:tr>
    </w:tbl>
    <w:tbl>
      <w:tblPr>
        <w:tblW w:w="5000" w:type="pct"/>
        <w:jc w:val="left"/>
        <w:tblInd w:w="0" w:type="dxa"/>
        <w:tblLayout w:type="fixed"/>
        <w:tblCellMar>
          <w:top w:w="0" w:type="dxa"/>
          <w:left w:w="0" w:type="dxa"/>
          <w:bottom w:w="0" w:type="dxa"/>
          <w:right w:w="0" w:type="dxa"/>
        </w:tblCellMar>
      </w:tblPr>
      <w:tblGrid>
        <w:gridCol w:w="711"/>
        <w:gridCol w:w="9494"/>
      </w:tblGrid>
      <w:tr>
        <w:trPr/>
        <w:tc>
          <w:tcPr>
            <w:tcW w:w="711" w:type="dxa"/>
            <w:tcBorders/>
          </w:tcPr>
          <w:p>
            <w:pPr>
              <w:pStyle w:val="TableContents"/>
              <w:bidi w:val="0"/>
              <w:spacing w:before="0" w:after="283"/>
              <w:jc w:val="left"/>
              <w:rPr/>
            </w:pPr>
            <w:r>
              <w:rPr/>
              <w:t>(3)</w:t>
            </w:r>
          </w:p>
        </w:tc>
        <w:tc>
          <w:tcPr>
            <w:tcW w:w="94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on the closing price of $4.55 for our common stock on December 29, 2023, the last trading date of 2023.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39" w:name="summary636298_37"/>
      <w:bookmarkEnd w:id="39"/>
      <w:r>
        <w:rPr>
          <w:rFonts w:ascii="Times New Roman" w:hAnsi="Times New Roman"/>
          <w:b/>
          <w:sz w:val="20"/>
        </w:rPr>
        <w:t xml:space="preserve">EMPLOYMENT AGREEMENTS </w:t>
      </w:r>
    </w:p>
    <w:p>
      <w:pPr>
        <w:pStyle w:val="TextBody"/>
        <w:bidi w:val="0"/>
        <w:spacing w:before="200" w:after="0"/>
        <w:jc w:val="left"/>
        <w:rPr>
          <w:rFonts w:ascii="Times New Roman" w:hAnsi="Times New Roman"/>
          <w:sz w:val="20"/>
        </w:rPr>
      </w:pPr>
      <w:r>
        <w:rPr>
          <w:rFonts w:ascii="Times New Roman" w:hAnsi="Times New Roman"/>
          <w:sz w:val="20"/>
        </w:rPr>
        <w:t xml:space="preserve">We have entered into employment agreements with each of our named executive officers: </w:t>
      </w:r>
    </w:p>
    <w:p>
      <w:pPr>
        <w:pStyle w:val="TextBody"/>
        <w:bidi w:val="0"/>
        <w:spacing w:before="200" w:after="0"/>
        <w:jc w:val="both"/>
        <w:rPr>
          <w:rFonts w:ascii="Times New Roman" w:hAnsi="Times New Roman"/>
          <w:sz w:val="20"/>
        </w:rPr>
      </w:pPr>
      <w:r>
        <w:rPr>
          <w:rFonts w:ascii="Times New Roman" w:hAnsi="Times New Roman"/>
          <w:b/>
          <w:sz w:val="20"/>
        </w:rPr>
        <w:t>Employment Agreement with Carole S. Ben-Maimon, M.D.</w:t>
      </w:r>
      <w:r>
        <w:rPr>
          <w:rFonts w:ascii="Times New Roman" w:hAnsi="Times New Roman"/>
          <w:sz w:val="20"/>
        </w:rPr>
        <w:t xml:space="preserve"> We entered into an employment agreement with Dr. Ben-Maimon, as our President and Chief Executive Officer, on July 31, 2020 to supersede her employment agreement with Chondrial, dated December 1, 2016, and to otherwise establish the terms and conditions of Dr. Ben-Maimons employment by the Company. Pursuant to the terms of this agreement, Dr. Ben-Maimons initial annual base salary was $470,000 and her target annual bonus opportunity was, and remains at, not less than 50% of her base salary. </w:t>
      </w:r>
    </w:p>
    <w:p>
      <w:pPr>
        <w:pStyle w:val="TextBody"/>
        <w:bidi w:val="0"/>
        <w:spacing w:before="200" w:after="0"/>
        <w:jc w:val="both"/>
        <w:rPr>
          <w:rFonts w:ascii="Times New Roman" w:hAnsi="Times New Roman"/>
          <w:sz w:val="20"/>
        </w:rPr>
      </w:pPr>
      <w:r>
        <w:rPr>
          <w:rFonts w:ascii="Times New Roman" w:hAnsi="Times New Roman"/>
          <w:b/>
          <w:sz w:val="20"/>
        </w:rPr>
        <w:t>Employment Agreement with Michael Celano.</w:t>
      </w:r>
      <w:r>
        <w:rPr>
          <w:rFonts w:ascii="Times New Roman" w:hAnsi="Times New Roman"/>
          <w:sz w:val="20"/>
        </w:rPr>
        <w:t xml:space="preserve"> We entered into an employment agreement with Mr. Celano, as our Chief Financial Officer, on June 1, 2020. Mr. Celanos period of employment with the Company commenced on May 28, 2020. Pursuant to the terms of this agreement, Mr. Celanos initial annual base salary was $350,000 and his target annual bonus opportunity was not less than 35% of his base salary. The Compensation Committee increased this bonus opportunity percentage to 40% of base salary, effective January 1, 2022, and such target annual bonus opportunity remains at 40%. In connection with his hiring, on May 28, 2020, Mr. Celano received a stock option grant in respect of 60,479 shares of our common stock (the Initial Award), as further described in the table above entitled Outstanding Equity Awards at Fiscal 2023 Year-End. </w:t>
      </w:r>
    </w:p>
    <w:p>
      <w:pPr>
        <w:pStyle w:val="TextBody"/>
        <w:bidi w:val="0"/>
        <w:spacing w:before="200" w:after="0"/>
        <w:jc w:val="both"/>
        <w:rPr>
          <w:rFonts w:ascii="Times New Roman" w:hAnsi="Times New Roman"/>
          <w:sz w:val="20"/>
        </w:rPr>
      </w:pPr>
      <w:r>
        <w:rPr>
          <w:rFonts w:ascii="Times New Roman" w:hAnsi="Times New Roman"/>
          <w:b/>
          <w:sz w:val="20"/>
        </w:rPr>
        <w:t>Employment Agreement with Gopi Shankar, Ph.D., MBA, FAAPS.</w:t>
      </w:r>
      <w:r>
        <w:rPr>
          <w:rFonts w:ascii="Times New Roman" w:hAnsi="Times New Roman"/>
          <w:sz w:val="20"/>
        </w:rPr>
        <w:t xml:space="preserve"> We entered into an employment agreement with Dr. Shankar, as our Chief Development Officer, on February 7, 2023. Pursuant to the terms of this agreement, Dr. Shankars initial annual base salary was $425,000 and his target annual bonus opportunity was, and remains at, not less than 40% of his base salary. In connection with his hiring, on February 7, 2023, Dr. Shankar received a stock option grant in respect of 180,000 shares of our common stock, as further described in the table above entitled Outstanding Equity Awards at Fiscal 2023 Year-End. </w:t>
      </w:r>
    </w:p>
    <w:p>
      <w:pPr>
        <w:pStyle w:val="TextBody"/>
        <w:bidi w:val="0"/>
        <w:spacing w:before="200" w:after="0"/>
        <w:jc w:val="left"/>
        <w:rPr>
          <w:rFonts w:ascii="Times New Roman" w:hAnsi="Times New Roman"/>
          <w:b/>
          <w:sz w:val="20"/>
        </w:rPr>
      </w:pPr>
      <w:r>
        <w:rPr>
          <w:rFonts w:ascii="Times New Roman" w:hAnsi="Times New Roman"/>
          <w:b/>
          <w:sz w:val="20"/>
        </w:rPr>
        <w:t xml:space="preserve">Confidential Information and Invention Agreement </w:t>
      </w:r>
    </w:p>
    <w:p>
      <w:pPr>
        <w:pStyle w:val="TextBody"/>
        <w:bidi w:val="0"/>
        <w:spacing w:before="200" w:after="0"/>
        <w:jc w:val="both"/>
        <w:rPr>
          <w:rFonts w:ascii="Times New Roman" w:hAnsi="Times New Roman"/>
          <w:sz w:val="20"/>
        </w:rPr>
      </w:pPr>
      <w:r>
        <w:rPr>
          <w:rFonts w:ascii="Times New Roman" w:hAnsi="Times New Roman"/>
          <w:sz w:val="20"/>
        </w:rPr>
        <w:t xml:space="preserve">Each of Dr. Ben-Maimon, Mr. Celano and Dr. Shankar have also entered into a standard form agreement with respect to confidentiality of the Companys proprietary information and assignment of inventions. Among other things, this agreement obligates each of them to refrain from disclosing any of the Companys proprietary information and to assign to the Company inventions conceived or developed during the course of employment. Such agreement also provides that during the period of such officers employment and for one year thereafter, they will not compete with the Company and will not solicit the Companys employees, contractors, lenders, partners or suppliers. </w:t>
      </w:r>
    </w:p>
    <w:p>
      <w:pPr>
        <w:pStyle w:val="TextBody"/>
        <w:bidi w:val="0"/>
        <w:spacing w:before="200" w:after="0"/>
        <w:jc w:val="left"/>
        <w:rPr>
          <w:rFonts w:ascii="Times New Roman" w:hAnsi="Times New Roman"/>
          <w:b/>
          <w:sz w:val="20"/>
        </w:rPr>
      </w:pPr>
      <w:r>
        <w:rPr>
          <w:rFonts w:ascii="Times New Roman" w:hAnsi="Times New Roman"/>
          <w:b/>
          <w:sz w:val="20"/>
        </w:rPr>
        <w:t xml:space="preserve">Severance Rights </w:t>
      </w:r>
    </w:p>
    <w:p>
      <w:pPr>
        <w:pStyle w:val="TextBody"/>
        <w:bidi w:val="0"/>
        <w:spacing w:before="200" w:after="0"/>
        <w:jc w:val="both"/>
        <w:rPr>
          <w:rFonts w:ascii="Times New Roman" w:hAnsi="Times New Roman"/>
          <w:sz w:val="20"/>
        </w:rPr>
      </w:pPr>
      <w:r>
        <w:rPr>
          <w:rFonts w:ascii="Times New Roman" w:hAnsi="Times New Roman"/>
          <w:sz w:val="20"/>
        </w:rPr>
        <w:t xml:space="preserve">Each of Dr. Ben-Maimon, Mr. Celano and Dr. Shankars employment agreement provides that, in the event the executives employment with the Company ceases for any reason, he or she will be entitled to receive any accrued, unpaid base salary and reimbursement for expenses incurred by the executive, but not yet reimbursed, prior to the date of termination, in accordance with our expense reimbursement policies (the Accrued Rights). </w:t>
      </w:r>
    </w:p>
    <w:p>
      <w:pPr>
        <w:pStyle w:val="TextBody"/>
        <w:bidi w:val="0"/>
        <w:spacing w:before="200" w:after="0"/>
        <w:jc w:val="left"/>
        <w:rPr>
          <w:rFonts w:ascii="Times New Roman" w:hAnsi="Times New Roman"/>
          <w:sz w:val="20"/>
        </w:rPr>
      </w:pPr>
      <w:r>
        <w:rPr>
          <w:rFonts w:ascii="Times New Roman" w:hAnsi="Times New Roman"/>
          <w:sz w:val="20"/>
        </w:rPr>
        <w:t xml:space="preserve">If the executives employment is terminated without cause or they resign with good reason, then in addition to the Accrued Rights, such executive will be entitled to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payment of any earned, unpaid bonus for the immediately preceding calendar year (the Prior Year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monthly severance payments for a period of twelve months, in the case of Dr. Ben-Maimon, and nine months, in the case of Mr. Celano and Dr. Shankar, with each payment equal to one-twelfth of their then in effect base salary;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waiver or reimbursement of the premiums for continuation of group health coverage under the Consolidated Omnibus Budget Reconciliation Act (COBRA) for twelve months, in the case of Dr. Ben-Maimon, and nine months, in the case of Mr. Celano and Dr. Shankar;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the case of Mr. Celano, accelerated vesting of any portion of his Initial Award that then remains outstanding and otherwise unvested.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However, if the executives employment is terminated without cause or the executive resigns with good reason within one year following a change in control, then in lieu of the severance payments and benefits described above, he or she would instead receive: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Prior Year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monthly severance payments for eighteen months, in the case of Dr. Ben-Maimon, and twelve months, in the case of Mr. Celano and Dr. Shankar, with each payment equal to one-twelfth the sum of the executives then in effect base salary and then in effect target annual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waiver or reimbursement of the premiums for continuation of their group health coverage under COBRA for eighteen months, in the case of Dr. Ben-Maimon, and twelve months, in the case of Mr. Celano and Dr. Shankar;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the case of Mr. Celano, accelerated vesting of any portion of his Initial Award that then remains outstanding and otherwise unvested. </w:t>
            </w:r>
          </w:p>
        </w:tc>
      </w:tr>
    </w:tbl>
    <w:p>
      <w:pPr>
        <w:pStyle w:val="TextBody"/>
        <w:bidi w:val="0"/>
        <w:spacing w:before="200" w:after="0"/>
        <w:jc w:val="both"/>
        <w:rPr>
          <w:rFonts w:ascii="Times New Roman" w:hAnsi="Times New Roman"/>
          <w:sz w:val="20"/>
        </w:rPr>
      </w:pPr>
      <w:r>
        <w:rPr>
          <w:rFonts w:ascii="Times New Roman" w:hAnsi="Times New Roman"/>
          <w:sz w:val="20"/>
        </w:rPr>
        <w:t xml:space="preserve">In each case, the severance payments are conditioned on the executives execution and delivery of a general release of claims against the Company and its affiliates in a form prescribed by the Company and on such release becoming irrevocable within 30 days following the executives cessation of employment. </w:t>
      </w:r>
    </w:p>
    <w:p>
      <w:pPr>
        <w:pStyle w:val="TextBody"/>
        <w:bidi w:val="0"/>
        <w:spacing w:before="200" w:after="0"/>
        <w:jc w:val="both"/>
        <w:rPr>
          <w:rFonts w:ascii="Times New Roman" w:hAnsi="Times New Roman"/>
          <w:sz w:val="20"/>
        </w:rPr>
      </w:pPr>
      <w:r>
        <w:rPr>
          <w:rFonts w:ascii="Times New Roman" w:hAnsi="Times New Roman"/>
          <w:sz w:val="20"/>
        </w:rPr>
        <w:t xml:space="preserve">As required by Item 402(v) of Regulation S-K, we are providing the following information about the relationship between executive compensation actually paid to our principal executive officer and other named executive officers (as calculated in accordance with Item 402(v) of Regulation S-K) and certain financial performance measures for each of the last three completed fiscal years. </w:t>
      </w:r>
    </w:p>
    <w:p>
      <w:pPr>
        <w:pStyle w:val="TextBody"/>
        <w:bidi w:val="0"/>
        <w:spacing w:before="200" w:after="0"/>
        <w:jc w:val="left"/>
        <w:rPr>
          <w:rFonts w:ascii="Times New Roman" w:hAnsi="Times New Roman"/>
          <w:b/>
          <w:sz w:val="20"/>
        </w:rPr>
      </w:pPr>
      <w:bookmarkStart w:id="40" w:name="summary636298_38"/>
      <w:bookmarkEnd w:id="40"/>
      <w:r>
        <w:rPr>
          <w:rFonts w:ascii="Times New Roman" w:hAnsi="Times New Roman"/>
          <w:b/>
          <w:sz w:val="20"/>
        </w:rPr>
        <w:t xml:space="preserve">PAY VERSUS PERFORMANCE </w:t>
      </w:r>
    </w:p>
    <w:p>
      <w:pPr>
        <w:pStyle w:val="TextBody"/>
        <w:bidi w:val="0"/>
        <w:spacing w:before="120" w:after="0"/>
        <w:jc w:val="both"/>
        <w:rPr>
          <w:rFonts w:ascii="Times New Roman" w:hAnsi="Times New Roman"/>
          <w:sz w:val="20"/>
        </w:rPr>
      </w:pPr>
      <w:r>
        <w:rPr>
          <w:rFonts w:ascii="Times New Roman" w:hAnsi="Times New Roman"/>
          <w:sz w:val="20"/>
        </w:rPr>
        <w:t xml:space="preserve">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w:t>
      </w:r>
    </w:p>
    <w:p>
      <w:pPr>
        <w:pStyle w:val="TextBody"/>
        <w:bidi w:val="0"/>
        <w:spacing w:before="0" w:after="0"/>
        <w:jc w:val="left"/>
        <w:rPr/>
      </w:pPr>
      <w:r>
        <w:rPr/>
        <w:t> </w:t>
      </w:r>
    </w:p>
    <w:tbl>
      <w:tblPr>
        <w:tblW w:w="4700" w:type="pct"/>
        <w:jc w:val="right"/>
        <w:tblInd w:w="0" w:type="dxa"/>
        <w:tblLayout w:type="fixed"/>
        <w:tblCellMar>
          <w:top w:w="0" w:type="dxa"/>
          <w:left w:w="0" w:type="dxa"/>
          <w:bottom w:w="0" w:type="dxa"/>
          <w:right w:w="0" w:type="dxa"/>
        </w:tblCellMar>
      </w:tblPr>
      <w:tblGrid>
        <w:gridCol w:w="499"/>
        <w:gridCol w:w="91"/>
        <w:gridCol w:w="1164"/>
        <w:gridCol w:w="91"/>
        <w:gridCol w:w="1535"/>
        <w:gridCol w:w="91"/>
        <w:gridCol w:w="1598"/>
        <w:gridCol w:w="91"/>
        <w:gridCol w:w="1535"/>
        <w:gridCol w:w="91"/>
        <w:gridCol w:w="1318"/>
        <w:gridCol w:w="91"/>
        <w:gridCol w:w="1184"/>
        <w:gridCol w:w="133"/>
        <w:gridCol w:w="80"/>
      </w:tblGrid>
      <w:tr>
        <w:trPr/>
        <w:tc>
          <w:tcPr>
            <w:tcW w:w="499"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499" w:type="dxa"/>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c>
          <w:tcPr>
            <w:tcW w:w="1255"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626"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689"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626"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409"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275" w:type="dxa"/>
            <w:gridSpan w:val="2"/>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213" w:type="dxa"/>
            <w:gridSpan w:val="2"/>
            <w:tcBorders/>
            <w:vAlign w:val="center"/>
          </w:tcPr>
          <w:p>
            <w:pPr>
              <w:pStyle w:val="TableContents"/>
              <w:bidi w:val="0"/>
              <w:spacing w:before="0" w:after="283"/>
              <w:jc w:val="left"/>
              <w:rPr>
                <w:sz w:val="4"/>
                <w:szCs w:val="4"/>
              </w:rPr>
            </w:pPr>
            <w:r>
              <w:rPr>
                <w:sz w:val="4"/>
                <w:szCs w:val="4"/>
              </w:rPr>
            </w:r>
          </w:p>
        </w:tc>
      </w:tr>
      <w:tr>
        <w:trPr/>
        <w:tc>
          <w:tcPr>
            <w:tcW w:w="499" w:type="dxa"/>
            <w:tcBorders>
              <w:left w:val="single" w:sz="2" w:space="0" w:color="000000"/>
              <w:bottom w:val="single" w:sz="2" w:space="0" w:color="000000"/>
              <w:right w:val="single" w:sz="2" w:space="0" w:color="000000"/>
            </w:tcBorders>
            <w:shd w:fill="4DC1E4" w:val="clear"/>
            <w:tcMar>
              <w:left w:w="160" w:type="dxa"/>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w:t>
            </w:r>
          </w:p>
          <w:p>
            <w:pPr>
              <w:pStyle w:val="TableContents"/>
              <w:bidi w:val="0"/>
              <w:spacing w:before="0" w:after="20"/>
              <w:jc w:val="left"/>
              <w:rPr/>
            </w:pPr>
            <w:r>
              <w:rPr/>
              <w:t> </w:t>
            </w:r>
          </w:p>
        </w:tc>
        <w:tc>
          <w:tcPr>
            <w:tcW w:w="9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64" w:type="dxa"/>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Summary</w:t>
              <w:br/>
              <w:t>Compensation</w:t>
              <w:br/>
              <w:t>Table Total</w:t>
              <w:br/>
              <w:t>for PEO (1)</w:t>
            </w:r>
          </w:p>
          <w:p>
            <w:pPr>
              <w:pStyle w:val="TableContents"/>
              <w:bidi w:val="0"/>
              <w:spacing w:before="0" w:after="20"/>
              <w:jc w:val="left"/>
              <w:rPr/>
            </w:pPr>
            <w:r>
              <w:rPr/>
              <w:t> </w:t>
            </w:r>
          </w:p>
        </w:tc>
        <w:tc>
          <w:tcPr>
            <w:tcW w:w="9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283"/>
              <w:jc w:val="center"/>
              <w:rPr>
                <w:b/>
                <w:color w:val="FFFFFF"/>
              </w:rPr>
            </w:pPr>
            <w:r>
              <w:rPr>
                <w:b/>
                <w:color w:val="FFFFFF"/>
              </w:rPr>
              <w:t>Compensation</w:t>
              <w:br/>
              <w:t>Actually Paid</w:t>
              <w:br/>
              <w:t>to PEO (2)</w:t>
            </w:r>
          </w:p>
        </w:tc>
        <w:tc>
          <w:tcPr>
            <w:tcW w:w="9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598" w:type="dxa"/>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283"/>
              <w:jc w:val="center"/>
              <w:rPr>
                <w:b/>
                <w:color w:val="FFFFFF"/>
              </w:rPr>
            </w:pPr>
            <w:r>
              <w:rPr>
                <w:b/>
                <w:color w:val="FFFFFF"/>
              </w:rPr>
              <w:t>Average</w:t>
              <w:br/>
              <w:t>Summary</w:t>
              <w:br/>
              <w:t>Compensation</w:t>
              <w:br/>
              <w:t>Table Total for</w:t>
              <w:br/>
              <w:t>Non-PEO</w:t>
              <w:br/>
              <w:t>NEOs (3)</w:t>
            </w:r>
          </w:p>
        </w:tc>
        <w:tc>
          <w:tcPr>
            <w:tcW w:w="9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283"/>
              <w:jc w:val="center"/>
              <w:rPr>
                <w:b/>
                <w:color w:val="FFFFFF"/>
              </w:rPr>
            </w:pPr>
            <w:r>
              <w:rPr>
                <w:b/>
                <w:color w:val="FFFFFF"/>
              </w:rPr>
              <w:t>Average</w:t>
              <w:br/>
              <w:t>Compensation</w:t>
              <w:br/>
              <w:t>Actually Paid</w:t>
              <w:br/>
              <w:t>to Non-PEO</w:t>
              <w:br/>
              <w:t>NEOs (4)</w:t>
            </w:r>
          </w:p>
        </w:tc>
        <w:tc>
          <w:tcPr>
            <w:tcW w:w="9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318" w:type="dxa"/>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283"/>
              <w:jc w:val="center"/>
              <w:rPr>
                <w:b/>
                <w:color w:val="FFFFFF"/>
              </w:rPr>
            </w:pPr>
            <w:r>
              <w:rPr>
                <w:b/>
                <w:color w:val="FFFFFF"/>
              </w:rPr>
              <w:t>Value of</w:t>
              <w:br/>
              <w:t>Initial Fixed</w:t>
              <w:br/>
              <w:t>$100</w:t>
              <w:br/>
              <w:t>Investment</w:t>
              <w:br/>
              <w:t>Based on</w:t>
              <w:br/>
              <w:t>Total</w:t>
              <w:br/>
              <w:t>Shareholder</w:t>
              <w:br/>
              <w:t>Return</w:t>
              <w:br/>
              <w:t>(TSR) (5)</w:t>
            </w:r>
          </w:p>
        </w:tc>
        <w:tc>
          <w:tcPr>
            <w:tcW w:w="91"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Net Income</w:t>
              <w:br/>
              <w:t>(Loss)</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(thousands) (6)</w:t>
            </w:r>
          </w:p>
        </w:tc>
        <w:tc>
          <w:tcPr>
            <w:tcW w:w="133"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499" w:type="dxa"/>
            <w:tcBorders>
              <w:left w:val="single" w:sz="2" w:space="0" w:color="000000"/>
              <w:bottom w:val="single" w:sz="2" w:space="0" w:color="000000"/>
              <w:right w:val="single" w:sz="2" w:space="0" w:color="000000"/>
            </w:tcBorders>
            <w:tcMar>
              <w:left w:w="160" w:type="dxa"/>
              <w:bottom w:w="120" w:type="dxa"/>
              <w:right w:w="28" w:type="dxa"/>
            </w:tcMar>
            <w:vAlign w:val="bottom"/>
          </w:tcPr>
          <w:p>
            <w:pPr>
              <w:pStyle w:val="TableContents"/>
              <w:bidi w:val="0"/>
              <w:spacing w:before="0" w:after="0"/>
              <w:jc w:val="left"/>
              <w:rPr/>
            </w:pPr>
            <w:r>
              <w:rPr/>
              <w:t> </w:t>
            </w:r>
          </w:p>
          <w:p>
            <w:pPr>
              <w:pStyle w:val="TableContents"/>
              <w:bidi w:val="0"/>
              <w:spacing w:before="0" w:after="20"/>
              <w:jc w:val="center"/>
              <w:rPr>
                <w:rFonts w:ascii="Times New Roman" w:hAnsi="Times New Roman"/>
                <w:sz w:val="18"/>
              </w:rPr>
            </w:pPr>
            <w:r>
              <w:rPr>
                <w:rFonts w:ascii="Times New Roman" w:hAnsi="Times New Roman"/>
                <w:sz w:val="18"/>
              </w:rPr>
              <w:t>(a) </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64" w:type="dxa"/>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(b)  </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(c)</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98" w:type="dxa"/>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(d)  </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(e)  </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318" w:type="dxa"/>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(f)  </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(g)  </w:t>
            </w:r>
          </w:p>
        </w:tc>
        <w:tc>
          <w:tcPr>
            <w:tcW w:w="133"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499"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left"/>
              <w:rPr/>
            </w:pPr>
            <w:r>
              <w:rPr/>
              <w:t>2023</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6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$3,137,431</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  </w:t>
            </w:r>
            <w:r>
              <w:rPr/>
              <w:t>$3,261,658</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98"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$1,399,936</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  </w:t>
            </w:r>
            <w:r>
              <w:rPr/>
              <w:t>$1,238,406</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318"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$21.25</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($36,949)</w:t>
            </w:r>
          </w:p>
        </w:tc>
        <w:tc>
          <w:tcPr>
            <w:tcW w:w="133"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r>
      <w:tr>
        <w:trPr/>
        <w:tc>
          <w:tcPr>
            <w:tcW w:w="499"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left"/>
              <w:rPr/>
            </w:pPr>
            <w:r>
              <w:rPr/>
              <w:t>2022</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6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$2,129,549</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  </w:t>
            </w:r>
            <w:r>
              <w:rPr/>
              <w:t>($437,290)</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98"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$1,132,322</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 </w:t>
            </w:r>
            <w:r>
              <w:rPr/>
              <w:t>($205,217)</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318"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$19.29</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($35,355)</w:t>
            </w:r>
          </w:p>
        </w:tc>
        <w:tc>
          <w:tcPr>
            <w:tcW w:w="133"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r>
      <w:tr>
        <w:trPr/>
        <w:tc>
          <w:tcPr>
            <w:tcW w:w="499"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left"/>
              <w:rPr/>
            </w:pPr>
            <w:r>
              <w:rPr/>
              <w:t>2021</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6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$2,233,823</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($2,414,309)</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98"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$1,065,754</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 </w:t>
            </w:r>
            <w:r>
              <w:rPr/>
              <w:t>($699,064)</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318"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$50.40</w:t>
            </w:r>
          </w:p>
        </w:tc>
        <w:tc>
          <w:tcPr>
            <w:tcW w:w="91" w:type="dxa"/>
            <w:tcBorders>
              <w:bottom w:val="single" w:sz="2" w:space="0" w:color="000000"/>
            </w:tcBorders>
            <w:tcMar>
              <w:bottom w:w="28" w:type="dxa"/>
            </w:tcMar>
            <w:vAlign w:val="bottom"/>
          </w:tcPr>
          <w:p>
            <w:pPr>
              <w:pStyle w:val="TableContents"/>
              <w:bidi w:val="0"/>
              <w:spacing w:before="0" w:after="283"/>
              <w:jc w:val="left"/>
              <w:rPr/>
            </w:pPr>
            <w:r>
              <w:rPr/>
              <w:t> </w:t>
            </w:r>
          </w:p>
        </w:tc>
        <w:tc>
          <w:tcPr>
            <w:tcW w:w="118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($50,636)</w:t>
            </w:r>
          </w:p>
        </w:tc>
        <w:tc>
          <w:tcPr>
            <w:tcW w:w="133"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00" w:after="0"/>
        <w:jc w:val="left"/>
        <w:rPr>
          <w:rFonts w:ascii="Times New Roman" w:hAnsi="Times New Roman"/>
          <w:sz w:val="20"/>
        </w:rPr>
      </w:pPr>
      <w:r>
        <w:rPr>
          <w:rFonts w:ascii="Times New Roman" w:hAnsi="Times New Roman"/>
          <w:sz w:val="20"/>
        </w:rPr>
        <w:t xml:space="preserve">(1) The dollar amounts reported in column (b) are the amounts of total compensation reported for Dr. Ben-Maimon (our President and Chief Executive Officer) for each of 2021, 2022 and 2023.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(2) The dollar amounts reported in column (c) represent the amount of compensation actually paid to Dr. Ben-Maimon, as computed in accordance with Item 402(v) of Regulation S-K. The dollar amounts do not reflect the actual amount of compensation earned by or paid to Dr. Ben-Maimon during the applicable year. Compensation actually paid is based on the Summary Compensation Table total compensation figure adjusted to reflect the change in actual value of stock awards (e.g., stock options and restricted equity units) during the covered year. In accordance with the requirements of Item 402(v) of Regulation S-K, the following adjustments were made to Dr. Ben-Maimons total compensation for each year to determine the compensation actually paid: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63"/>
        <w:gridCol w:w="273"/>
        <w:gridCol w:w="2904"/>
        <w:gridCol w:w="273"/>
        <w:gridCol w:w="60"/>
        <w:gridCol w:w="1408"/>
        <w:gridCol w:w="311"/>
        <w:gridCol w:w="273"/>
        <w:gridCol w:w="60"/>
        <w:gridCol w:w="1353"/>
        <w:gridCol w:w="311"/>
        <w:gridCol w:w="273"/>
        <w:gridCol w:w="60"/>
        <w:gridCol w:w="1659"/>
        <w:gridCol w:w="321"/>
      </w:tblGrid>
      <w:tr>
        <w:trPr/>
        <w:tc>
          <w:tcPr>
            <w:tcW w:w="563"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r>
      <w:tr>
        <w:trPr/>
        <w:tc>
          <w:tcPr>
            <w:tcW w:w="563" w:type="dxa"/>
            <w:tcBorders>
              <w:top w:val="single" w:sz="2" w:space="0" w:color="000000"/>
              <w:left w:val="single" w:sz="2" w:space="0" w:color="000000"/>
              <w:bottom w:val="single" w:sz="2" w:space="0" w:color="000000"/>
              <w:right w:val="single" w:sz="2" w:space="0" w:color="000000"/>
            </w:tcBorders>
            <w:shd w:fill="4DC1E4" w:val="clear"/>
            <w:tcMar>
              <w:top w:w="28" w:type="dxa"/>
              <w:left w:w="160" w:type="dxa"/>
              <w:bottom w:w="80" w:type="dxa"/>
              <w:right w:w="28" w:type="dxa"/>
            </w:tcMar>
            <w:vAlign w:val="bottom"/>
          </w:tcPr>
          <w:p>
            <w:pPr>
              <w:pStyle w:val="TableContents"/>
              <w:bidi w:val="0"/>
              <w:spacing w:before="0" w:after="283"/>
              <w:jc w:val="center"/>
              <w:rPr>
                <w:b/>
                <w:color w:val="FFFFFF"/>
              </w:rPr>
            </w:pPr>
            <w:r>
              <w:rPr>
                <w:b/>
                <w:color w:val="FFFFFF"/>
              </w:rPr>
              <w:t>Year  </w:t>
            </w:r>
          </w:p>
        </w:tc>
        <w:tc>
          <w:tcPr>
            <w:tcW w:w="273"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2904" w:type="dxa"/>
            <w:tcBorders>
              <w:top w:val="single" w:sz="2" w:space="0" w:color="000000"/>
              <w:bottom w:val="single" w:sz="2" w:space="0" w:color="000000"/>
              <w:right w:val="single" w:sz="2" w:space="0" w:color="000000"/>
            </w:tcBorders>
            <w:shd w:fill="4DC1E4" w:val="clear"/>
            <w:tcMar>
              <w:top w:w="28" w:type="dxa"/>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Reported Summary Compensation   </w:t>
              <w:br/>
              <w:t>Table Total for PEO   </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($)   </w:t>
            </w:r>
          </w:p>
        </w:tc>
        <w:tc>
          <w:tcPr>
            <w:tcW w:w="273"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468" w:type="dxa"/>
            <w:gridSpan w:val="2"/>
            <w:tcBorders>
              <w:top w:val="single" w:sz="2" w:space="0" w:color="000000"/>
              <w:bottom w:val="single" w:sz="2" w:space="0" w:color="000000"/>
            </w:tcBorders>
            <w:shd w:fill="4DC1E4" w:val="clear"/>
            <w:tcMar>
              <w:top w:w="28" w:type="dxa"/>
              <w:bottom w:w="80" w:type="dxa"/>
            </w:tcMar>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Less: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Reported Value of</w:t>
              <w:br/>
              <w:t>Equity Awards (a)</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311" w:type="dxa"/>
            <w:tcBorders>
              <w:top w:val="single" w:sz="2" w:space="0" w:color="000000"/>
              <w:bottom w:val="single" w:sz="2" w:space="0" w:color="000000"/>
              <w:right w:val="single" w:sz="2" w:space="0" w:color="000000"/>
            </w:tcBorders>
            <w:shd w:fill="4DC1E4" w:val="clear"/>
            <w:tcMar>
              <w:top w:w="28" w:type="dxa"/>
              <w:bottom w:w="28" w:type="dxa"/>
              <w:right w:w="28" w:type="dxa"/>
            </w:tcMar>
            <w:vAlign w:val="bottom"/>
          </w:tcPr>
          <w:p>
            <w:pPr>
              <w:pStyle w:val="TableContents"/>
              <w:bidi w:val="0"/>
              <w:spacing w:before="0" w:after="283"/>
              <w:jc w:val="left"/>
              <w:rPr/>
            </w:pPr>
            <w:r>
              <w:rPr/>
              <w:t> </w:t>
            </w:r>
          </w:p>
        </w:tc>
        <w:tc>
          <w:tcPr>
            <w:tcW w:w="273"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413" w:type="dxa"/>
            <w:gridSpan w:val="2"/>
            <w:tcBorders>
              <w:top w:val="single" w:sz="2" w:space="0" w:color="000000"/>
              <w:bottom w:val="single" w:sz="2" w:space="0" w:color="000000"/>
            </w:tcBorders>
            <w:shd w:fill="4DC1E4" w:val="clear"/>
            <w:tcMar>
              <w:top w:w="28" w:type="dxa"/>
              <w:bottom w:w="80" w:type="dxa"/>
            </w:tcMar>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Plus:     </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Equity Award     </w:t>
              <w:br/>
              <w:t>Adjustments (b)     </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($)     </w:t>
            </w:r>
          </w:p>
        </w:tc>
        <w:tc>
          <w:tcPr>
            <w:tcW w:w="311" w:type="dxa"/>
            <w:tcBorders>
              <w:top w:val="single" w:sz="2" w:space="0" w:color="000000"/>
              <w:bottom w:val="single" w:sz="2" w:space="0" w:color="000000"/>
              <w:right w:val="single" w:sz="2" w:space="0" w:color="000000"/>
            </w:tcBorders>
            <w:shd w:fill="4DC1E4" w:val="clear"/>
            <w:tcMar>
              <w:top w:w="28" w:type="dxa"/>
              <w:bottom w:w="28" w:type="dxa"/>
              <w:right w:w="28" w:type="dxa"/>
            </w:tcMar>
            <w:vAlign w:val="bottom"/>
          </w:tcPr>
          <w:p>
            <w:pPr>
              <w:pStyle w:val="TableContents"/>
              <w:bidi w:val="0"/>
              <w:spacing w:before="0" w:after="283"/>
              <w:jc w:val="left"/>
              <w:rPr/>
            </w:pPr>
            <w:r>
              <w:rPr/>
              <w:t> </w:t>
            </w:r>
          </w:p>
        </w:tc>
        <w:tc>
          <w:tcPr>
            <w:tcW w:w="273"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719" w:type="dxa"/>
            <w:gridSpan w:val="2"/>
            <w:tcBorders>
              <w:top w:val="single" w:sz="2" w:space="0" w:color="000000"/>
              <w:bottom w:val="single" w:sz="2" w:space="0" w:color="000000"/>
            </w:tcBorders>
            <w:shd w:fill="4DC1E4" w:val="clear"/>
            <w:tcMar>
              <w:top w:w="28" w:type="dxa"/>
              <w:bottom w:w="80" w:type="dxa"/>
            </w:tcMar>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Equals     </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Compensation     </w:t>
              <w:br/>
              <w:t>Actually Paid to PEO     </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($)     </w:t>
            </w:r>
          </w:p>
        </w:tc>
        <w:tc>
          <w:tcPr>
            <w:tcW w:w="321" w:type="dxa"/>
            <w:tcBorders>
              <w:top w:val="single" w:sz="2" w:space="0" w:color="000000"/>
              <w:bottom w:val="single" w:sz="2" w:space="0" w:color="000000"/>
              <w:right w:val="single" w:sz="2" w:space="0" w:color="000000"/>
            </w:tcBorders>
            <w:shd w:fill="4DC1E4" w:val="clear"/>
            <w:tcMar>
              <w:top w:w="28" w:type="dxa"/>
              <w:bottom w:w="28" w:type="dxa"/>
              <w:right w:w="40" w:type="dxa"/>
            </w:tcMar>
            <w:vAlign w:val="bottom"/>
          </w:tcPr>
          <w:p>
            <w:pPr>
              <w:pStyle w:val="TableContents"/>
              <w:bidi w:val="0"/>
              <w:spacing w:before="0" w:after="283"/>
              <w:jc w:val="left"/>
              <w:rPr/>
            </w:pPr>
            <w:r>
              <w:rPr/>
              <w:t> </w:t>
            </w:r>
          </w:p>
        </w:tc>
      </w:tr>
      <w:tr>
        <w:trPr/>
        <w:tc>
          <w:tcPr>
            <w:tcW w:w="563" w:type="dxa"/>
            <w:tcBorders>
              <w:left w:val="single" w:sz="2" w:space="0" w:color="000000"/>
              <w:bottom w:val="single" w:sz="2" w:space="0" w:color="000000"/>
              <w:right w:val="single" w:sz="2" w:space="0" w:color="000000"/>
            </w:tcBorders>
            <w:tcMar>
              <w:left w:w="160" w:type="dxa"/>
              <w:bottom w:w="120" w:type="dxa"/>
              <w:right w:w="28" w:type="dxa"/>
            </w:tcMar>
            <w:vAlign w:val="bottom"/>
          </w:tcPr>
          <w:p>
            <w:pPr>
              <w:pStyle w:val="TableContents"/>
              <w:bidi w:val="0"/>
              <w:spacing w:before="0" w:after="0"/>
              <w:jc w:val="left"/>
              <w:rPr/>
            </w:pPr>
            <w:r>
              <w:rPr/>
              <w:t> </w:t>
            </w:r>
          </w:p>
          <w:p>
            <w:pPr>
              <w:pStyle w:val="TableContents"/>
              <w:bidi w:val="0"/>
              <w:spacing w:before="0" w:after="20"/>
              <w:jc w:val="center"/>
              <w:rPr>
                <w:rFonts w:ascii="Times New Roman" w:hAnsi="Times New Roman"/>
                <w:sz w:val="18"/>
              </w:rPr>
            </w:pPr>
            <w:r>
              <w:rPr>
                <w:rFonts w:ascii="Times New Roman" w:hAnsi="Times New Roman"/>
                <w:sz w:val="18"/>
              </w:rPr>
              <w:t>(a) 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2904" w:type="dxa"/>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(b)   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1468" w:type="dxa"/>
            <w:gridSpan w:val="2"/>
            <w:tcBorders>
              <w:bottom w:val="single" w:sz="2" w:space="0" w:color="000000"/>
            </w:tcBorders>
            <w:tcMar>
              <w:bottom w:w="120" w:type="dxa"/>
            </w:tcMar>
            <w:vAlign w:val="bottom"/>
          </w:tcPr>
          <w:p>
            <w:pPr>
              <w:pStyle w:val="TableContents"/>
              <w:bidi w:val="0"/>
              <w:spacing w:before="0" w:after="283"/>
              <w:jc w:val="center"/>
              <w:rPr/>
            </w:pPr>
            <w:r>
              <w:rPr/>
              <w:t>(c)  </w:t>
            </w:r>
          </w:p>
        </w:tc>
        <w:tc>
          <w:tcPr>
            <w:tcW w:w="311"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1413" w:type="dxa"/>
            <w:gridSpan w:val="2"/>
            <w:tcBorders>
              <w:bottom w:val="single" w:sz="2" w:space="0" w:color="000000"/>
            </w:tcBorders>
            <w:tcMar>
              <w:bottom w:w="120" w:type="dxa"/>
            </w:tcMar>
            <w:vAlign w:val="bottom"/>
          </w:tcPr>
          <w:p>
            <w:pPr>
              <w:pStyle w:val="TableContents"/>
              <w:bidi w:val="0"/>
              <w:spacing w:before="0" w:after="283"/>
              <w:jc w:val="center"/>
              <w:rPr/>
            </w:pPr>
            <w:r>
              <w:rPr/>
              <w:t>(d)   </w:t>
            </w:r>
          </w:p>
        </w:tc>
        <w:tc>
          <w:tcPr>
            <w:tcW w:w="311"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1719" w:type="dxa"/>
            <w:gridSpan w:val="2"/>
            <w:tcBorders>
              <w:bottom w:val="single" w:sz="2" w:space="0" w:color="000000"/>
            </w:tcBorders>
            <w:tcMar>
              <w:bottom w:w="120" w:type="dxa"/>
            </w:tcMar>
            <w:vAlign w:val="bottom"/>
          </w:tcPr>
          <w:p>
            <w:pPr>
              <w:pStyle w:val="TableContents"/>
              <w:bidi w:val="0"/>
              <w:spacing w:before="0" w:after="283"/>
              <w:jc w:val="center"/>
              <w:rPr/>
            </w:pPr>
            <w:r>
              <w:rPr/>
              <w:t>(e)  </w:t>
            </w:r>
          </w:p>
        </w:tc>
        <w:tc>
          <w:tcPr>
            <w:tcW w:w="321"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563"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2023  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290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$3,137,431   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408" w:type="dxa"/>
            <w:tcBorders>
              <w:bottom w:val="single" w:sz="2" w:space="0" w:color="000000"/>
            </w:tcBorders>
            <w:tcMar>
              <w:bottom w:w="80" w:type="dxa"/>
            </w:tcMar>
            <w:vAlign w:val="bottom"/>
          </w:tcPr>
          <w:p>
            <w:pPr>
              <w:pStyle w:val="TableContents"/>
              <w:bidi w:val="0"/>
              <w:spacing w:before="0" w:after="283"/>
              <w:jc w:val="right"/>
              <w:rPr/>
            </w:pPr>
            <w:r>
              <w:rPr/>
              <w:t>($2,272,433)  </w:t>
            </w:r>
          </w:p>
        </w:tc>
        <w:tc>
          <w:tcPr>
            <w:tcW w:w="311"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353" w:type="dxa"/>
            <w:tcBorders>
              <w:bottom w:val="single" w:sz="2" w:space="0" w:color="000000"/>
            </w:tcBorders>
            <w:tcMar>
              <w:bottom w:w="80" w:type="dxa"/>
            </w:tcMar>
            <w:vAlign w:val="bottom"/>
          </w:tcPr>
          <w:p>
            <w:pPr>
              <w:pStyle w:val="TableContents"/>
              <w:bidi w:val="0"/>
              <w:spacing w:before="0" w:after="283"/>
              <w:jc w:val="right"/>
              <w:rPr/>
            </w:pPr>
            <w:r>
              <w:rPr/>
              <w:t>$2,396,659    </w:t>
            </w:r>
          </w:p>
        </w:tc>
        <w:tc>
          <w:tcPr>
            <w:tcW w:w="311"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659" w:type="dxa"/>
            <w:tcBorders>
              <w:bottom w:val="single" w:sz="2" w:space="0" w:color="000000"/>
            </w:tcBorders>
            <w:tcMar>
              <w:bottom w:w="80" w:type="dxa"/>
            </w:tcMar>
            <w:vAlign w:val="bottom"/>
          </w:tcPr>
          <w:p>
            <w:pPr>
              <w:pStyle w:val="TableContents"/>
              <w:bidi w:val="0"/>
              <w:spacing w:before="0" w:after="283"/>
              <w:jc w:val="right"/>
              <w:rPr/>
            </w:pPr>
            <w:r>
              <w:rPr/>
              <w:t>$3,261,658   </w:t>
            </w:r>
          </w:p>
        </w:tc>
        <w:tc>
          <w:tcPr>
            <w:tcW w:w="321"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 </w:t>
            </w:r>
          </w:p>
        </w:tc>
      </w:tr>
      <w:tr>
        <w:trPr/>
        <w:tc>
          <w:tcPr>
            <w:tcW w:w="563"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2022  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290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$2,129,549   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408" w:type="dxa"/>
            <w:tcBorders>
              <w:bottom w:val="single" w:sz="2" w:space="0" w:color="000000"/>
            </w:tcBorders>
            <w:tcMar>
              <w:bottom w:w="80" w:type="dxa"/>
            </w:tcMar>
            <w:vAlign w:val="bottom"/>
          </w:tcPr>
          <w:p>
            <w:pPr>
              <w:pStyle w:val="TableContents"/>
              <w:bidi w:val="0"/>
              <w:spacing w:before="0" w:after="283"/>
              <w:jc w:val="right"/>
              <w:rPr/>
            </w:pPr>
            <w:r>
              <w:rPr/>
              <w:t>($1,283,915)  </w:t>
            </w:r>
          </w:p>
        </w:tc>
        <w:tc>
          <w:tcPr>
            <w:tcW w:w="311"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353" w:type="dxa"/>
            <w:tcBorders>
              <w:bottom w:val="single" w:sz="2" w:space="0" w:color="000000"/>
            </w:tcBorders>
            <w:tcMar>
              <w:bottom w:w="80" w:type="dxa"/>
            </w:tcMar>
            <w:vAlign w:val="bottom"/>
          </w:tcPr>
          <w:p>
            <w:pPr>
              <w:pStyle w:val="TableContents"/>
              <w:bidi w:val="0"/>
              <w:spacing w:before="0" w:after="283"/>
              <w:jc w:val="right"/>
              <w:rPr/>
            </w:pPr>
            <w:r>
              <w:rPr/>
              <w:t>($1,282,924)   </w:t>
            </w:r>
          </w:p>
        </w:tc>
        <w:tc>
          <w:tcPr>
            <w:tcW w:w="311"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659" w:type="dxa"/>
            <w:tcBorders>
              <w:bottom w:val="single" w:sz="2" w:space="0" w:color="000000"/>
            </w:tcBorders>
            <w:tcMar>
              <w:bottom w:w="80" w:type="dxa"/>
            </w:tcMar>
            <w:vAlign w:val="bottom"/>
          </w:tcPr>
          <w:p>
            <w:pPr>
              <w:pStyle w:val="TableContents"/>
              <w:bidi w:val="0"/>
              <w:spacing w:before="0" w:after="283"/>
              <w:jc w:val="right"/>
              <w:rPr/>
            </w:pPr>
            <w:r>
              <w:rPr/>
              <w:t>($437,290)  </w:t>
            </w:r>
          </w:p>
        </w:tc>
        <w:tc>
          <w:tcPr>
            <w:tcW w:w="321"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 </w:t>
            </w:r>
          </w:p>
        </w:tc>
      </w:tr>
      <w:tr>
        <w:trPr/>
        <w:tc>
          <w:tcPr>
            <w:tcW w:w="563"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2021  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290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$2,233,823   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408" w:type="dxa"/>
            <w:tcBorders>
              <w:bottom w:val="single" w:sz="2" w:space="0" w:color="000000"/>
            </w:tcBorders>
            <w:tcMar>
              <w:bottom w:w="80" w:type="dxa"/>
            </w:tcMar>
            <w:vAlign w:val="bottom"/>
          </w:tcPr>
          <w:p>
            <w:pPr>
              <w:pStyle w:val="TableContents"/>
              <w:bidi w:val="0"/>
              <w:spacing w:before="0" w:after="283"/>
              <w:jc w:val="right"/>
              <w:rPr/>
            </w:pPr>
            <w:r>
              <w:rPr/>
              <w:t>($1,570,389)  </w:t>
            </w:r>
          </w:p>
        </w:tc>
        <w:tc>
          <w:tcPr>
            <w:tcW w:w="311"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353" w:type="dxa"/>
            <w:tcBorders>
              <w:bottom w:val="single" w:sz="2" w:space="0" w:color="000000"/>
            </w:tcBorders>
            <w:tcMar>
              <w:bottom w:w="80" w:type="dxa"/>
            </w:tcMar>
            <w:vAlign w:val="bottom"/>
          </w:tcPr>
          <w:p>
            <w:pPr>
              <w:pStyle w:val="TableContents"/>
              <w:bidi w:val="0"/>
              <w:spacing w:before="0" w:after="283"/>
              <w:jc w:val="right"/>
              <w:rPr/>
            </w:pPr>
            <w:r>
              <w:rPr/>
              <w:t>($3,077,743)   </w:t>
            </w:r>
          </w:p>
        </w:tc>
        <w:tc>
          <w:tcPr>
            <w:tcW w:w="311"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7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659" w:type="dxa"/>
            <w:tcBorders>
              <w:bottom w:val="single" w:sz="2" w:space="0" w:color="000000"/>
            </w:tcBorders>
            <w:tcMar>
              <w:bottom w:w="80" w:type="dxa"/>
            </w:tcMar>
            <w:vAlign w:val="bottom"/>
          </w:tcPr>
          <w:p>
            <w:pPr>
              <w:pStyle w:val="TableContents"/>
              <w:bidi w:val="0"/>
              <w:spacing w:before="0" w:after="283"/>
              <w:jc w:val="right"/>
              <w:rPr/>
            </w:pPr>
            <w:r>
              <w:rPr/>
              <w:t>($2,414,309)  </w:t>
            </w:r>
          </w:p>
        </w:tc>
        <w:tc>
          <w:tcPr>
            <w:tcW w:w="321"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 </w:t>
            </w:r>
          </w:p>
        </w:tc>
      </w:tr>
    </w:tbl>
    <w:p>
      <w:pPr>
        <w:pStyle w:val="TextBody"/>
        <w:bidi w:val="0"/>
        <w:spacing w:before="200" w:after="0"/>
        <w:jc w:val="both"/>
        <w:rPr>
          <w:rFonts w:ascii="Times New Roman" w:hAnsi="Times New Roman"/>
          <w:sz w:val="20"/>
        </w:rPr>
      </w:pPr>
      <w:r>
        <w:rPr>
          <w:rFonts w:ascii="Times New Roman" w:hAnsi="Times New Roman"/>
          <w:sz w:val="20"/>
        </w:rPr>
        <w:t xml:space="preserve">(a) The grant date fair value of equity awards represents the total of the amounts reported in the Stock Awards and Option Awards columns in the Summary Compensation Table for the applicable year. </w:t>
      </w:r>
    </w:p>
    <w:p>
      <w:pPr>
        <w:pStyle w:val="TextBody"/>
        <w:bidi w:val="0"/>
        <w:spacing w:before="120" w:after="0"/>
        <w:jc w:val="left"/>
        <w:rPr>
          <w:rFonts w:ascii="Times New Roman" w:hAnsi="Times New Roman"/>
          <w:sz w:val="20"/>
        </w:rPr>
      </w:pPr>
      <w:r>
        <w:rPr>
          <w:rFonts w:ascii="Times New Roman" w:hAnsi="Times New Roman"/>
          <w:sz w:val="20"/>
        </w:rPr>
        <w:t xml:space="preserve">(b) 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addition of the fair value as of the vesting date; (iv) for awards granted in prior years that vest in the applicable year, the amount equal to the change in fair value as of the vesting date (from the end of the prior fiscal year); (v) for awards granted in prior years that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794"/>
        <w:gridCol w:w="85"/>
        <w:gridCol w:w="60"/>
        <w:gridCol w:w="1115"/>
        <w:gridCol w:w="85"/>
        <w:gridCol w:w="69"/>
        <w:gridCol w:w="60"/>
        <w:gridCol w:w="1199"/>
        <w:gridCol w:w="155"/>
        <w:gridCol w:w="69"/>
        <w:gridCol w:w="60"/>
        <w:gridCol w:w="991"/>
        <w:gridCol w:w="69"/>
        <w:gridCol w:w="69"/>
        <w:gridCol w:w="60"/>
        <w:gridCol w:w="1021"/>
        <w:gridCol w:w="155"/>
        <w:gridCol w:w="69"/>
        <w:gridCol w:w="59"/>
        <w:gridCol w:w="991"/>
        <w:gridCol w:w="69"/>
        <w:gridCol w:w="69"/>
        <w:gridCol w:w="66"/>
        <w:gridCol w:w="1096"/>
        <w:gridCol w:w="69"/>
        <w:gridCol w:w="69"/>
        <w:gridCol w:w="60"/>
        <w:gridCol w:w="1199"/>
        <w:gridCol w:w="170"/>
      </w:tblGrid>
      <w:tr>
        <w:trPr/>
        <w:tc>
          <w:tcPr>
            <w:tcW w:w="794"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r>
      <w:tr>
        <w:trPr>
          <w:trHeight w:val="15" w:hRule="atLeast"/>
        </w:trPr>
        <w:tc>
          <w:tcPr>
            <w:tcW w:w="794" w:type="dxa"/>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c>
          <w:tcPr>
            <w:tcW w:w="1345"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483"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189"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305"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188"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300"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498" w:type="dxa"/>
            <w:gridSpan w:val="4"/>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794" w:type="dxa"/>
            <w:tcBorders>
              <w:left w:val="single" w:sz="2" w:space="0" w:color="000000"/>
              <w:bottom w:val="single" w:sz="2" w:space="0" w:color="000000"/>
              <w:right w:val="single" w:sz="2" w:space="0" w:color="000000"/>
            </w:tcBorders>
            <w:shd w:fill="4DC1E4" w:val="clear"/>
            <w:tcMar>
              <w:left w:w="160" w:type="dxa"/>
              <w:bottom w:w="80" w:type="dxa"/>
              <w:right w:w="28" w:type="dxa"/>
            </w:tcMar>
            <w:vAlign w:val="bottom"/>
          </w:tcPr>
          <w:p>
            <w:pPr>
              <w:pStyle w:val="TableContents"/>
              <w:bidi w:val="0"/>
              <w:spacing w:before="0" w:after="283"/>
              <w:jc w:val="center"/>
              <w:rPr>
                <w:b/>
                <w:color w:val="FFFFFF"/>
              </w:rPr>
            </w:pPr>
            <w:r>
              <w:rPr>
                <w:b/>
                <w:color w:val="FFFFFF"/>
              </w:rPr>
              <w:t>Year</w:t>
            </w:r>
          </w:p>
        </w:tc>
        <w:tc>
          <w:tcPr>
            <w:tcW w:w="85"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75" w:type="dxa"/>
            <w:gridSpan w:val="2"/>
            <w:tcBorders>
              <w:bottom w:val="single" w:sz="2" w:space="0" w:color="000000"/>
            </w:tcBorders>
            <w:shd w:fill="4DC1E4" w:val="clear"/>
            <w:tcMar>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End</w:t>
              <w:br/>
              <w:t>Fair Value</w:t>
              <w:br/>
              <w:t>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Outstanding</w:t>
              <w:br/>
              <w:t>and</w:t>
              <w:br/>
              <w:t>Unvested</w:t>
              <w:br/>
              <w:t>Equity</w:t>
              <w:br/>
              <w:t>Awards</w:t>
              <w:br/>
              <w:t>Granted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in the 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85"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59" w:type="dxa"/>
            <w:gridSpan w:val="2"/>
            <w:tcBorders>
              <w:bottom w:val="single" w:sz="2" w:space="0" w:color="000000"/>
            </w:tcBorders>
            <w:shd w:fill="4DC1E4" w:val="clear"/>
            <w:tcMar>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over</w:t>
              <w:br/>
              <w:t>Year Change</w:t>
              <w:br/>
              <w:t>in Fair Value</w:t>
              <w:br/>
              <w:t>of</w:t>
              <w:br/>
              <w:t>Outstanding</w:t>
              <w:br/>
              <w:t>and</w:t>
              <w:br/>
              <w:t>Unvested</w:t>
              <w:br/>
              <w:t>Equity</w:t>
              <w:br/>
              <w:t>Awards</w:t>
              <w:br/>
              <w:t>Granted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In Prior</w:t>
              <w:br/>
              <w:t>Years</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55"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51" w:type="dxa"/>
            <w:gridSpan w:val="2"/>
            <w:tcBorders>
              <w:bottom w:val="single" w:sz="2" w:space="0" w:color="000000"/>
            </w:tcBorders>
            <w:shd w:fill="4DC1E4" w:val="clear"/>
            <w:tcMar>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Fair Value</w:t>
              <w:br/>
              <w:t>as 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Vesting</w:t>
              <w:br/>
              <w:t>Date 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Equity</w:t>
              <w:br/>
              <w:t>Awards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Granted and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Vested in</w:t>
              <w:br/>
              <w:t>the 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69"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81" w:type="dxa"/>
            <w:gridSpan w:val="2"/>
            <w:tcBorders>
              <w:bottom w:val="single" w:sz="2" w:space="0" w:color="000000"/>
            </w:tcBorders>
            <w:shd w:fill="4DC1E4" w:val="clear"/>
            <w:tcMar>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over</w:t>
              <w:br/>
              <w:t>Year</w:t>
              <w:br/>
              <w:t>Change in</w:t>
              <w:br/>
              <w:t>Fair Value</w:t>
              <w:br/>
              <w:t>of Equity</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Awards</w:t>
              <w:br/>
              <w:t>Granted in</w:t>
              <w:br/>
              <w:t>Prior Years</w:t>
              <w:br/>
              <w:t>that Vested</w:t>
              <w:br/>
              <w:t>in the 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55"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50" w:type="dxa"/>
            <w:gridSpan w:val="2"/>
            <w:tcBorders>
              <w:bottom w:val="single" w:sz="2" w:space="0" w:color="000000"/>
            </w:tcBorders>
            <w:shd w:fill="4DC1E4" w:val="clear"/>
            <w:tcMar>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Fair Value at</w:t>
              <w:br/>
              <w:t>the End of</w:t>
              <w:br/>
              <w:t>the Prior</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of</w:t>
              <w:br/>
              <w:t>Equity</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Awards that</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Failed to</w:t>
              <w:br/>
              <w:t>Meet</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Vesting</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Conditions</w:t>
              <w:br/>
              <w:t>in the</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69"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62" w:type="dxa"/>
            <w:gridSpan w:val="2"/>
            <w:tcBorders>
              <w:bottom w:val="single" w:sz="2" w:space="0" w:color="000000"/>
            </w:tcBorders>
            <w:shd w:fill="4DC1E4" w:val="clear"/>
            <w:tcMar>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Value 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Dividends or</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other</w:t>
              <w:br/>
              <w:t>Earnings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Paid on Stock</w:t>
              <w:br/>
              <w:t>or Option</w:t>
              <w:br/>
              <w:t>Awards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not Otherwise</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Reflected in</w:t>
              <w:br/>
              <w:t>Fair</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Value or</w:t>
              <w:br/>
              <w:t>Total</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Compensation</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69" w:type="dxa"/>
            <w:tcBorders>
              <w:bottom w:val="single" w:sz="2" w:space="0" w:color="000000"/>
              <w:right w:val="single" w:sz="2" w:space="0" w:color="000000"/>
            </w:tcBorders>
            <w:shd w:fill="4DC1E4" w:val="clear"/>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59" w:type="dxa"/>
            <w:gridSpan w:val="2"/>
            <w:tcBorders>
              <w:bottom w:val="single" w:sz="2" w:space="0" w:color="000000"/>
            </w:tcBorders>
            <w:shd w:fill="4DC1E4" w:val="clear"/>
            <w:tcMar>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Total</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Equity</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Award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Adjustments</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70" w:type="dxa"/>
            <w:tcBorders>
              <w:bottom w:val="single" w:sz="2" w:space="0" w:color="000000"/>
              <w:right w:val="single" w:sz="2" w:space="0" w:color="000000"/>
            </w:tcBorders>
            <w:shd w:fill="4DC1E4" w:val="clear"/>
            <w:tcMar>
              <w:bottom w:w="28" w:type="dxa"/>
              <w:right w:w="40" w:type="dxa"/>
            </w:tcMar>
            <w:vAlign w:val="bottom"/>
          </w:tcPr>
          <w:p>
            <w:pPr>
              <w:pStyle w:val="TableContents"/>
              <w:bidi w:val="0"/>
              <w:spacing w:before="0" w:after="283"/>
              <w:jc w:val="left"/>
              <w:rPr/>
            </w:pPr>
            <w:r>
              <w:rPr/>
              <w:t> </w:t>
            </w:r>
          </w:p>
        </w:tc>
      </w:tr>
      <w:tr>
        <w:trPr/>
        <w:tc>
          <w:tcPr>
            <w:tcW w:w="794" w:type="dxa"/>
            <w:tcBorders>
              <w:left w:val="single" w:sz="2" w:space="0" w:color="000000"/>
              <w:bottom w:val="single" w:sz="2" w:space="0" w:color="000000"/>
              <w:right w:val="single" w:sz="2" w:space="0" w:color="000000"/>
            </w:tcBorders>
            <w:tcMar>
              <w:left w:w="160" w:type="dxa"/>
              <w:bottom w:w="120" w:type="dxa"/>
              <w:right w:w="28" w:type="dxa"/>
            </w:tcMar>
            <w:vAlign w:val="bottom"/>
          </w:tcPr>
          <w:p>
            <w:pPr>
              <w:pStyle w:val="TableContents"/>
              <w:bidi w:val="0"/>
              <w:spacing w:before="0" w:after="0"/>
              <w:jc w:val="left"/>
              <w:rPr/>
            </w:pPr>
            <w:r>
              <w:rPr/>
              <w:t> </w:t>
            </w:r>
          </w:p>
          <w:p>
            <w:pPr>
              <w:pStyle w:val="TableContents"/>
              <w:bidi w:val="0"/>
              <w:spacing w:before="0" w:after="20"/>
              <w:jc w:val="center"/>
              <w:rPr>
                <w:rFonts w:ascii="Times New Roman" w:hAnsi="Times New Roman"/>
                <w:sz w:val="18"/>
              </w:rPr>
            </w:pPr>
            <w:r>
              <w:rPr>
                <w:rFonts w:ascii="Times New Roman" w:hAnsi="Times New Roman"/>
                <w:sz w:val="18"/>
              </w:rPr>
              <w:t>(a)</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1175" w:type="dxa"/>
            <w:gridSpan w:val="2"/>
            <w:tcBorders>
              <w:bottom w:val="single" w:sz="2" w:space="0" w:color="000000"/>
            </w:tcBorders>
            <w:tcMar>
              <w:bottom w:w="120" w:type="dxa"/>
            </w:tcMar>
            <w:vAlign w:val="bottom"/>
          </w:tcPr>
          <w:p>
            <w:pPr>
              <w:pStyle w:val="TableContents"/>
              <w:bidi w:val="0"/>
              <w:spacing w:before="0" w:after="283"/>
              <w:jc w:val="center"/>
              <w:rPr/>
            </w:pPr>
            <w:r>
              <w:rPr/>
              <w:t>(b)</w:t>
            </w:r>
          </w:p>
        </w:tc>
        <w:tc>
          <w:tcPr>
            <w:tcW w:w="8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259" w:type="dxa"/>
            <w:gridSpan w:val="2"/>
            <w:tcBorders>
              <w:bottom w:val="single" w:sz="2" w:space="0" w:color="000000"/>
            </w:tcBorders>
            <w:tcMar>
              <w:bottom w:w="120" w:type="dxa"/>
            </w:tcMar>
            <w:vAlign w:val="bottom"/>
          </w:tcPr>
          <w:p>
            <w:pPr>
              <w:pStyle w:val="TableContents"/>
              <w:bidi w:val="0"/>
              <w:spacing w:before="0" w:after="283"/>
              <w:jc w:val="center"/>
              <w:rPr/>
            </w:pPr>
            <w:r>
              <w:rPr/>
              <w:t>(c)</w:t>
            </w:r>
          </w:p>
        </w:tc>
        <w:tc>
          <w:tcPr>
            <w:tcW w:w="15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051" w:type="dxa"/>
            <w:gridSpan w:val="2"/>
            <w:tcBorders>
              <w:bottom w:val="single" w:sz="2" w:space="0" w:color="000000"/>
            </w:tcBorders>
            <w:tcMar>
              <w:bottom w:w="120" w:type="dxa"/>
            </w:tcMar>
            <w:vAlign w:val="bottom"/>
          </w:tcPr>
          <w:p>
            <w:pPr>
              <w:pStyle w:val="TableContents"/>
              <w:bidi w:val="0"/>
              <w:spacing w:before="0" w:after="283"/>
              <w:jc w:val="center"/>
              <w:rPr/>
            </w:pPr>
            <w:r>
              <w:rPr/>
              <w:t>(d)</w:t>
            </w:r>
          </w:p>
        </w:tc>
        <w:tc>
          <w:tcPr>
            <w:tcW w:w="69"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081" w:type="dxa"/>
            <w:gridSpan w:val="2"/>
            <w:tcBorders>
              <w:bottom w:val="single" w:sz="2" w:space="0" w:color="000000"/>
            </w:tcBorders>
            <w:tcMar>
              <w:bottom w:w="120" w:type="dxa"/>
            </w:tcMar>
            <w:vAlign w:val="bottom"/>
          </w:tcPr>
          <w:p>
            <w:pPr>
              <w:pStyle w:val="TableContents"/>
              <w:bidi w:val="0"/>
              <w:spacing w:before="0" w:after="283"/>
              <w:jc w:val="center"/>
              <w:rPr/>
            </w:pPr>
            <w:r>
              <w:rPr/>
              <w:t>(e)</w:t>
            </w:r>
          </w:p>
        </w:tc>
        <w:tc>
          <w:tcPr>
            <w:tcW w:w="155"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050" w:type="dxa"/>
            <w:gridSpan w:val="2"/>
            <w:tcBorders>
              <w:bottom w:val="single" w:sz="2" w:space="0" w:color="000000"/>
            </w:tcBorders>
            <w:tcMar>
              <w:bottom w:w="120" w:type="dxa"/>
            </w:tcMar>
            <w:vAlign w:val="bottom"/>
          </w:tcPr>
          <w:p>
            <w:pPr>
              <w:pStyle w:val="TableContents"/>
              <w:bidi w:val="0"/>
              <w:spacing w:before="0" w:after="283"/>
              <w:jc w:val="center"/>
              <w:rPr/>
            </w:pPr>
            <w:r>
              <w:rPr/>
              <w:t>(f)</w:t>
            </w:r>
          </w:p>
        </w:tc>
        <w:tc>
          <w:tcPr>
            <w:tcW w:w="69"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162" w:type="dxa"/>
            <w:gridSpan w:val="2"/>
            <w:tcBorders>
              <w:bottom w:val="single" w:sz="2" w:space="0" w:color="000000"/>
            </w:tcBorders>
            <w:tcMar>
              <w:bottom w:w="120" w:type="dxa"/>
            </w:tcMar>
            <w:vAlign w:val="bottom"/>
          </w:tcPr>
          <w:p>
            <w:pPr>
              <w:pStyle w:val="TableContents"/>
              <w:bidi w:val="0"/>
              <w:spacing w:before="0" w:after="283"/>
              <w:jc w:val="center"/>
              <w:rPr/>
            </w:pPr>
            <w:r>
              <w:rPr/>
              <w:t>(g)</w:t>
            </w:r>
          </w:p>
        </w:tc>
        <w:tc>
          <w:tcPr>
            <w:tcW w:w="69"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259" w:type="dxa"/>
            <w:gridSpan w:val="2"/>
            <w:tcBorders>
              <w:bottom w:val="single" w:sz="2" w:space="0" w:color="000000"/>
            </w:tcBorders>
            <w:tcMar>
              <w:bottom w:w="120" w:type="dxa"/>
            </w:tcMar>
            <w:vAlign w:val="bottom"/>
          </w:tcPr>
          <w:p>
            <w:pPr>
              <w:pStyle w:val="TableContents"/>
              <w:bidi w:val="0"/>
              <w:spacing w:before="0" w:after="283"/>
              <w:jc w:val="center"/>
              <w:rPr/>
            </w:pPr>
            <w:r>
              <w:rPr/>
              <w:t>(h)</w:t>
            </w:r>
          </w:p>
        </w:tc>
        <w:tc>
          <w:tcPr>
            <w:tcW w:w="170"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794"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2023</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15" w:type="dxa"/>
            <w:tcBorders>
              <w:bottom w:val="single" w:sz="2" w:space="0" w:color="000000"/>
            </w:tcBorders>
            <w:tcMar>
              <w:bottom w:w="80" w:type="dxa"/>
            </w:tcMar>
            <w:vAlign w:val="bottom"/>
          </w:tcPr>
          <w:p>
            <w:pPr>
              <w:pStyle w:val="TableContents"/>
              <w:bidi w:val="0"/>
              <w:spacing w:before="0" w:after="283"/>
              <w:jc w:val="right"/>
              <w:rPr/>
            </w:pPr>
            <w:r>
              <w:rPr/>
              <w:t>$2,396,987</w:t>
            </w:r>
          </w:p>
        </w:tc>
        <w:tc>
          <w:tcPr>
            <w:tcW w:w="8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9" w:type="dxa"/>
            <w:tcBorders>
              <w:bottom w:val="single" w:sz="2" w:space="0" w:color="000000"/>
            </w:tcBorders>
            <w:tcMar>
              <w:bottom w:w="80" w:type="dxa"/>
            </w:tcMar>
            <w:vAlign w:val="bottom"/>
          </w:tcPr>
          <w:p>
            <w:pPr>
              <w:pStyle w:val="TableContents"/>
              <w:bidi w:val="0"/>
              <w:spacing w:before="0" w:after="283"/>
              <w:jc w:val="right"/>
              <w:rPr/>
            </w:pPr>
            <w:r>
              <w:rPr/>
              <w:t>($43,831</w:t>
            </w:r>
          </w:p>
        </w:tc>
        <w:tc>
          <w:tcPr>
            <w:tcW w:w="15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1"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021" w:type="dxa"/>
            <w:tcBorders>
              <w:bottom w:val="single" w:sz="2" w:space="0" w:color="000000"/>
            </w:tcBorders>
            <w:tcMar>
              <w:bottom w:w="80" w:type="dxa"/>
            </w:tcMar>
            <w:vAlign w:val="bottom"/>
          </w:tcPr>
          <w:p>
            <w:pPr>
              <w:pStyle w:val="TableContents"/>
              <w:bidi w:val="0"/>
              <w:spacing w:before="0" w:after="283"/>
              <w:jc w:val="right"/>
              <w:rPr/>
            </w:pPr>
            <w:r>
              <w:rPr/>
              <w:t>$43,503</w:t>
            </w:r>
          </w:p>
        </w:tc>
        <w:tc>
          <w:tcPr>
            <w:tcW w:w="15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59" w:type="dxa"/>
            <w:tcBorders>
              <w:bottom w:val="single" w:sz="2" w:space="0" w:color="000000"/>
            </w:tcBorders>
            <w:tcMar>
              <w:bottom w:w="80" w:type="dxa"/>
            </w:tcMar>
            <w:vAlign w:val="bottom"/>
          </w:tcPr>
          <w:p>
            <w:pPr>
              <w:pStyle w:val="TableContents"/>
              <w:bidi w:val="0"/>
              <w:spacing w:before="0" w:after="283"/>
              <w:jc w:val="left"/>
              <w:rPr/>
            </w:pPr>
            <w:r>
              <w:rPr/>
              <w:t> </w:t>
            </w:r>
          </w:p>
        </w:tc>
        <w:tc>
          <w:tcPr>
            <w:tcW w:w="991"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6" w:type="dxa"/>
            <w:tcBorders>
              <w:bottom w:val="single" w:sz="2" w:space="0" w:color="000000"/>
            </w:tcBorders>
            <w:tcMar>
              <w:bottom w:w="80" w:type="dxa"/>
            </w:tcMar>
            <w:vAlign w:val="bottom"/>
          </w:tcPr>
          <w:p>
            <w:pPr>
              <w:pStyle w:val="TableContents"/>
              <w:bidi w:val="0"/>
              <w:spacing w:before="0" w:after="283"/>
              <w:jc w:val="left"/>
              <w:rPr/>
            </w:pPr>
            <w:r>
              <w:rPr/>
              <w:t> </w:t>
            </w:r>
          </w:p>
        </w:tc>
        <w:tc>
          <w:tcPr>
            <w:tcW w:w="1096"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9" w:type="dxa"/>
            <w:tcBorders>
              <w:bottom w:val="single" w:sz="2" w:space="0" w:color="000000"/>
            </w:tcBorders>
            <w:tcMar>
              <w:bottom w:w="80" w:type="dxa"/>
            </w:tcMar>
            <w:vAlign w:val="bottom"/>
          </w:tcPr>
          <w:p>
            <w:pPr>
              <w:pStyle w:val="TableContents"/>
              <w:bidi w:val="0"/>
              <w:spacing w:before="0" w:after="283"/>
              <w:jc w:val="right"/>
              <w:rPr/>
            </w:pPr>
            <w:r>
              <w:rPr/>
              <w:t>$2,396,659</w:t>
            </w:r>
          </w:p>
        </w:tc>
        <w:tc>
          <w:tcPr>
            <w:tcW w:w="170"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 </w:t>
            </w:r>
          </w:p>
        </w:tc>
      </w:tr>
      <w:tr>
        <w:trPr/>
        <w:tc>
          <w:tcPr>
            <w:tcW w:w="794"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2022</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15" w:type="dxa"/>
            <w:tcBorders>
              <w:bottom w:val="single" w:sz="2" w:space="0" w:color="000000"/>
            </w:tcBorders>
            <w:tcMar>
              <w:bottom w:w="80" w:type="dxa"/>
            </w:tcMar>
            <w:vAlign w:val="bottom"/>
          </w:tcPr>
          <w:p>
            <w:pPr>
              <w:pStyle w:val="TableContents"/>
              <w:bidi w:val="0"/>
              <w:spacing w:before="0" w:after="283"/>
              <w:jc w:val="right"/>
              <w:rPr/>
            </w:pPr>
            <w:r>
              <w:rPr/>
              <w:t>$643,985</w:t>
            </w:r>
          </w:p>
        </w:tc>
        <w:tc>
          <w:tcPr>
            <w:tcW w:w="8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9" w:type="dxa"/>
            <w:tcBorders>
              <w:bottom w:val="single" w:sz="2" w:space="0" w:color="000000"/>
            </w:tcBorders>
            <w:tcMar>
              <w:bottom w:w="80" w:type="dxa"/>
            </w:tcMar>
            <w:vAlign w:val="bottom"/>
          </w:tcPr>
          <w:p>
            <w:pPr>
              <w:pStyle w:val="TableContents"/>
              <w:bidi w:val="0"/>
              <w:spacing w:before="0" w:after="283"/>
              <w:jc w:val="right"/>
              <w:rPr/>
            </w:pPr>
            <w:r>
              <w:rPr/>
              <w:t>($1,182,385</w:t>
            </w:r>
          </w:p>
        </w:tc>
        <w:tc>
          <w:tcPr>
            <w:tcW w:w="15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1"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021" w:type="dxa"/>
            <w:tcBorders>
              <w:bottom w:val="single" w:sz="2" w:space="0" w:color="000000"/>
            </w:tcBorders>
            <w:tcMar>
              <w:bottom w:w="80" w:type="dxa"/>
            </w:tcMar>
            <w:vAlign w:val="bottom"/>
          </w:tcPr>
          <w:p>
            <w:pPr>
              <w:pStyle w:val="TableContents"/>
              <w:bidi w:val="0"/>
              <w:spacing w:before="0" w:after="283"/>
              <w:jc w:val="right"/>
              <w:rPr/>
            </w:pPr>
            <w:r>
              <w:rPr/>
              <w:t>($744,524</w:t>
            </w:r>
          </w:p>
        </w:tc>
        <w:tc>
          <w:tcPr>
            <w:tcW w:w="15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59" w:type="dxa"/>
            <w:tcBorders>
              <w:bottom w:val="single" w:sz="2" w:space="0" w:color="000000"/>
            </w:tcBorders>
            <w:tcMar>
              <w:bottom w:w="80" w:type="dxa"/>
            </w:tcMar>
            <w:vAlign w:val="bottom"/>
          </w:tcPr>
          <w:p>
            <w:pPr>
              <w:pStyle w:val="TableContents"/>
              <w:bidi w:val="0"/>
              <w:spacing w:before="0" w:after="283"/>
              <w:jc w:val="left"/>
              <w:rPr/>
            </w:pPr>
            <w:r>
              <w:rPr/>
              <w:t> </w:t>
            </w:r>
          </w:p>
        </w:tc>
        <w:tc>
          <w:tcPr>
            <w:tcW w:w="991"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6" w:type="dxa"/>
            <w:tcBorders>
              <w:bottom w:val="single" w:sz="2" w:space="0" w:color="000000"/>
            </w:tcBorders>
            <w:tcMar>
              <w:bottom w:w="80" w:type="dxa"/>
            </w:tcMar>
            <w:vAlign w:val="bottom"/>
          </w:tcPr>
          <w:p>
            <w:pPr>
              <w:pStyle w:val="TableContents"/>
              <w:bidi w:val="0"/>
              <w:spacing w:before="0" w:after="283"/>
              <w:jc w:val="left"/>
              <w:rPr/>
            </w:pPr>
            <w:r>
              <w:rPr/>
              <w:t> </w:t>
            </w:r>
          </w:p>
        </w:tc>
        <w:tc>
          <w:tcPr>
            <w:tcW w:w="1096"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9" w:type="dxa"/>
            <w:tcBorders>
              <w:bottom w:val="single" w:sz="2" w:space="0" w:color="000000"/>
            </w:tcBorders>
            <w:tcMar>
              <w:bottom w:w="80" w:type="dxa"/>
            </w:tcMar>
            <w:vAlign w:val="bottom"/>
          </w:tcPr>
          <w:p>
            <w:pPr>
              <w:pStyle w:val="TableContents"/>
              <w:bidi w:val="0"/>
              <w:spacing w:before="0" w:after="283"/>
              <w:jc w:val="right"/>
              <w:rPr/>
            </w:pPr>
            <w:r>
              <w:rPr/>
              <w:t>($1,282,924</w:t>
            </w:r>
          </w:p>
        </w:tc>
        <w:tc>
          <w:tcPr>
            <w:tcW w:w="170"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 </w:t>
            </w:r>
          </w:p>
        </w:tc>
      </w:tr>
      <w:tr>
        <w:trPr/>
        <w:tc>
          <w:tcPr>
            <w:tcW w:w="794"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2021</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15" w:type="dxa"/>
            <w:tcBorders>
              <w:bottom w:val="single" w:sz="2" w:space="0" w:color="000000"/>
            </w:tcBorders>
            <w:tcMar>
              <w:bottom w:w="80" w:type="dxa"/>
            </w:tcMar>
            <w:vAlign w:val="bottom"/>
          </w:tcPr>
          <w:p>
            <w:pPr>
              <w:pStyle w:val="TableContents"/>
              <w:bidi w:val="0"/>
              <w:spacing w:before="0" w:after="283"/>
              <w:jc w:val="right"/>
              <w:rPr/>
            </w:pPr>
            <w:r>
              <w:rPr/>
              <w:t>$690,390</w:t>
            </w:r>
          </w:p>
        </w:tc>
        <w:tc>
          <w:tcPr>
            <w:tcW w:w="8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9" w:type="dxa"/>
            <w:tcBorders>
              <w:bottom w:val="single" w:sz="2" w:space="0" w:color="000000"/>
            </w:tcBorders>
            <w:tcMar>
              <w:bottom w:w="80" w:type="dxa"/>
            </w:tcMar>
            <w:vAlign w:val="bottom"/>
          </w:tcPr>
          <w:p>
            <w:pPr>
              <w:pStyle w:val="TableContents"/>
              <w:bidi w:val="0"/>
              <w:spacing w:before="0" w:after="283"/>
              <w:jc w:val="right"/>
              <w:rPr/>
            </w:pPr>
            <w:r>
              <w:rPr/>
              <w:t>($3,006,050</w:t>
            </w:r>
          </w:p>
        </w:tc>
        <w:tc>
          <w:tcPr>
            <w:tcW w:w="15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1"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021" w:type="dxa"/>
            <w:tcBorders>
              <w:bottom w:val="single" w:sz="2" w:space="0" w:color="000000"/>
            </w:tcBorders>
            <w:tcMar>
              <w:bottom w:w="80" w:type="dxa"/>
            </w:tcMar>
            <w:vAlign w:val="bottom"/>
          </w:tcPr>
          <w:p>
            <w:pPr>
              <w:pStyle w:val="TableContents"/>
              <w:bidi w:val="0"/>
              <w:spacing w:before="0" w:after="283"/>
              <w:jc w:val="right"/>
              <w:rPr/>
            </w:pPr>
            <w:r>
              <w:rPr/>
              <w:t>($762,083</w:t>
            </w:r>
          </w:p>
        </w:tc>
        <w:tc>
          <w:tcPr>
            <w:tcW w:w="15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59" w:type="dxa"/>
            <w:tcBorders>
              <w:bottom w:val="single" w:sz="2" w:space="0" w:color="000000"/>
            </w:tcBorders>
            <w:tcMar>
              <w:bottom w:w="80" w:type="dxa"/>
            </w:tcMar>
            <w:vAlign w:val="bottom"/>
          </w:tcPr>
          <w:p>
            <w:pPr>
              <w:pStyle w:val="TableContents"/>
              <w:bidi w:val="0"/>
              <w:spacing w:before="0" w:after="283"/>
              <w:jc w:val="left"/>
              <w:rPr/>
            </w:pPr>
            <w:r>
              <w:rPr/>
              <w:t> </w:t>
            </w:r>
          </w:p>
        </w:tc>
        <w:tc>
          <w:tcPr>
            <w:tcW w:w="991"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6" w:type="dxa"/>
            <w:tcBorders>
              <w:bottom w:val="single" w:sz="2" w:space="0" w:color="000000"/>
            </w:tcBorders>
            <w:tcMar>
              <w:bottom w:w="80" w:type="dxa"/>
            </w:tcMar>
            <w:vAlign w:val="bottom"/>
          </w:tcPr>
          <w:p>
            <w:pPr>
              <w:pStyle w:val="TableContents"/>
              <w:bidi w:val="0"/>
              <w:spacing w:before="0" w:after="283"/>
              <w:jc w:val="left"/>
              <w:rPr/>
            </w:pPr>
            <w:r>
              <w:rPr/>
              <w:t> </w:t>
            </w:r>
          </w:p>
        </w:tc>
        <w:tc>
          <w:tcPr>
            <w:tcW w:w="1096"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9" w:type="dxa"/>
            <w:tcBorders>
              <w:bottom w:val="single" w:sz="2" w:space="0" w:color="000000"/>
            </w:tcBorders>
            <w:tcMar>
              <w:bottom w:w="80" w:type="dxa"/>
            </w:tcMar>
            <w:vAlign w:val="bottom"/>
          </w:tcPr>
          <w:p>
            <w:pPr>
              <w:pStyle w:val="TableContents"/>
              <w:bidi w:val="0"/>
              <w:spacing w:before="0" w:after="283"/>
              <w:jc w:val="right"/>
              <w:rPr/>
            </w:pPr>
            <w:r>
              <w:rPr/>
              <w:t>($3,077,743</w:t>
            </w:r>
          </w:p>
        </w:tc>
        <w:tc>
          <w:tcPr>
            <w:tcW w:w="170"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(3) The dollar amounts reported in column (d) represent the average of the amounts reported for our Non-PEO Named Executive Officers as a group in the Total column of the Summary Compensation Table in each applicable year. For 2022 and 2021, Mr. Celano is our sole Non-PEO Named Executive Officer. For 2023, Mr. Celano and Dr. Shankar are our Non-PEO Named Executive Officers. </w:t>
      </w:r>
    </w:p>
    <w:p>
      <w:pPr>
        <w:pStyle w:val="TextBody"/>
        <w:bidi w:val="0"/>
        <w:spacing w:before="200" w:after="0"/>
        <w:jc w:val="left"/>
        <w:rPr>
          <w:rFonts w:ascii="Times New Roman" w:hAnsi="Times New Roman"/>
          <w:sz w:val="20"/>
        </w:rPr>
      </w:pPr>
      <w:r>
        <w:rPr>
          <w:rFonts w:ascii="Times New Roman" w:hAnsi="Times New Roman"/>
          <w:sz w:val="20"/>
        </w:rPr>
        <w:t xml:space="preserve">(4) The dollar amounts reported in column (e) represent the average of compensation actually paid to our Non-PEO Named Executive Officers as a group, as computed in accordance with Item 402(v) of Regulation S-K (exclusively, Mr. Celano for 2022 and 2021 and, collectively, Mr. Celano and Dr. Shankar for 2023). The dollar amounts do not reflect the actual average compensation earned by or paid to the Non-PEO Named Executive Officers as a group during the applicable year. In accordance with the requirements of Item 402(v) of Regulation S-K, the following adjustments were made to average total compensation for our Non-PEO Named Executive Officers as a group for each year to determine the compensation actually paid, using the same methodology described above in Note (2):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2"/>
        <w:gridCol w:w="299"/>
        <w:gridCol w:w="354"/>
        <w:gridCol w:w="2514"/>
        <w:gridCol w:w="299"/>
        <w:gridCol w:w="299"/>
        <w:gridCol w:w="212"/>
        <w:gridCol w:w="1298"/>
        <w:gridCol w:w="477"/>
        <w:gridCol w:w="299"/>
        <w:gridCol w:w="60"/>
        <w:gridCol w:w="1262"/>
        <w:gridCol w:w="477"/>
        <w:gridCol w:w="299"/>
        <w:gridCol w:w="1474"/>
      </w:tblGrid>
      <w:tr>
        <w:trPr/>
        <w:tc>
          <w:tcPr>
            <w:tcW w:w="582"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47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r>
      <w:tr>
        <w:trPr/>
        <w:tc>
          <w:tcPr>
            <w:tcW w:w="582" w:type="dxa"/>
            <w:tcBorders>
              <w:top w:val="single" w:sz="2" w:space="0" w:color="000000"/>
              <w:left w:val="single" w:sz="2" w:space="0" w:color="000000"/>
              <w:bottom w:val="single" w:sz="2" w:space="0" w:color="000000"/>
              <w:right w:val="single" w:sz="2" w:space="0" w:color="000000"/>
            </w:tcBorders>
            <w:shd w:fill="4DC1E4" w:val="clear"/>
            <w:tcMar>
              <w:top w:w="28" w:type="dxa"/>
              <w:left w:w="160" w:type="dxa"/>
              <w:bottom w:w="80" w:type="dxa"/>
              <w:right w:w="28" w:type="dxa"/>
            </w:tcMar>
            <w:vAlign w:val="bottom"/>
          </w:tcPr>
          <w:p>
            <w:pPr>
              <w:pStyle w:val="TableContents"/>
              <w:bidi w:val="0"/>
              <w:spacing w:before="0" w:after="283"/>
              <w:jc w:val="center"/>
              <w:rPr>
                <w:b/>
                <w:color w:val="FFFFFF"/>
              </w:rPr>
            </w:pPr>
            <w:r>
              <w:rPr>
                <w:b/>
                <w:color w:val="FFFFFF"/>
              </w:rPr>
              <w:t>Year </w:t>
            </w:r>
          </w:p>
        </w:tc>
        <w:tc>
          <w:tcPr>
            <w:tcW w:w="299"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2868" w:type="dxa"/>
            <w:gridSpan w:val="2"/>
            <w:tcBorders>
              <w:top w:val="single" w:sz="2" w:space="0" w:color="000000"/>
              <w:bottom w:val="single" w:sz="2" w:space="0" w:color="000000"/>
            </w:tcBorders>
            <w:shd w:fill="4DC1E4" w:val="clear"/>
            <w:tcMar>
              <w:top w:w="28" w:type="dxa"/>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Reported Summary Compensation</w:t>
              <w:br/>
              <w:t>Table Total for Non-PEO NEOs</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299" w:type="dxa"/>
            <w:tcBorders>
              <w:top w:val="single" w:sz="2" w:space="0" w:color="000000"/>
              <w:bottom w:val="single" w:sz="2" w:space="0" w:color="000000"/>
              <w:right w:val="single" w:sz="2" w:space="0" w:color="000000"/>
            </w:tcBorders>
            <w:shd w:fill="4DC1E4" w:val="clear"/>
            <w:tcMar>
              <w:top w:w="28" w:type="dxa"/>
              <w:bottom w:w="28" w:type="dxa"/>
              <w:right w:w="28" w:type="dxa"/>
            </w:tcMar>
            <w:vAlign w:val="bottom"/>
          </w:tcPr>
          <w:p>
            <w:pPr>
              <w:pStyle w:val="TableContents"/>
              <w:bidi w:val="0"/>
              <w:spacing w:before="0" w:after="283"/>
              <w:jc w:val="left"/>
              <w:rPr/>
            </w:pPr>
            <w:r>
              <w:rPr/>
              <w:t> </w:t>
            </w:r>
          </w:p>
        </w:tc>
        <w:tc>
          <w:tcPr>
            <w:tcW w:w="299"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510" w:type="dxa"/>
            <w:gridSpan w:val="2"/>
            <w:tcBorders>
              <w:top w:val="single" w:sz="2" w:space="0" w:color="000000"/>
              <w:bottom w:val="single" w:sz="2" w:space="0" w:color="000000"/>
            </w:tcBorders>
            <w:shd w:fill="4DC1E4" w:val="clear"/>
            <w:tcMar>
              <w:top w:w="28" w:type="dxa"/>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Less: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Reported Value of</w:t>
              <w:br/>
              <w:t>Equity Awards (a)</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477" w:type="dxa"/>
            <w:tcBorders>
              <w:top w:val="single" w:sz="2" w:space="0" w:color="000000"/>
              <w:bottom w:val="single" w:sz="2" w:space="0" w:color="000000"/>
              <w:right w:val="single" w:sz="2" w:space="0" w:color="000000"/>
            </w:tcBorders>
            <w:shd w:fill="4DC1E4" w:val="clear"/>
            <w:tcMar>
              <w:top w:w="28" w:type="dxa"/>
              <w:bottom w:w="28" w:type="dxa"/>
              <w:right w:w="28" w:type="dxa"/>
            </w:tcMar>
            <w:vAlign w:val="bottom"/>
          </w:tcPr>
          <w:p>
            <w:pPr>
              <w:pStyle w:val="TableContents"/>
              <w:bidi w:val="0"/>
              <w:spacing w:before="0" w:after="283"/>
              <w:jc w:val="left"/>
              <w:rPr/>
            </w:pPr>
            <w:r>
              <w:rPr/>
              <w:t> </w:t>
            </w:r>
          </w:p>
        </w:tc>
        <w:tc>
          <w:tcPr>
            <w:tcW w:w="299"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322" w:type="dxa"/>
            <w:gridSpan w:val="2"/>
            <w:tcBorders>
              <w:top w:val="single" w:sz="2" w:space="0" w:color="000000"/>
              <w:bottom w:val="single" w:sz="2" w:space="0" w:color="000000"/>
            </w:tcBorders>
            <w:shd w:fill="4DC1E4" w:val="clear"/>
            <w:tcMar>
              <w:top w:w="28" w:type="dxa"/>
              <w:bottom w:w="8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Plus: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Equity Award</w:t>
              <w:br/>
              <w:t>Adjustments  (b)</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477" w:type="dxa"/>
            <w:tcBorders>
              <w:top w:val="single" w:sz="2" w:space="0" w:color="000000"/>
              <w:bottom w:val="single" w:sz="2" w:space="0" w:color="000000"/>
              <w:right w:val="single" w:sz="2" w:space="0" w:color="000000"/>
            </w:tcBorders>
            <w:shd w:fill="4DC1E4" w:val="clear"/>
            <w:tcMar>
              <w:top w:w="28" w:type="dxa"/>
              <w:bottom w:w="28" w:type="dxa"/>
              <w:right w:w="28" w:type="dxa"/>
            </w:tcMar>
            <w:vAlign w:val="bottom"/>
          </w:tcPr>
          <w:p>
            <w:pPr>
              <w:pStyle w:val="TableContents"/>
              <w:bidi w:val="0"/>
              <w:spacing w:before="0" w:after="283"/>
              <w:jc w:val="left"/>
              <w:rPr/>
            </w:pPr>
            <w:r>
              <w:rPr/>
              <w:t> </w:t>
            </w:r>
          </w:p>
        </w:tc>
        <w:tc>
          <w:tcPr>
            <w:tcW w:w="299"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1474" w:type="dxa"/>
            <w:tcBorders>
              <w:top w:val="single" w:sz="2" w:space="0" w:color="000000"/>
              <w:bottom w:val="single" w:sz="2" w:space="0" w:color="000000"/>
              <w:right w:val="single" w:sz="2" w:space="0" w:color="000000"/>
            </w:tcBorders>
            <w:shd w:fill="4DC1E4" w:val="clear"/>
            <w:tcMar>
              <w:top w:w="28" w:type="dxa"/>
              <w:bottom w:w="80" w:type="dxa"/>
              <w:right w:w="40"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Equals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Compensation</w:t>
              <w:br/>
              <w:t>Actually Paid to  Non-</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PEO NEOs</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r>
      <w:tr>
        <w:trPr/>
        <w:tc>
          <w:tcPr>
            <w:tcW w:w="582" w:type="dxa"/>
            <w:tcBorders>
              <w:left w:val="single" w:sz="2" w:space="0" w:color="000000"/>
              <w:bottom w:val="single" w:sz="2" w:space="0" w:color="000000"/>
              <w:right w:val="single" w:sz="2" w:space="0" w:color="000000"/>
            </w:tcBorders>
            <w:tcMar>
              <w:left w:w="160" w:type="dxa"/>
              <w:bottom w:w="120" w:type="dxa"/>
              <w:right w:w="28" w:type="dxa"/>
            </w:tcMar>
            <w:vAlign w:val="bottom"/>
          </w:tcPr>
          <w:p>
            <w:pPr>
              <w:pStyle w:val="TableContents"/>
              <w:bidi w:val="0"/>
              <w:spacing w:before="0" w:after="283"/>
              <w:jc w:val="center"/>
              <w:rPr/>
            </w:pPr>
            <w:r>
              <w:rPr/>
              <w:t>(a)</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2868" w:type="dxa"/>
            <w:gridSpan w:val="2"/>
            <w:tcBorders>
              <w:bottom w:val="single" w:sz="2" w:space="0" w:color="000000"/>
            </w:tcBorders>
            <w:tcMar>
              <w:bottom w:w="120" w:type="dxa"/>
            </w:tcMar>
            <w:vAlign w:val="bottom"/>
          </w:tcPr>
          <w:p>
            <w:pPr>
              <w:pStyle w:val="TableContents"/>
              <w:bidi w:val="0"/>
              <w:spacing w:before="0" w:after="283"/>
              <w:jc w:val="center"/>
              <w:rPr/>
            </w:pPr>
            <w:r>
              <w:rPr/>
              <w:t>(b)</w:t>
            </w:r>
          </w:p>
        </w:tc>
        <w:tc>
          <w:tcPr>
            <w:tcW w:w="299"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1510" w:type="dxa"/>
            <w:gridSpan w:val="2"/>
            <w:tcBorders>
              <w:bottom w:val="single" w:sz="2" w:space="0" w:color="000000"/>
            </w:tcBorders>
            <w:tcMar>
              <w:bottom w:w="120" w:type="dxa"/>
            </w:tcMar>
            <w:vAlign w:val="bottom"/>
          </w:tcPr>
          <w:p>
            <w:pPr>
              <w:pStyle w:val="TableContents"/>
              <w:bidi w:val="0"/>
              <w:spacing w:before="0" w:after="283"/>
              <w:jc w:val="center"/>
              <w:rPr/>
            </w:pPr>
            <w:r>
              <w:rPr/>
              <w:t>(c)</w:t>
            </w:r>
          </w:p>
        </w:tc>
        <w:tc>
          <w:tcPr>
            <w:tcW w:w="477"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1322" w:type="dxa"/>
            <w:gridSpan w:val="2"/>
            <w:tcBorders>
              <w:bottom w:val="single" w:sz="2" w:space="0" w:color="000000"/>
            </w:tcBorders>
            <w:tcMar>
              <w:bottom w:w="120" w:type="dxa"/>
            </w:tcMar>
            <w:vAlign w:val="bottom"/>
          </w:tcPr>
          <w:p>
            <w:pPr>
              <w:pStyle w:val="TableContents"/>
              <w:bidi w:val="0"/>
              <w:spacing w:before="0" w:after="283"/>
              <w:jc w:val="center"/>
              <w:rPr/>
            </w:pPr>
            <w:r>
              <w:rPr/>
              <w:t>(d)</w:t>
            </w:r>
          </w:p>
        </w:tc>
        <w:tc>
          <w:tcPr>
            <w:tcW w:w="477" w:type="dxa"/>
            <w:tcBorders>
              <w:bottom w:val="single" w:sz="2" w:space="0" w:color="000000"/>
              <w:right w:val="single" w:sz="2" w:space="0" w:color="000000"/>
            </w:tcBorders>
            <w:tcMar>
              <w:bottom w:w="28"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1474" w:type="dxa"/>
            <w:tcBorders>
              <w:bottom w:val="single" w:sz="2" w:space="0" w:color="000000"/>
              <w:right w:val="single" w:sz="2" w:space="0" w:color="000000"/>
            </w:tcBorders>
            <w:tcMar>
              <w:bottom w:w="120" w:type="dxa"/>
              <w:right w:w="40" w:type="dxa"/>
            </w:tcMar>
            <w:vAlign w:val="bottom"/>
          </w:tcPr>
          <w:p>
            <w:pPr>
              <w:pStyle w:val="TableContents"/>
              <w:bidi w:val="0"/>
              <w:spacing w:before="0" w:after="283"/>
              <w:jc w:val="center"/>
              <w:rPr/>
            </w:pPr>
            <w:r>
              <w:rPr/>
              <w:t>(e)</w:t>
            </w:r>
          </w:p>
        </w:tc>
      </w:tr>
      <w:tr>
        <w:trPr/>
        <w:tc>
          <w:tcPr>
            <w:tcW w:w="582"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2023 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80" w:type="dxa"/>
            </w:tcMar>
            <w:vAlign w:val="bottom"/>
          </w:tcPr>
          <w:p>
            <w:pPr>
              <w:pStyle w:val="TableContents"/>
              <w:bidi w:val="0"/>
              <w:spacing w:before="0" w:after="283"/>
              <w:jc w:val="left"/>
              <w:rPr/>
            </w:pPr>
            <w:r>
              <w:rPr/>
              <w:t>$</w:t>
            </w:r>
          </w:p>
        </w:tc>
        <w:tc>
          <w:tcPr>
            <w:tcW w:w="2514" w:type="dxa"/>
            <w:tcBorders>
              <w:bottom w:val="single" w:sz="2" w:space="0" w:color="000000"/>
            </w:tcBorders>
            <w:tcMar>
              <w:bottom w:w="80" w:type="dxa"/>
            </w:tcMar>
            <w:vAlign w:val="bottom"/>
          </w:tcPr>
          <w:p>
            <w:pPr>
              <w:pStyle w:val="TableContents"/>
              <w:bidi w:val="0"/>
              <w:spacing w:before="0" w:after="283"/>
              <w:jc w:val="right"/>
              <w:rPr/>
            </w:pPr>
            <w:r>
              <w:rPr/>
              <w:t>1,399,936 </w:t>
            </w:r>
          </w:p>
        </w:tc>
        <w:tc>
          <w:tcPr>
            <w:tcW w:w="29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212" w:type="dxa"/>
            <w:tcBorders>
              <w:bottom w:val="single" w:sz="2" w:space="0" w:color="000000"/>
            </w:tcBorders>
            <w:tcMar>
              <w:bottom w:w="80" w:type="dxa"/>
            </w:tcMar>
            <w:vAlign w:val="bottom"/>
          </w:tcPr>
          <w:p>
            <w:pPr>
              <w:pStyle w:val="TableContents"/>
              <w:bidi w:val="0"/>
              <w:spacing w:before="0" w:after="283"/>
              <w:jc w:val="left"/>
              <w:rPr/>
            </w:pPr>
            <w:r>
              <w:rPr/>
              <w:t>($</w:t>
            </w:r>
          </w:p>
        </w:tc>
        <w:tc>
          <w:tcPr>
            <w:tcW w:w="1298" w:type="dxa"/>
            <w:tcBorders>
              <w:bottom w:val="single" w:sz="2" w:space="0" w:color="000000"/>
            </w:tcBorders>
            <w:tcMar>
              <w:bottom w:w="80" w:type="dxa"/>
            </w:tcMar>
            <w:vAlign w:val="bottom"/>
          </w:tcPr>
          <w:p>
            <w:pPr>
              <w:pStyle w:val="TableContents"/>
              <w:bidi w:val="0"/>
              <w:spacing w:before="0" w:after="283"/>
              <w:jc w:val="right"/>
              <w:rPr/>
            </w:pPr>
            <w:r>
              <w:rPr/>
              <w:t>836,284</w:t>
            </w:r>
          </w:p>
        </w:tc>
        <w:tc>
          <w:tcPr>
            <w:tcW w:w="477"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262" w:type="dxa"/>
            <w:tcBorders>
              <w:bottom w:val="single" w:sz="2" w:space="0" w:color="000000"/>
            </w:tcBorders>
            <w:tcMar>
              <w:bottom w:w="80" w:type="dxa"/>
            </w:tcMar>
            <w:vAlign w:val="bottom"/>
          </w:tcPr>
          <w:p>
            <w:pPr>
              <w:pStyle w:val="TableContents"/>
              <w:bidi w:val="0"/>
              <w:spacing w:before="0" w:after="283"/>
              <w:jc w:val="right"/>
              <w:rPr/>
            </w:pPr>
            <w:r>
              <w:rPr/>
              <w:t>$674,754 </w:t>
            </w:r>
          </w:p>
        </w:tc>
        <w:tc>
          <w:tcPr>
            <w:tcW w:w="477"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147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$1,238,406 </w:t>
            </w:r>
          </w:p>
        </w:tc>
      </w:tr>
      <w:tr>
        <w:trPr/>
        <w:tc>
          <w:tcPr>
            <w:tcW w:w="582"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2022 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80" w:type="dxa"/>
            </w:tcMar>
            <w:vAlign w:val="bottom"/>
          </w:tcPr>
          <w:p>
            <w:pPr>
              <w:pStyle w:val="TableContents"/>
              <w:bidi w:val="0"/>
              <w:spacing w:before="0" w:after="283"/>
              <w:jc w:val="left"/>
              <w:rPr/>
            </w:pPr>
            <w:r>
              <w:rPr/>
              <w:t>$</w:t>
            </w:r>
          </w:p>
        </w:tc>
        <w:tc>
          <w:tcPr>
            <w:tcW w:w="2514" w:type="dxa"/>
            <w:tcBorders>
              <w:bottom w:val="single" w:sz="2" w:space="0" w:color="000000"/>
            </w:tcBorders>
            <w:tcMar>
              <w:bottom w:w="80" w:type="dxa"/>
            </w:tcMar>
            <w:vAlign w:val="bottom"/>
          </w:tcPr>
          <w:p>
            <w:pPr>
              <w:pStyle w:val="TableContents"/>
              <w:bidi w:val="0"/>
              <w:spacing w:before="0" w:after="283"/>
              <w:jc w:val="right"/>
              <w:rPr/>
            </w:pPr>
            <w:r>
              <w:rPr/>
              <w:t>1,132,322 </w:t>
            </w:r>
          </w:p>
        </w:tc>
        <w:tc>
          <w:tcPr>
            <w:tcW w:w="29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212" w:type="dxa"/>
            <w:tcBorders>
              <w:bottom w:val="single" w:sz="2" w:space="0" w:color="000000"/>
            </w:tcBorders>
            <w:tcMar>
              <w:bottom w:w="80" w:type="dxa"/>
            </w:tcMar>
            <w:vAlign w:val="bottom"/>
          </w:tcPr>
          <w:p>
            <w:pPr>
              <w:pStyle w:val="TableContents"/>
              <w:bidi w:val="0"/>
              <w:spacing w:before="0" w:after="283"/>
              <w:jc w:val="left"/>
              <w:rPr/>
            </w:pPr>
            <w:r>
              <w:rPr/>
              <w:t>($</w:t>
            </w:r>
          </w:p>
        </w:tc>
        <w:tc>
          <w:tcPr>
            <w:tcW w:w="1298" w:type="dxa"/>
            <w:tcBorders>
              <w:bottom w:val="single" w:sz="2" w:space="0" w:color="000000"/>
            </w:tcBorders>
            <w:tcMar>
              <w:bottom w:w="80" w:type="dxa"/>
            </w:tcMar>
            <w:vAlign w:val="bottom"/>
          </w:tcPr>
          <w:p>
            <w:pPr>
              <w:pStyle w:val="TableContents"/>
              <w:bidi w:val="0"/>
              <w:spacing w:before="0" w:after="283"/>
              <w:jc w:val="right"/>
              <w:rPr/>
            </w:pPr>
            <w:r>
              <w:rPr/>
              <w:t>569,702</w:t>
            </w:r>
          </w:p>
        </w:tc>
        <w:tc>
          <w:tcPr>
            <w:tcW w:w="477"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262" w:type="dxa"/>
            <w:tcBorders>
              <w:bottom w:val="single" w:sz="2" w:space="0" w:color="000000"/>
            </w:tcBorders>
            <w:tcMar>
              <w:bottom w:w="80" w:type="dxa"/>
            </w:tcMar>
            <w:vAlign w:val="bottom"/>
          </w:tcPr>
          <w:p>
            <w:pPr>
              <w:pStyle w:val="TableContents"/>
              <w:bidi w:val="0"/>
              <w:spacing w:before="0" w:after="283"/>
              <w:jc w:val="right"/>
              <w:rPr/>
            </w:pPr>
            <w:r>
              <w:rPr/>
              <w:t>($357,403</w:t>
            </w:r>
          </w:p>
        </w:tc>
        <w:tc>
          <w:tcPr>
            <w:tcW w:w="477"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147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$205,217 </w:t>
            </w:r>
          </w:p>
        </w:tc>
      </w:tr>
      <w:tr>
        <w:trPr/>
        <w:tc>
          <w:tcPr>
            <w:tcW w:w="582"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2021 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80" w:type="dxa"/>
            </w:tcMar>
            <w:vAlign w:val="bottom"/>
          </w:tcPr>
          <w:p>
            <w:pPr>
              <w:pStyle w:val="TableContents"/>
              <w:bidi w:val="0"/>
              <w:spacing w:before="0" w:after="283"/>
              <w:jc w:val="left"/>
              <w:rPr/>
            </w:pPr>
            <w:r>
              <w:rPr/>
              <w:t>$</w:t>
            </w:r>
          </w:p>
        </w:tc>
        <w:tc>
          <w:tcPr>
            <w:tcW w:w="2514" w:type="dxa"/>
            <w:tcBorders>
              <w:bottom w:val="single" w:sz="2" w:space="0" w:color="000000"/>
            </w:tcBorders>
            <w:tcMar>
              <w:bottom w:w="80" w:type="dxa"/>
            </w:tcMar>
            <w:vAlign w:val="bottom"/>
          </w:tcPr>
          <w:p>
            <w:pPr>
              <w:pStyle w:val="TableContents"/>
              <w:bidi w:val="0"/>
              <w:spacing w:before="0" w:after="283"/>
              <w:jc w:val="right"/>
              <w:rPr/>
            </w:pPr>
            <w:r>
              <w:rPr/>
              <w:t>1,065,754 </w:t>
            </w:r>
          </w:p>
        </w:tc>
        <w:tc>
          <w:tcPr>
            <w:tcW w:w="299"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212" w:type="dxa"/>
            <w:tcBorders>
              <w:bottom w:val="single" w:sz="2" w:space="0" w:color="000000"/>
            </w:tcBorders>
            <w:tcMar>
              <w:bottom w:w="80" w:type="dxa"/>
            </w:tcMar>
            <w:vAlign w:val="bottom"/>
          </w:tcPr>
          <w:p>
            <w:pPr>
              <w:pStyle w:val="TableContents"/>
              <w:bidi w:val="0"/>
              <w:spacing w:before="0" w:after="283"/>
              <w:jc w:val="left"/>
              <w:rPr/>
            </w:pPr>
            <w:r>
              <w:rPr/>
              <w:t>($</w:t>
            </w:r>
          </w:p>
        </w:tc>
        <w:tc>
          <w:tcPr>
            <w:tcW w:w="1298" w:type="dxa"/>
            <w:tcBorders>
              <w:bottom w:val="single" w:sz="2" w:space="0" w:color="000000"/>
            </w:tcBorders>
            <w:tcMar>
              <w:bottom w:w="80" w:type="dxa"/>
            </w:tcMar>
            <w:vAlign w:val="bottom"/>
          </w:tcPr>
          <w:p>
            <w:pPr>
              <w:pStyle w:val="TableContents"/>
              <w:bidi w:val="0"/>
              <w:spacing w:before="0" w:after="283"/>
              <w:jc w:val="right"/>
              <w:rPr/>
            </w:pPr>
            <w:r>
              <w:rPr/>
              <w:t>618,148</w:t>
            </w:r>
          </w:p>
        </w:tc>
        <w:tc>
          <w:tcPr>
            <w:tcW w:w="477"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262" w:type="dxa"/>
            <w:tcBorders>
              <w:bottom w:val="single" w:sz="2" w:space="0" w:color="000000"/>
            </w:tcBorders>
            <w:tcMar>
              <w:bottom w:w="80" w:type="dxa"/>
            </w:tcMar>
            <w:vAlign w:val="bottom"/>
          </w:tcPr>
          <w:p>
            <w:pPr>
              <w:pStyle w:val="TableContents"/>
              <w:bidi w:val="0"/>
              <w:spacing w:before="0" w:after="283"/>
              <w:jc w:val="right"/>
              <w:rPr/>
            </w:pPr>
            <w:r>
              <w:rPr/>
              <w:t>($1,146,670</w:t>
            </w:r>
          </w:p>
        </w:tc>
        <w:tc>
          <w:tcPr>
            <w:tcW w:w="477"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299" w:type="dxa"/>
            <w:tcBorders>
              <w:bottom w:val="single" w:sz="2" w:space="0" w:color="000000"/>
            </w:tcBorders>
            <w:tcMar>
              <w:bottom w:w="28" w:type="dxa"/>
            </w:tcMar>
            <w:vAlign w:val="bottom"/>
          </w:tcPr>
          <w:p>
            <w:pPr>
              <w:pStyle w:val="TableContents"/>
              <w:bidi w:val="0"/>
              <w:spacing w:before="0" w:after="283"/>
              <w:jc w:val="left"/>
              <w:rPr/>
            </w:pPr>
            <w:r>
              <w:rPr/>
              <w:t> </w:t>
            </w:r>
          </w:p>
        </w:tc>
        <w:tc>
          <w:tcPr>
            <w:tcW w:w="1474"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center"/>
              <w:rPr/>
            </w:pPr>
            <w:r>
              <w:rPr/>
              <w:t>($699,064) </w:t>
            </w:r>
          </w:p>
        </w:tc>
      </w:tr>
    </w:tbl>
    <w:p>
      <w:pPr>
        <w:pStyle w:val="TextBody"/>
        <w:bidi w:val="0"/>
        <w:spacing w:before="240" w:after="0"/>
        <w:jc w:val="both"/>
        <w:rPr>
          <w:rFonts w:ascii="Times New Roman" w:hAnsi="Times New Roman"/>
          <w:sz w:val="20"/>
        </w:rPr>
      </w:pPr>
      <w:r>
        <w:rPr>
          <w:rFonts w:ascii="Times New Roman" w:hAnsi="Times New Roman"/>
          <w:sz w:val="20"/>
        </w:rPr>
        <w:t xml:space="preserve">(a) The grant date fair value of the equity awards represents the average total of the amounts reported in the Stock Awards and Option Awards columns for the Non-PEO Named Executive Officers in the Summary Compensation Table for the applicable year. </w:t>
      </w:r>
    </w:p>
    <w:p>
      <w:pPr>
        <w:pStyle w:val="TextBody"/>
        <w:bidi w:val="0"/>
        <w:spacing w:before="240" w:after="0"/>
        <w:jc w:val="left"/>
        <w:rPr>
          <w:rFonts w:ascii="Times New Roman" w:hAnsi="Times New Roman"/>
          <w:sz w:val="20"/>
        </w:rPr>
      </w:pPr>
      <w:r>
        <w:rPr>
          <w:rFonts w:ascii="Times New Roman" w:hAnsi="Times New Roman"/>
          <w:sz w:val="20"/>
        </w:rPr>
        <w:t xml:space="preserve">(b) The amounts deducted or added in calculating the total average equity award adjustments are as follows: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961"/>
        <w:gridCol w:w="104"/>
        <w:gridCol w:w="60"/>
        <w:gridCol w:w="60"/>
        <w:gridCol w:w="936"/>
        <w:gridCol w:w="23"/>
        <w:gridCol w:w="104"/>
        <w:gridCol w:w="60"/>
        <w:gridCol w:w="60"/>
        <w:gridCol w:w="996"/>
        <w:gridCol w:w="95"/>
        <w:gridCol w:w="104"/>
        <w:gridCol w:w="59"/>
        <w:gridCol w:w="60"/>
        <w:gridCol w:w="984"/>
        <w:gridCol w:w="60"/>
        <w:gridCol w:w="104"/>
        <w:gridCol w:w="60"/>
        <w:gridCol w:w="60"/>
        <w:gridCol w:w="996"/>
        <w:gridCol w:w="95"/>
        <w:gridCol w:w="104"/>
        <w:gridCol w:w="60"/>
        <w:gridCol w:w="60"/>
        <w:gridCol w:w="984"/>
        <w:gridCol w:w="60"/>
        <w:gridCol w:w="104"/>
        <w:gridCol w:w="60"/>
        <w:gridCol w:w="60"/>
        <w:gridCol w:w="984"/>
        <w:gridCol w:w="60"/>
        <w:gridCol w:w="103"/>
        <w:gridCol w:w="60"/>
        <w:gridCol w:w="60"/>
        <w:gridCol w:w="1197"/>
        <w:gridCol w:w="105"/>
      </w:tblGrid>
      <w:tr>
        <w:trPr/>
        <w:tc>
          <w:tcPr>
            <w:tcW w:w="9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961" w:type="dxa"/>
            <w:tcBorders>
              <w:top w:val="single" w:sz="2" w:space="0" w:color="000000"/>
              <w:left w:val="single" w:sz="2" w:space="0" w:color="000000"/>
              <w:right w:val="single" w:sz="2" w:space="0" w:color="000000"/>
            </w:tcBorders>
            <w:shd w:fill="4DC1E4" w:val="clear"/>
            <w:tcMar>
              <w:top w:w="28" w:type="dxa"/>
              <w:left w:w="160" w:type="dxa"/>
              <w:right w:w="28" w:type="dxa"/>
            </w:tcMar>
            <w:vAlign w:val="center"/>
          </w:tcPr>
          <w:p>
            <w:pPr>
              <w:pStyle w:val="TableContents"/>
              <w:bidi w:val="0"/>
              <w:spacing w:before="0" w:after="283"/>
              <w:jc w:val="left"/>
              <w:rPr/>
            </w:pPr>
            <w:r>
              <w:rPr/>
              <w:t> </w:t>
            </w:r>
          </w:p>
        </w:tc>
        <w:tc>
          <w:tcPr>
            <w:tcW w:w="1183" w:type="dxa"/>
            <w:gridSpan w:val="5"/>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315" w:type="dxa"/>
            <w:gridSpan w:val="5"/>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267" w:type="dxa"/>
            <w:gridSpan w:val="5"/>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315" w:type="dxa"/>
            <w:gridSpan w:val="5"/>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268" w:type="dxa"/>
            <w:gridSpan w:val="5"/>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268" w:type="dxa"/>
            <w:gridSpan w:val="5"/>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c>
          <w:tcPr>
            <w:tcW w:w="1525" w:type="dxa"/>
            <w:gridSpan w:val="5"/>
            <w:tcBorders>
              <w:top w:val="single" w:sz="2" w:space="0" w:color="000000"/>
              <w:right w:val="single" w:sz="2" w:space="0" w:color="000000"/>
            </w:tcBorders>
            <w:shd w:fill="4DC1E4" w:val="clear"/>
            <w:tcMar>
              <w:top w:w="28" w:type="dxa"/>
              <w:right w:w="28" w:type="dxa"/>
            </w:tcMar>
            <w:vAlign w:val="center"/>
          </w:tcPr>
          <w:p>
            <w:pPr>
              <w:pStyle w:val="TableContents"/>
              <w:bidi w:val="0"/>
              <w:spacing w:before="0" w:after="283"/>
              <w:jc w:val="left"/>
              <w:rPr/>
            </w:pPr>
            <w:r>
              <w:rPr/>
              <w:t> </w:t>
            </w:r>
          </w:p>
        </w:tc>
      </w:tr>
      <w:tr>
        <w:trPr/>
        <w:tc>
          <w:tcPr>
            <w:tcW w:w="961" w:type="dxa"/>
            <w:tcBorders>
              <w:left w:val="single" w:sz="2" w:space="0" w:color="000000"/>
              <w:bottom w:val="single" w:sz="2" w:space="0" w:color="000000"/>
              <w:right w:val="single" w:sz="2" w:space="0" w:color="000000"/>
            </w:tcBorders>
            <w:shd w:fill="4DC1E4" w:val="clear"/>
            <w:tcMar>
              <w:left w:w="160" w:type="dxa"/>
              <w:bottom w:w="80" w:type="dxa"/>
              <w:right w:w="28" w:type="dxa"/>
            </w:tcMar>
            <w:vAlign w:val="bottom"/>
          </w:tcPr>
          <w:p>
            <w:pPr>
              <w:pStyle w:val="TableContents"/>
              <w:bidi w:val="0"/>
              <w:spacing w:before="0" w:after="283"/>
              <w:jc w:val="center"/>
              <w:rPr>
                <w:b/>
                <w:color w:val="FFFFFF"/>
              </w:rPr>
            </w:pPr>
            <w:r>
              <w:rPr>
                <w:b/>
                <w:color w:val="FFFFFF"/>
              </w:rPr>
              <w:t>Year</w:t>
            </w:r>
          </w:p>
        </w:tc>
        <w:tc>
          <w:tcPr>
            <w:tcW w:w="104"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079" w:type="dxa"/>
            <w:gridSpan w:val="4"/>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End</w:t>
              <w:br/>
              <w:t>Fair Value</w:t>
              <w:br/>
              <w:t>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Outstanding</w:t>
              <w:br/>
              <w:t>and</w:t>
              <w:br/>
              <w:t>Unvested</w:t>
              <w:br/>
              <w:t>Equity</w:t>
              <w:br/>
              <w:t>Awards</w:t>
              <w:br/>
              <w:t>Granted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in the 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04"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11" w:type="dxa"/>
            <w:gridSpan w:val="4"/>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over</w:t>
              <w:br/>
              <w:t>Year</w:t>
              <w:br/>
              <w:t>Change in</w:t>
              <w:br/>
              <w:t>Fair Value</w:t>
              <w:br/>
              <w:t>of</w:t>
              <w:br/>
              <w:t>Outstanding</w:t>
              <w:br/>
              <w:t>and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Unvested</w:t>
              <w:br/>
              <w:t>Equity</w:t>
              <w:br/>
              <w:t>Awards</w:t>
              <w:br/>
              <w:t>Granted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in Prior</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Years</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04"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63" w:type="dxa"/>
            <w:gridSpan w:val="4"/>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Fair Value</w:t>
              <w:br/>
              <w:t>as 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Vesting</w:t>
              <w:br/>
              <w:t>Date 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Equity</w:t>
              <w:br/>
              <w:t>Awards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Granted and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Vested in</w:t>
              <w:br/>
              <w:t>the 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04"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211" w:type="dxa"/>
            <w:gridSpan w:val="4"/>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over</w:t>
              <w:br/>
              <w:t>Year</w:t>
              <w:br/>
              <w:t>Change in</w:t>
              <w:br/>
              <w:t>Fair Value</w:t>
              <w:br/>
              <w:t>of Equity</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Awards</w:t>
              <w:br/>
              <w:t>Granted in</w:t>
              <w:br/>
              <w:t>Prior Years</w:t>
              <w:br/>
              <w:t>that Vested</w:t>
              <w:br/>
              <w:t>in the 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04"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64" w:type="dxa"/>
            <w:gridSpan w:val="4"/>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Fair Value at</w:t>
              <w:br/>
              <w:t>the End of</w:t>
              <w:br/>
              <w:t>the Prior</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 of</w:t>
              <w:br/>
              <w:t>Equity</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Awards that</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Failed to</w:t>
              <w:br/>
              <w:t>Meet</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Vesting</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Conditions</w:t>
              <w:br/>
              <w:t>in the</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Year</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04"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64" w:type="dxa"/>
            <w:gridSpan w:val="4"/>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Value of</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Dividends or</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other</w:t>
              <w:br/>
              <w:t>Earnings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Paid on Stock</w:t>
              <w:br/>
              <w:t>or Option</w:t>
              <w:br/>
              <w:t>Awards</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not Otherwise</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Reflected in</w:t>
              <w:br/>
              <w:t>Fair</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Value or</w:t>
              <w:br/>
              <w:t>Total</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Compensation</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c>
          <w:tcPr>
            <w:tcW w:w="103"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422" w:type="dxa"/>
            <w:gridSpan w:val="4"/>
            <w:tcBorders>
              <w:bottom w:val="single" w:sz="2" w:space="0" w:color="000000"/>
              <w:right w:val="single" w:sz="2" w:space="0" w:color="000000"/>
            </w:tcBorders>
            <w:shd w:fill="4DC1E4" w:val="clear"/>
            <w:tcMar>
              <w:bottom w:w="80" w:type="dxa"/>
              <w:right w:w="28" w:type="dxa"/>
            </w:tcMar>
            <w:vAlign w:val="bottom"/>
          </w:tcPr>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Total</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Equity</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Award</w:t>
            </w:r>
          </w:p>
          <w:p>
            <w:pPr>
              <w:pStyle w:val="TableContents"/>
              <w:bidi w:val="0"/>
              <w:spacing w:before="0" w:after="0"/>
              <w:jc w:val="center"/>
              <w:rPr>
                <w:rFonts w:ascii="Times New Roman" w:hAnsi="Times New Roman"/>
                <w:b/>
                <w:color w:val="FFFFFF"/>
                <w:sz w:val="18"/>
              </w:rPr>
            </w:pPr>
            <w:r>
              <w:rPr>
                <w:rFonts w:ascii="Times New Roman" w:hAnsi="Times New Roman"/>
                <w:b/>
                <w:color w:val="FFFFFF"/>
                <w:sz w:val="18"/>
              </w:rPr>
              <w:t>Adjustments</w:t>
            </w:r>
          </w:p>
          <w:p>
            <w:pPr>
              <w:pStyle w:val="TableContents"/>
              <w:bidi w:val="0"/>
              <w:spacing w:before="0" w:after="20"/>
              <w:jc w:val="center"/>
              <w:rPr>
                <w:rFonts w:ascii="Times New Roman" w:hAnsi="Times New Roman"/>
                <w:b/>
                <w:color w:val="FFFFFF"/>
                <w:sz w:val="18"/>
              </w:rPr>
            </w:pPr>
            <w:r>
              <w:rPr>
                <w:rFonts w:ascii="Times New Roman" w:hAnsi="Times New Roman"/>
                <w:b/>
                <w:color w:val="FFFFFF"/>
                <w:sz w:val="18"/>
              </w:rPr>
              <w:t>($)</w:t>
            </w:r>
          </w:p>
        </w:tc>
      </w:tr>
      <w:tr>
        <w:trPr/>
        <w:tc>
          <w:tcPr>
            <w:tcW w:w="961" w:type="dxa"/>
            <w:tcBorders>
              <w:left w:val="single" w:sz="2" w:space="0" w:color="000000"/>
              <w:bottom w:val="single" w:sz="2" w:space="0" w:color="000000"/>
              <w:right w:val="single" w:sz="2" w:space="0" w:color="000000"/>
            </w:tcBorders>
            <w:tcMar>
              <w:left w:w="160" w:type="dxa"/>
              <w:bottom w:w="120" w:type="dxa"/>
              <w:right w:w="28" w:type="dxa"/>
            </w:tcMar>
            <w:vAlign w:val="bottom"/>
          </w:tcPr>
          <w:p>
            <w:pPr>
              <w:pStyle w:val="TableContents"/>
              <w:bidi w:val="0"/>
              <w:spacing w:before="0" w:after="283"/>
              <w:jc w:val="center"/>
              <w:rPr/>
            </w:pPr>
            <w:r>
              <w:rPr/>
              <w:t>(a)</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1079" w:type="dxa"/>
            <w:gridSpan w:val="4"/>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(b)</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1211" w:type="dxa"/>
            <w:gridSpan w:val="4"/>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(c)</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1163" w:type="dxa"/>
            <w:gridSpan w:val="4"/>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(d)</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1211" w:type="dxa"/>
            <w:gridSpan w:val="4"/>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(e)</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1164" w:type="dxa"/>
            <w:gridSpan w:val="4"/>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(f)</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1164" w:type="dxa"/>
            <w:gridSpan w:val="4"/>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(g)</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1422" w:type="dxa"/>
            <w:gridSpan w:val="4"/>
            <w:tcBorders>
              <w:bottom w:val="single" w:sz="2" w:space="0" w:color="000000"/>
              <w:right w:val="single" w:sz="2" w:space="0" w:color="000000"/>
            </w:tcBorders>
            <w:tcMar>
              <w:bottom w:w="120" w:type="dxa"/>
              <w:right w:w="28" w:type="dxa"/>
            </w:tcMar>
            <w:vAlign w:val="bottom"/>
          </w:tcPr>
          <w:p>
            <w:pPr>
              <w:pStyle w:val="TableContents"/>
              <w:bidi w:val="0"/>
              <w:spacing w:before="0" w:after="283"/>
              <w:jc w:val="center"/>
              <w:rPr/>
            </w:pPr>
            <w:r>
              <w:rPr/>
              <w:t>(h)</w:t>
            </w:r>
          </w:p>
        </w:tc>
      </w:tr>
      <w:tr>
        <w:trPr/>
        <w:tc>
          <w:tcPr>
            <w:tcW w:w="961"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2023</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36" w:type="dxa"/>
            <w:tcBorders>
              <w:bottom w:val="single" w:sz="2" w:space="0" w:color="000000"/>
            </w:tcBorders>
            <w:tcMar>
              <w:bottom w:w="80" w:type="dxa"/>
            </w:tcMar>
            <w:vAlign w:val="bottom"/>
          </w:tcPr>
          <w:p>
            <w:pPr>
              <w:pStyle w:val="TableContents"/>
              <w:bidi w:val="0"/>
              <w:spacing w:before="0" w:after="283"/>
              <w:jc w:val="right"/>
              <w:rPr/>
            </w:pPr>
            <w:r>
              <w:rPr/>
              <w:t>$670,439</w:t>
            </w:r>
          </w:p>
        </w:tc>
        <w:tc>
          <w:tcPr>
            <w:tcW w:w="23"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sz w:val="4"/>
                <w:szCs w:val="4"/>
              </w:rPr>
            </w:pPr>
            <w:r>
              <w:rPr>
                <w:sz w:val="4"/>
                <w:szCs w:val="4"/>
              </w:rPr>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6" w:type="dxa"/>
            <w:tcBorders>
              <w:bottom w:val="single" w:sz="2" w:space="0" w:color="000000"/>
            </w:tcBorders>
            <w:tcMar>
              <w:bottom w:w="80" w:type="dxa"/>
            </w:tcMar>
            <w:vAlign w:val="bottom"/>
          </w:tcPr>
          <w:p>
            <w:pPr>
              <w:pStyle w:val="TableContents"/>
              <w:bidi w:val="0"/>
              <w:spacing w:before="0" w:after="283"/>
              <w:jc w:val="right"/>
              <w:rPr/>
            </w:pPr>
            <w:r>
              <w:rPr/>
              <w:t>($2,995</w:t>
            </w:r>
          </w:p>
        </w:tc>
        <w:tc>
          <w:tcPr>
            <w:tcW w:w="9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6" w:type="dxa"/>
            <w:tcBorders>
              <w:bottom w:val="single" w:sz="2" w:space="0" w:color="000000"/>
            </w:tcBorders>
            <w:tcMar>
              <w:bottom w:w="80" w:type="dxa"/>
            </w:tcMar>
            <w:vAlign w:val="bottom"/>
          </w:tcPr>
          <w:p>
            <w:pPr>
              <w:pStyle w:val="TableContents"/>
              <w:bidi w:val="0"/>
              <w:spacing w:before="0" w:after="283"/>
              <w:jc w:val="right"/>
              <w:rPr/>
            </w:pPr>
            <w:r>
              <w:rPr/>
              <w:t>$7,310</w:t>
            </w:r>
          </w:p>
        </w:tc>
        <w:tc>
          <w:tcPr>
            <w:tcW w:w="9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sz w:val="4"/>
                <w:szCs w:val="4"/>
              </w:rPr>
            </w:pPr>
            <w:r>
              <w:rPr>
                <w:sz w:val="4"/>
                <w:szCs w:val="4"/>
              </w:rPr>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7" w:type="dxa"/>
            <w:tcBorders>
              <w:bottom w:val="single" w:sz="2" w:space="0" w:color="000000"/>
            </w:tcBorders>
            <w:tcMar>
              <w:bottom w:w="80" w:type="dxa"/>
            </w:tcMar>
            <w:vAlign w:val="bottom"/>
          </w:tcPr>
          <w:p>
            <w:pPr>
              <w:pStyle w:val="TableContents"/>
              <w:bidi w:val="0"/>
              <w:spacing w:before="0" w:after="283"/>
              <w:jc w:val="right"/>
              <w:rPr/>
            </w:pPr>
            <w:r>
              <w:rPr/>
              <w:t>$674,754</w:t>
            </w:r>
          </w:p>
        </w:tc>
        <w:tc>
          <w:tcPr>
            <w:tcW w:w="105"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sz w:val="4"/>
                <w:szCs w:val="4"/>
              </w:rPr>
            </w:pPr>
            <w:r>
              <w:rPr>
                <w:sz w:val="4"/>
                <w:szCs w:val="4"/>
              </w:rPr>
            </w:r>
          </w:p>
        </w:tc>
      </w:tr>
      <w:tr>
        <w:trPr/>
        <w:tc>
          <w:tcPr>
            <w:tcW w:w="961"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2022</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36" w:type="dxa"/>
            <w:tcBorders>
              <w:bottom w:val="single" w:sz="2" w:space="0" w:color="000000"/>
            </w:tcBorders>
            <w:tcMar>
              <w:bottom w:w="80" w:type="dxa"/>
            </w:tcMar>
            <w:vAlign w:val="bottom"/>
          </w:tcPr>
          <w:p>
            <w:pPr>
              <w:pStyle w:val="TableContents"/>
              <w:bidi w:val="0"/>
              <w:spacing w:before="0" w:after="283"/>
              <w:jc w:val="right"/>
              <w:rPr/>
            </w:pPr>
            <w:r>
              <w:rPr/>
              <w:t>$291,354</w:t>
            </w:r>
          </w:p>
        </w:tc>
        <w:tc>
          <w:tcPr>
            <w:tcW w:w="23"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sz w:val="4"/>
                <w:szCs w:val="4"/>
              </w:rPr>
            </w:pPr>
            <w:r>
              <w:rPr>
                <w:sz w:val="4"/>
                <w:szCs w:val="4"/>
              </w:rPr>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6" w:type="dxa"/>
            <w:tcBorders>
              <w:bottom w:val="single" w:sz="2" w:space="0" w:color="000000"/>
            </w:tcBorders>
            <w:tcMar>
              <w:bottom w:w="80" w:type="dxa"/>
            </w:tcMar>
            <w:vAlign w:val="bottom"/>
          </w:tcPr>
          <w:p>
            <w:pPr>
              <w:pStyle w:val="TableContents"/>
              <w:bidi w:val="0"/>
              <w:spacing w:before="0" w:after="283"/>
              <w:jc w:val="right"/>
              <w:rPr/>
            </w:pPr>
            <w:r>
              <w:rPr/>
              <w:t>($390,139</w:t>
            </w:r>
          </w:p>
        </w:tc>
        <w:tc>
          <w:tcPr>
            <w:tcW w:w="9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6" w:type="dxa"/>
            <w:tcBorders>
              <w:bottom w:val="single" w:sz="2" w:space="0" w:color="000000"/>
            </w:tcBorders>
            <w:tcMar>
              <w:bottom w:w="80" w:type="dxa"/>
            </w:tcMar>
            <w:vAlign w:val="bottom"/>
          </w:tcPr>
          <w:p>
            <w:pPr>
              <w:pStyle w:val="TableContents"/>
              <w:bidi w:val="0"/>
              <w:spacing w:before="0" w:after="283"/>
              <w:jc w:val="right"/>
              <w:rPr/>
            </w:pPr>
            <w:r>
              <w:rPr/>
              <w:t>($258,618</w:t>
            </w:r>
          </w:p>
        </w:tc>
        <w:tc>
          <w:tcPr>
            <w:tcW w:w="9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7" w:type="dxa"/>
            <w:tcBorders>
              <w:bottom w:val="single" w:sz="2" w:space="0" w:color="000000"/>
            </w:tcBorders>
            <w:tcMar>
              <w:bottom w:w="80" w:type="dxa"/>
            </w:tcMar>
            <w:vAlign w:val="bottom"/>
          </w:tcPr>
          <w:p>
            <w:pPr>
              <w:pStyle w:val="TableContents"/>
              <w:bidi w:val="0"/>
              <w:spacing w:before="0" w:after="283"/>
              <w:jc w:val="right"/>
              <w:rPr/>
            </w:pPr>
            <w:r>
              <w:rPr/>
              <w:t>($357,403</w:t>
            </w:r>
          </w:p>
        </w:tc>
        <w:tc>
          <w:tcPr>
            <w:tcW w:w="105"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w:t>
            </w:r>
          </w:p>
        </w:tc>
      </w:tr>
      <w:tr>
        <w:trPr/>
        <w:tc>
          <w:tcPr>
            <w:tcW w:w="961" w:type="dxa"/>
            <w:tcBorders>
              <w:left w:val="single" w:sz="2" w:space="0" w:color="000000"/>
              <w:bottom w:val="single" w:sz="2" w:space="0" w:color="000000"/>
              <w:right w:val="single" w:sz="2" w:space="0" w:color="000000"/>
            </w:tcBorders>
            <w:tcMar>
              <w:left w:w="160" w:type="dxa"/>
              <w:bottom w:w="80" w:type="dxa"/>
              <w:right w:w="28" w:type="dxa"/>
            </w:tcMar>
            <w:vAlign w:val="bottom"/>
          </w:tcPr>
          <w:p>
            <w:pPr>
              <w:pStyle w:val="TableContents"/>
              <w:bidi w:val="0"/>
              <w:spacing w:before="0" w:after="283"/>
              <w:jc w:val="center"/>
              <w:rPr/>
            </w:pPr>
            <w:r>
              <w:rPr/>
              <w:t>2021</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36" w:type="dxa"/>
            <w:tcBorders>
              <w:bottom w:val="single" w:sz="2" w:space="0" w:color="000000"/>
            </w:tcBorders>
            <w:tcMar>
              <w:bottom w:w="80" w:type="dxa"/>
            </w:tcMar>
            <w:vAlign w:val="bottom"/>
          </w:tcPr>
          <w:p>
            <w:pPr>
              <w:pStyle w:val="TableContents"/>
              <w:bidi w:val="0"/>
              <w:spacing w:before="0" w:after="283"/>
              <w:jc w:val="right"/>
              <w:rPr/>
            </w:pPr>
            <w:r>
              <w:rPr/>
              <w:t>$271,756</w:t>
            </w:r>
          </w:p>
        </w:tc>
        <w:tc>
          <w:tcPr>
            <w:tcW w:w="23"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sz w:val="4"/>
                <w:szCs w:val="4"/>
              </w:rPr>
            </w:pPr>
            <w:r>
              <w:rPr>
                <w:sz w:val="4"/>
                <w:szCs w:val="4"/>
              </w:rPr>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6" w:type="dxa"/>
            <w:tcBorders>
              <w:bottom w:val="single" w:sz="2" w:space="0" w:color="000000"/>
            </w:tcBorders>
            <w:tcMar>
              <w:bottom w:w="80" w:type="dxa"/>
            </w:tcMar>
            <w:vAlign w:val="bottom"/>
          </w:tcPr>
          <w:p>
            <w:pPr>
              <w:pStyle w:val="TableContents"/>
              <w:bidi w:val="0"/>
              <w:spacing w:before="0" w:after="283"/>
              <w:jc w:val="right"/>
              <w:rPr/>
            </w:pPr>
            <w:r>
              <w:rPr/>
              <w:t>($927,872</w:t>
            </w:r>
          </w:p>
        </w:tc>
        <w:tc>
          <w:tcPr>
            <w:tcW w:w="9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96" w:type="dxa"/>
            <w:tcBorders>
              <w:bottom w:val="single" w:sz="2" w:space="0" w:color="000000"/>
            </w:tcBorders>
            <w:tcMar>
              <w:bottom w:w="80" w:type="dxa"/>
            </w:tcMar>
            <w:vAlign w:val="bottom"/>
          </w:tcPr>
          <w:p>
            <w:pPr>
              <w:pStyle w:val="TableContents"/>
              <w:bidi w:val="0"/>
              <w:spacing w:before="0" w:after="283"/>
              <w:jc w:val="right"/>
              <w:rPr/>
            </w:pPr>
            <w:r>
              <w:rPr/>
              <w:t>($490,554</w:t>
            </w:r>
          </w:p>
        </w:tc>
        <w:tc>
          <w:tcPr>
            <w:tcW w:w="95"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4"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984" w:type="dxa"/>
            <w:tcBorders>
              <w:bottom w:val="single" w:sz="2" w:space="0" w:color="000000"/>
            </w:tcBorders>
            <w:tcMar>
              <w:bottom w:w="80" w:type="dxa"/>
            </w:tcMar>
            <w:vAlign w:val="bottom"/>
          </w:tcPr>
          <w:p>
            <w:pPr>
              <w:pStyle w:val="TableContents"/>
              <w:bidi w:val="0"/>
              <w:spacing w:before="0" w:after="283"/>
              <w:jc w:val="right"/>
              <w:rPr/>
            </w:pPr>
            <w:r>
              <w:rPr/>
              <w:t>   </w:t>
            </w:r>
            <w:r>
              <w:rPr/>
              <w:t>$ </w:t>
            </w:r>
          </w:p>
        </w:tc>
        <w:tc>
          <w:tcPr>
            <w:tcW w:w="60" w:type="dxa"/>
            <w:tcBorders>
              <w:bottom w:val="single" w:sz="2" w:space="0" w:color="000000"/>
              <w:right w:val="single" w:sz="2" w:space="0" w:color="000000"/>
            </w:tcBorders>
            <w:tcMar>
              <w:bottom w:w="80" w:type="dxa"/>
              <w:right w:w="28" w:type="dxa"/>
            </w:tcMar>
            <w:vAlign w:val="bottom"/>
          </w:tcPr>
          <w:p>
            <w:pPr>
              <w:pStyle w:val="TableContents"/>
              <w:bidi w:val="0"/>
              <w:spacing w:before="0" w:after="283"/>
              <w:jc w:val="left"/>
              <w:rPr/>
            </w:pPr>
            <w:r>
              <w:rPr/>
              <w:t> </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1197" w:type="dxa"/>
            <w:tcBorders>
              <w:bottom w:val="single" w:sz="2" w:space="0" w:color="000000"/>
            </w:tcBorders>
            <w:tcMar>
              <w:bottom w:w="80" w:type="dxa"/>
            </w:tcMar>
            <w:vAlign w:val="bottom"/>
          </w:tcPr>
          <w:p>
            <w:pPr>
              <w:pStyle w:val="TableContents"/>
              <w:bidi w:val="0"/>
              <w:spacing w:before="0" w:after="283"/>
              <w:jc w:val="right"/>
              <w:rPr/>
            </w:pPr>
            <w:r>
              <w:rPr/>
              <w:t>($1,146,670</w:t>
            </w:r>
          </w:p>
        </w:tc>
        <w:tc>
          <w:tcPr>
            <w:tcW w:w="105" w:type="dxa"/>
            <w:tcBorders>
              <w:bottom w:val="single" w:sz="2" w:space="0" w:color="000000"/>
              <w:right w:val="single" w:sz="2" w:space="0" w:color="000000"/>
            </w:tcBorders>
            <w:tcMar>
              <w:bottom w:w="80" w:type="dxa"/>
              <w:right w:w="40" w:type="dxa"/>
            </w:tcMar>
            <w:vAlign w:val="bottom"/>
          </w:tcPr>
          <w:p>
            <w:pPr>
              <w:pStyle w:val="TableContents"/>
              <w:bidi w:val="0"/>
              <w:spacing w:before="0" w:after="283"/>
              <w:jc w:val="left"/>
              <w:rPr/>
            </w:pPr>
            <w:r>
              <w:rPr/>
              <w:t>)</w:t>
            </w:r>
          </w:p>
        </w:tc>
      </w:tr>
    </w:tbl>
    <w:p>
      <w:pPr>
        <w:pStyle w:val="TextBody"/>
        <w:bidi w:val="0"/>
        <w:spacing w:before="120" w:after="0"/>
        <w:jc w:val="both"/>
        <w:rPr>
          <w:rFonts w:ascii="Times New Roman" w:hAnsi="Times New Roman"/>
          <w:sz w:val="20"/>
        </w:rPr>
      </w:pPr>
      <w:r>
        <w:rPr>
          <w:rFonts w:ascii="Times New Roman" w:hAnsi="Times New Roman"/>
          <w:sz w:val="20"/>
        </w:rPr>
        <w:t xml:space="preserve">(5) Cumulative TSR is calculated by dividing the sum of the cumulative amount of dividends for the measurement period, assuming dividend reinvestment, and the difference between our Companys share price at the end and the beginning of the measurement period by our Companys share price at the beginning of the measurement period. The beginning of the measurement period is December 31, 2020 and the end of each of the three measurement periods presented are December 31, 2021, 2022 and 2023. No dividends were paid on stock or option awards in 2021, 2022 or 2023.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EXECUTIVE COMPENSATION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(6) The dollar amounts reported represent the amount of net income (loss) reflected in our consolidated audited financial statements for the applicable year. </w:t>
      </w:r>
    </w:p>
    <w:p>
      <w:pPr>
        <w:pStyle w:val="TextBody"/>
        <w:bidi w:val="0"/>
        <w:spacing w:before="200" w:after="0"/>
        <w:jc w:val="left"/>
        <w:rPr>
          <w:rFonts w:ascii="Times New Roman" w:hAnsi="Times New Roman"/>
          <w:b/>
          <w:sz w:val="20"/>
        </w:rPr>
      </w:pPr>
      <w:r>
        <w:rPr>
          <w:rFonts w:ascii="Times New Roman" w:hAnsi="Times New Roman"/>
          <w:b/>
          <w:sz w:val="20"/>
        </w:rPr>
        <w:t xml:space="preserve">Analysis of the Information Presented in the Pay Versus Performance Table </w:t>
      </w:r>
    </w:p>
    <w:p>
      <w:pPr>
        <w:pStyle w:val="TextBody"/>
        <w:bidi w:val="0"/>
        <w:spacing w:before="200" w:after="0"/>
        <w:jc w:val="left"/>
        <w:rPr>
          <w:rFonts w:ascii="Times New Roman" w:hAnsi="Times New Roman"/>
          <w:sz w:val="20"/>
        </w:rPr>
      </w:pPr>
      <w:r>
        <w:rPr>
          <w:rFonts w:ascii="Times New Roman" w:hAnsi="Times New Roman"/>
          <w:sz w:val="20"/>
        </w:rPr>
        <w:t xml:space="preserve">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 </w:t>
      </w:r>
    </w:p>
    <w:p>
      <w:pPr>
        <w:pStyle w:val="TextBody"/>
        <w:bidi w:val="0"/>
        <w:spacing w:before="200" w:after="0"/>
        <w:jc w:val="left"/>
        <w:rPr>
          <w:rFonts w:ascii="Times New Roman" w:hAnsi="Times New Roman"/>
          <w:i/>
          <w:sz w:val="20"/>
        </w:rPr>
      </w:pPr>
      <w:r>
        <w:rPr>
          <w:rFonts w:ascii="Times New Roman" w:hAnsi="Times New Roman"/>
          <w:i/>
          <w:sz w:val="20"/>
        </w:rPr>
        <w:t xml:space="preserve">Compensation Actually Paid and Net Income (Loss) </w:t>
      </w:r>
    </w:p>
    <w:p>
      <w:pPr>
        <w:pStyle w:val="TextBody"/>
        <w:bidi w:val="0"/>
        <w:spacing w:before="40" w:after="0"/>
        <w:jc w:val="both"/>
        <w:rPr>
          <w:rFonts w:ascii="Times New Roman" w:hAnsi="Times New Roman"/>
          <w:sz w:val="20"/>
        </w:rPr>
      </w:pPr>
      <w:r>
        <w:rPr>
          <w:rFonts w:ascii="Times New Roman" w:hAnsi="Times New Roman"/>
          <w:sz w:val="20"/>
        </w:rPr>
        <w:t xml:space="preserve">Because we are not a commercial-stage company, we did not have any revenue during the periods presented. Consequently, we have not historically looked to net income (loss) as a performance measure for our executive compensation programs. </w:t>
      </w:r>
    </w:p>
    <w:p>
      <w:pPr>
        <w:pStyle w:val="TextBody"/>
        <w:bidi w:val="0"/>
        <w:spacing w:before="200" w:after="0"/>
        <w:jc w:val="left"/>
        <w:rPr>
          <w:rFonts w:ascii="Times New Roman" w:hAnsi="Times New Roman"/>
          <w:i/>
          <w:sz w:val="20"/>
        </w:rPr>
      </w:pPr>
      <w:r>
        <w:rPr>
          <w:rFonts w:ascii="Times New Roman" w:hAnsi="Times New Roman"/>
          <w:i/>
          <w:sz w:val="20"/>
        </w:rPr>
        <w:t xml:space="preserve">Compensation Actually Paid and Cumulative TSR </w:t>
      </w:r>
    </w:p>
    <w:p>
      <w:pPr>
        <w:pStyle w:val="TextBody"/>
        <w:bidi w:val="0"/>
        <w:spacing w:before="40" w:after="0"/>
        <w:jc w:val="both"/>
        <w:rPr>
          <w:rFonts w:ascii="Times New Roman" w:hAnsi="Times New Roman"/>
          <w:sz w:val="20"/>
        </w:rPr>
      </w:pPr>
      <w:r>
        <w:rPr>
          <w:rFonts w:ascii="Times New Roman" w:hAnsi="Times New Roman"/>
          <w:sz w:val="20"/>
        </w:rPr>
        <w:t xml:space="preserve">The chart below shows the relationship between compensation actually paid to our PEO and the average compensation actually paid to our Non-PEO Named Executive Officers, on one hand, to our TSR performance for the three fiscal years presented in the table, on the other. </w:t>
      </w:r>
    </w:p>
    <w:p>
      <w:pPr>
        <w:pStyle w:val="TextBody"/>
        <w:bidi w:val="0"/>
        <w:spacing w:before="0" w:after="0"/>
        <w:jc w:val="center"/>
        <w:rPr/>
      </w:pPr>
      <w:r>
        <w:rPr/>
        <w:drawing>
          <wp:inline distT="0" distB="0" distL="0" distR="0">
            <wp:extent cx="595630" cy="37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95630" cy="371475"/>
                    </a:xfrm>
                    <a:prstGeom prst="rect">
                      <a:avLst/>
                    </a:prstGeom>
                  </pic:spPr>
                </pic:pic>
              </a:graphicData>
            </a:graphic>
          </wp:inline>
        </w:drawing>
      </w:r>
      <w:r>
        <w:rPr/>
        <w:t xml:space="preserve"> </w:t>
      </w:r>
    </w:p>
    <w:p>
      <w:pPr>
        <w:pStyle w:val="TextBody"/>
        <w:bidi w:val="0"/>
        <w:spacing w:before="200" w:after="0"/>
        <w:jc w:val="both"/>
        <w:rPr>
          <w:rFonts w:ascii="Times New Roman" w:hAnsi="Times New Roman"/>
          <w:i/>
          <w:sz w:val="20"/>
        </w:rPr>
      </w:pPr>
      <w:r>
        <w:rPr>
          <w:rFonts w:ascii="Times New Roman" w:hAnsi="Times New Roman"/>
          <w:i/>
          <w:sz w:val="20"/>
        </w:rPr>
        <w:t xml:space="preserve">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41" w:name="summary636298_39"/>
            <w:bookmarkEnd w:id="41"/>
            <w:r>
              <w:rPr>
                <w:rFonts w:ascii="Times New Roman" w:hAnsi="Times New Roman"/>
                <w:b/>
                <w:sz w:val="24"/>
              </w:rPr>
              <w:t>CERTAIN RELATIONSHIPS AND RELATED PARTY TRANSACTIONS</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Since January 1, 2022,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 </w:t>
      </w:r>
    </w:p>
    <w:p>
      <w:pPr>
        <w:pStyle w:val="TextBody"/>
        <w:bidi w:val="0"/>
        <w:spacing w:before="200" w:after="0"/>
        <w:jc w:val="left"/>
        <w:rPr>
          <w:rFonts w:ascii="Times New Roman" w:hAnsi="Times New Roman"/>
          <w:b/>
          <w:sz w:val="20"/>
        </w:rPr>
      </w:pPr>
      <w:bookmarkStart w:id="42" w:name="summary636298_40"/>
      <w:bookmarkEnd w:id="42"/>
      <w:r>
        <w:rPr>
          <w:rFonts w:ascii="Times New Roman" w:hAnsi="Times New Roman"/>
          <w:b/>
          <w:sz w:val="20"/>
        </w:rPr>
        <w:t xml:space="preserve">INDEMNIFICATION AGREEMENTS </w:t>
      </w:r>
    </w:p>
    <w:p>
      <w:pPr>
        <w:pStyle w:val="TextBody"/>
        <w:bidi w:val="0"/>
        <w:spacing w:before="200" w:after="0"/>
        <w:jc w:val="both"/>
        <w:rPr>
          <w:rFonts w:ascii="Times New Roman" w:hAnsi="Times New Roman"/>
          <w:sz w:val="20"/>
        </w:rPr>
      </w:pPr>
      <w:r>
        <w:rPr>
          <w:rFonts w:ascii="Times New Roman" w:hAnsi="Times New Roman"/>
          <w:sz w:val="20"/>
        </w:rPr>
        <w:t xml:space="preserve">We have entered or intend to enter into indemnification agreements with each of our directors. These indemnification agreements may require us, among other things, to indemnify our directors for some expenses, including attorneys fees, judgments, fines and settlement amounts incurred by a director in any action or proceeding arising out of his or her service as one of our directors, or any of our subsidiaries or any other company or enterprise to which the person provides services at our request. </w:t>
      </w:r>
    </w:p>
    <w:p>
      <w:pPr>
        <w:pStyle w:val="TextBody"/>
        <w:bidi w:val="0"/>
        <w:spacing w:before="200" w:after="0"/>
        <w:jc w:val="left"/>
        <w:rPr>
          <w:rFonts w:ascii="Times New Roman" w:hAnsi="Times New Roman"/>
          <w:b/>
          <w:sz w:val="20"/>
        </w:rPr>
      </w:pPr>
      <w:bookmarkStart w:id="43" w:name="summary636298_41"/>
      <w:bookmarkEnd w:id="43"/>
      <w:r>
        <w:rPr>
          <w:rFonts w:ascii="Times New Roman" w:hAnsi="Times New Roman"/>
          <w:b/>
          <w:sz w:val="20"/>
        </w:rPr>
        <w:t xml:space="preserve">OTHER TRANSACTIONS </w:t>
      </w:r>
    </w:p>
    <w:p>
      <w:pPr>
        <w:pStyle w:val="TextBody"/>
        <w:bidi w:val="0"/>
        <w:spacing w:before="200" w:after="0"/>
        <w:jc w:val="both"/>
        <w:rPr>
          <w:rFonts w:ascii="Times New Roman" w:hAnsi="Times New Roman"/>
          <w:sz w:val="20"/>
        </w:rPr>
      </w:pPr>
      <w:r>
        <w:rPr>
          <w:rFonts w:ascii="Times New Roman" w:hAnsi="Times New Roman"/>
          <w:sz w:val="20"/>
        </w:rPr>
        <w:t xml:space="preserve">We have entered into various employment-related agreements with our executive officers that, among other things, provide for compensatory and certain change in control benefits. For a description of these agreements and arrangements with our named executive officers, see the section titled Executive Compensation  Employment Agreements. </w:t>
      </w:r>
    </w:p>
    <w:p>
      <w:pPr>
        <w:pStyle w:val="TextBody"/>
        <w:bidi w:val="0"/>
        <w:spacing w:before="200" w:after="0"/>
        <w:jc w:val="both"/>
        <w:rPr>
          <w:rFonts w:ascii="Times New Roman" w:hAnsi="Times New Roman"/>
          <w:sz w:val="20"/>
        </w:rPr>
      </w:pPr>
      <w:r>
        <w:rPr>
          <w:rFonts w:ascii="Times New Roman" w:hAnsi="Times New Roman"/>
          <w:sz w:val="20"/>
        </w:rPr>
        <w:t xml:space="preserve">We have also granted stock options to our executive officers and directors, as well as restricted stock units to certain of our executive officers. For a description of these stock options and restricted stock units, see the sections titled Director Compensation and Executive Compensation. </w:t>
      </w:r>
    </w:p>
    <w:p>
      <w:pPr>
        <w:pStyle w:val="TextBody"/>
        <w:bidi w:val="0"/>
        <w:spacing w:before="200" w:after="0"/>
        <w:jc w:val="left"/>
        <w:rPr>
          <w:rFonts w:ascii="Times New Roman" w:hAnsi="Times New Roman"/>
          <w:b/>
          <w:sz w:val="20"/>
        </w:rPr>
      </w:pPr>
      <w:bookmarkStart w:id="44" w:name="summary636298_42"/>
      <w:bookmarkEnd w:id="44"/>
      <w:r>
        <w:rPr>
          <w:rFonts w:ascii="Times New Roman" w:hAnsi="Times New Roman"/>
          <w:b/>
          <w:sz w:val="20"/>
        </w:rPr>
        <w:t xml:space="preserve">POLICIES AND PROCEDURES FOR RELATED PERSON TRANSACTIONS </w:t>
      </w:r>
    </w:p>
    <w:p>
      <w:pPr>
        <w:pStyle w:val="TextBody"/>
        <w:bidi w:val="0"/>
        <w:spacing w:before="200" w:after="0"/>
        <w:jc w:val="both"/>
        <w:rPr>
          <w:rFonts w:ascii="Times New Roman" w:hAnsi="Times New Roman"/>
          <w:sz w:val="20"/>
        </w:rPr>
      </w:pPr>
      <w:r>
        <w:rPr>
          <w:rFonts w:ascii="Times New Roman" w:hAnsi="Times New Roman"/>
          <w:sz w:val="20"/>
        </w:rPr>
        <w:t xml:space="preserve">Our Board has adopted a written Related Party Transaction Policy that governs the review and approval of related party transactions. The Related Party Transaction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the Related Party Transaction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its stockholders.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45" w:name="summary636298_43"/>
            <w:bookmarkEnd w:id="45"/>
            <w:r>
              <w:rPr>
                <w:rFonts w:ascii="Times New Roman" w:hAnsi="Times New Roman"/>
                <w:b/>
                <w:sz w:val="24"/>
              </w:rPr>
              <w:t>EQUITY COMPENSATION PLAN INFORMATION</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is a summary of the shares available for grant under the Companys equity incentive plans as of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84"/>
        <w:gridCol w:w="120"/>
        <w:gridCol w:w="1537"/>
        <w:gridCol w:w="120"/>
        <w:gridCol w:w="140"/>
        <w:gridCol w:w="204"/>
        <w:gridCol w:w="1041"/>
        <w:gridCol w:w="120"/>
        <w:gridCol w:w="2139"/>
      </w:tblGrid>
      <w:tr>
        <w:trPr/>
        <w:tc>
          <w:tcPr>
            <w:tcW w:w="47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r>
      <w:tr>
        <w:trPr/>
        <w:tc>
          <w:tcPr>
            <w:tcW w:w="4784" w:type="dxa"/>
            <w:tcBorders>
              <w:bottom w:val="single" w:sz="2" w:space="0" w:color="000000"/>
            </w:tcBorders>
            <w:tcMar>
              <w:bottom w:w="40"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Plan Category</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37" w:type="dxa"/>
            <w:tcBorders>
              <w:bottom w:val="single" w:sz="2" w:space="0" w:color="000000"/>
            </w:tcBorders>
            <w:tcMar>
              <w:bottom w:w="40"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w:t>
            </w:r>
          </w:p>
          <w:p>
            <w:pPr>
              <w:pStyle w:val="TableContents"/>
              <w:bidi w:val="0"/>
              <w:spacing w:before="0" w:after="0"/>
              <w:jc w:val="center"/>
              <w:rPr>
                <w:rFonts w:ascii="Times New Roman" w:hAnsi="Times New Roman"/>
                <w:b/>
                <w:sz w:val="16"/>
              </w:rPr>
            </w:pPr>
            <w:r>
              <w:rPr>
                <w:rFonts w:ascii="Times New Roman" w:hAnsi="Times New Roman"/>
                <w:b/>
                <w:sz w:val="16"/>
              </w:rPr>
              <w:t>securities to</w:t>
            </w:r>
          </w:p>
          <w:p>
            <w:pPr>
              <w:pStyle w:val="TableContents"/>
              <w:bidi w:val="0"/>
              <w:spacing w:before="0" w:after="0"/>
              <w:jc w:val="center"/>
              <w:rPr>
                <w:rFonts w:ascii="Times New Roman" w:hAnsi="Times New Roman"/>
                <w:b/>
                <w:sz w:val="16"/>
              </w:rPr>
            </w:pPr>
            <w:r>
              <w:rPr>
                <w:rFonts w:ascii="Times New Roman" w:hAnsi="Times New Roman"/>
                <w:b/>
                <w:sz w:val="16"/>
              </w:rPr>
              <w:t>be issued</w:t>
            </w:r>
          </w:p>
          <w:p>
            <w:pPr>
              <w:pStyle w:val="TableContents"/>
              <w:bidi w:val="0"/>
              <w:spacing w:before="0" w:after="0"/>
              <w:jc w:val="center"/>
              <w:rPr>
                <w:rFonts w:ascii="Times New Roman" w:hAnsi="Times New Roman"/>
                <w:b/>
                <w:sz w:val="16"/>
              </w:rPr>
            </w:pPr>
            <w:r>
              <w:rPr>
                <w:rFonts w:ascii="Times New Roman" w:hAnsi="Times New Roman"/>
                <w:b/>
                <w:sz w:val="16"/>
              </w:rPr>
              <w:t>upon exercise</w:t>
            </w:r>
          </w:p>
          <w:p>
            <w:pPr>
              <w:pStyle w:val="TableContents"/>
              <w:bidi w:val="0"/>
              <w:spacing w:before="0" w:after="0"/>
              <w:jc w:val="center"/>
              <w:rPr>
                <w:rFonts w:ascii="Times New Roman" w:hAnsi="Times New Roman"/>
                <w:b/>
                <w:sz w:val="16"/>
              </w:rPr>
            </w:pPr>
            <w:r>
              <w:rPr>
                <w:rFonts w:ascii="Times New Roman" w:hAnsi="Times New Roman"/>
                <w:b/>
                <w:sz w:val="16"/>
              </w:rPr>
              <w:t>of</w:t>
            </w:r>
          </w:p>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0"/>
              <w:jc w:val="center"/>
              <w:rPr>
                <w:rFonts w:ascii="Times New Roman" w:hAnsi="Times New Roman"/>
                <w:b/>
                <w:sz w:val="16"/>
              </w:rPr>
            </w:pPr>
            <w:r>
              <w:rPr>
                <w:rFonts w:ascii="Times New Roman" w:hAnsi="Times New Roman"/>
                <w:b/>
                <w:sz w:val="16"/>
              </w:rPr>
              <w:t>options, restricted</w:t>
              <w:br/>
              <w:t>stock units and</w:t>
            </w:r>
          </w:p>
          <w:p>
            <w:pPr>
              <w:pStyle w:val="TableContents"/>
              <w:bidi w:val="0"/>
              <w:spacing w:before="0" w:after="0"/>
              <w:jc w:val="center"/>
              <w:rPr>
                <w:rFonts w:ascii="Times New Roman" w:hAnsi="Times New Roman"/>
                <w:b/>
                <w:sz w:val="16"/>
              </w:rPr>
            </w:pPr>
            <w:r>
              <w:rPr>
                <w:rFonts w:ascii="Times New Roman" w:hAnsi="Times New Roman"/>
                <w:b/>
                <w:sz w:val="16"/>
              </w:rPr>
              <w:t>other rights</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1041" w:type="dxa"/>
            <w:tcBorders>
              <w:bottom w:val="single" w:sz="2" w:space="0" w:color="000000"/>
            </w:tcBorders>
            <w:tcMar>
              <w:bottom w:w="40"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Weighted-</w:t>
            </w:r>
          </w:p>
          <w:p>
            <w:pPr>
              <w:pStyle w:val="TableContents"/>
              <w:bidi w:val="0"/>
              <w:spacing w:before="0" w:after="0"/>
              <w:jc w:val="center"/>
              <w:rPr>
                <w:rFonts w:ascii="Times New Roman" w:hAnsi="Times New Roman"/>
                <w:b/>
                <w:sz w:val="16"/>
              </w:rPr>
            </w:pPr>
            <w:r>
              <w:rPr>
                <w:rFonts w:ascii="Times New Roman" w:hAnsi="Times New Roman"/>
                <w:b/>
                <w:sz w:val="16"/>
              </w:rPr>
              <w:t>average</w:t>
            </w:r>
          </w:p>
          <w:p>
            <w:pPr>
              <w:pStyle w:val="TableContents"/>
              <w:bidi w:val="0"/>
              <w:spacing w:before="0" w:after="0"/>
              <w:jc w:val="center"/>
              <w:rPr>
                <w:rFonts w:ascii="Times New Roman" w:hAnsi="Times New Roman"/>
                <w:b/>
                <w:sz w:val="16"/>
              </w:rPr>
            </w:pPr>
            <w:r>
              <w:rPr>
                <w:rFonts w:ascii="Times New Roman" w:hAnsi="Times New Roman"/>
                <w:b/>
                <w:sz w:val="16"/>
              </w:rPr>
              <w:t>exercise</w:t>
            </w:r>
          </w:p>
          <w:p>
            <w:pPr>
              <w:pStyle w:val="TableContents"/>
              <w:bidi w:val="0"/>
              <w:spacing w:before="0" w:after="0"/>
              <w:jc w:val="center"/>
              <w:rPr>
                <w:rFonts w:ascii="Times New Roman" w:hAnsi="Times New Roman"/>
                <w:b/>
                <w:sz w:val="16"/>
              </w:rPr>
            </w:pPr>
            <w:r>
              <w:rPr>
                <w:rFonts w:ascii="Times New Roman" w:hAnsi="Times New Roman"/>
                <w:b/>
                <w:sz w:val="16"/>
              </w:rPr>
              <w:t>price of</w:t>
            </w:r>
          </w:p>
          <w:p>
            <w:pPr>
              <w:pStyle w:val="TableContents"/>
              <w:bidi w:val="0"/>
              <w:spacing w:before="0" w:after="0"/>
              <w:jc w:val="center"/>
              <w:rPr>
                <w:rFonts w:ascii="Times New Roman" w:hAnsi="Times New Roman"/>
                <w:b/>
                <w:sz w:val="16"/>
              </w:rPr>
            </w:pPr>
            <w:r>
              <w:rPr>
                <w:rFonts w:ascii="Times New Roman" w:hAnsi="Times New Roman"/>
                <w:b/>
                <w:sz w:val="16"/>
              </w:rPr>
              <w:t>outstanding</w:t>
            </w:r>
          </w:p>
          <w:p>
            <w:pPr>
              <w:pStyle w:val="TableContents"/>
              <w:bidi w:val="0"/>
              <w:spacing w:before="0" w:after="0"/>
              <w:jc w:val="center"/>
              <w:rPr>
                <w:rFonts w:ascii="Times New Roman" w:hAnsi="Times New Roman"/>
                <w:b/>
                <w:sz w:val="16"/>
              </w:rPr>
            </w:pPr>
            <w:r>
              <w:rPr>
                <w:rFonts w:ascii="Times New Roman" w:hAnsi="Times New Roman"/>
                <w:b/>
                <w:sz w:val="16"/>
              </w:rPr>
              <w:t>options and</w:t>
            </w:r>
          </w:p>
          <w:p>
            <w:pPr>
              <w:pStyle w:val="TableContents"/>
              <w:bidi w:val="0"/>
              <w:spacing w:before="0" w:after="0"/>
              <w:jc w:val="center"/>
              <w:rPr>
                <w:rFonts w:ascii="Times New Roman" w:hAnsi="Times New Roman"/>
                <w:b/>
                <w:sz w:val="16"/>
              </w:rPr>
            </w:pPr>
            <w:r>
              <w:rPr>
                <w:rFonts w:ascii="Times New Roman" w:hAnsi="Times New Roman"/>
                <w:b/>
                <w:sz w:val="16"/>
              </w:rPr>
              <w:t>other rights(1)</w:t>
            </w:r>
          </w:p>
          <w:p>
            <w:pPr>
              <w:pStyle w:val="TableContents"/>
              <w:bidi w:val="0"/>
              <w:spacing w:before="0" w:after="20"/>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2139" w:type="dxa"/>
            <w:tcBorders>
              <w:bottom w:val="single" w:sz="2" w:space="0" w:color="000000"/>
            </w:tcBorders>
            <w:tcMar>
              <w:bottom w:w="40"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Number of securities</w:t>
            </w:r>
          </w:p>
          <w:p>
            <w:pPr>
              <w:pStyle w:val="TableContents"/>
              <w:bidi w:val="0"/>
              <w:spacing w:before="0" w:after="0"/>
              <w:jc w:val="center"/>
              <w:rPr>
                <w:rFonts w:ascii="Times New Roman" w:hAnsi="Times New Roman"/>
                <w:b/>
                <w:sz w:val="16"/>
              </w:rPr>
            </w:pPr>
            <w:r>
              <w:rPr>
                <w:rFonts w:ascii="Times New Roman" w:hAnsi="Times New Roman"/>
                <w:b/>
                <w:sz w:val="16"/>
              </w:rPr>
              <w:t>remaining available</w:t>
            </w:r>
          </w:p>
          <w:p>
            <w:pPr>
              <w:pStyle w:val="TableContents"/>
              <w:bidi w:val="0"/>
              <w:spacing w:before="0" w:after="0"/>
              <w:jc w:val="center"/>
              <w:rPr>
                <w:rFonts w:ascii="Times New Roman" w:hAnsi="Times New Roman"/>
                <w:b/>
                <w:sz w:val="16"/>
              </w:rPr>
            </w:pPr>
            <w:r>
              <w:rPr>
                <w:rFonts w:ascii="Times New Roman" w:hAnsi="Times New Roman"/>
                <w:b/>
                <w:sz w:val="16"/>
              </w:rPr>
              <w:t>for future issuance</w:t>
            </w:r>
          </w:p>
          <w:p>
            <w:pPr>
              <w:pStyle w:val="TableContents"/>
              <w:bidi w:val="0"/>
              <w:spacing w:before="0" w:after="0"/>
              <w:jc w:val="center"/>
              <w:rPr>
                <w:rFonts w:ascii="Times New Roman" w:hAnsi="Times New Roman"/>
                <w:b/>
                <w:sz w:val="16"/>
              </w:rPr>
            </w:pPr>
            <w:r>
              <w:rPr>
                <w:rFonts w:ascii="Times New Roman" w:hAnsi="Times New Roman"/>
                <w:b/>
                <w:sz w:val="16"/>
              </w:rPr>
              <w:t>under equity</w:t>
            </w:r>
          </w:p>
          <w:p>
            <w:pPr>
              <w:pStyle w:val="TableContents"/>
              <w:bidi w:val="0"/>
              <w:spacing w:before="0" w:after="0"/>
              <w:jc w:val="center"/>
              <w:rPr>
                <w:rFonts w:ascii="Times New Roman" w:hAnsi="Times New Roman"/>
                <w:b/>
                <w:sz w:val="16"/>
              </w:rPr>
            </w:pPr>
            <w:r>
              <w:rPr>
                <w:rFonts w:ascii="Times New Roman" w:hAnsi="Times New Roman"/>
                <w:b/>
                <w:sz w:val="16"/>
              </w:rPr>
              <w:t>compensation plans</w:t>
            </w:r>
          </w:p>
          <w:p>
            <w:pPr>
              <w:pStyle w:val="TableContents"/>
              <w:bidi w:val="0"/>
              <w:spacing w:before="0" w:after="0"/>
              <w:jc w:val="center"/>
              <w:rPr>
                <w:rFonts w:ascii="Times New Roman" w:hAnsi="Times New Roman"/>
                <w:b/>
                <w:sz w:val="16"/>
              </w:rPr>
            </w:pPr>
            <w:r>
              <w:rPr>
                <w:rFonts w:ascii="Times New Roman" w:hAnsi="Times New Roman"/>
                <w:b/>
                <w:sz w:val="16"/>
              </w:rPr>
              <w:t>(excluding securities</w:t>
            </w:r>
          </w:p>
          <w:p>
            <w:pPr>
              <w:pStyle w:val="TableContents"/>
              <w:bidi w:val="0"/>
              <w:spacing w:before="0" w:after="0"/>
              <w:jc w:val="center"/>
              <w:rPr>
                <w:rFonts w:ascii="Times New Roman" w:hAnsi="Times New Roman"/>
                <w:b/>
                <w:sz w:val="16"/>
              </w:rPr>
            </w:pPr>
            <w:r>
              <w:rPr>
                <w:rFonts w:ascii="Times New Roman" w:hAnsi="Times New Roman"/>
                <w:b/>
                <w:sz w:val="16"/>
              </w:rPr>
              <w:t>reflected in column</w:t>
            </w:r>
          </w:p>
          <w:p>
            <w:pPr>
              <w:pStyle w:val="TableContents"/>
              <w:bidi w:val="0"/>
              <w:spacing w:before="0" w:after="0"/>
              <w:jc w:val="center"/>
              <w:rPr>
                <w:rFonts w:ascii="Times New Roman" w:hAnsi="Times New Roman"/>
                <w:b/>
                <w:sz w:val="16"/>
              </w:rPr>
            </w:pPr>
            <w:r>
              <w:rPr>
                <w:rFonts w:ascii="Times New Roman" w:hAnsi="Times New Roman"/>
                <w:b/>
                <w:sz w:val="16"/>
              </w:rPr>
              <w:t>(a))</w:t>
            </w:r>
          </w:p>
          <w:p>
            <w:pPr>
              <w:pStyle w:val="TableContents"/>
              <w:bidi w:val="0"/>
              <w:spacing w:before="0" w:after="20"/>
              <w:jc w:val="left"/>
              <w:rPr/>
            </w:pPr>
            <w:r>
              <w:rPr/>
              <w:t> </w:t>
            </w:r>
          </w:p>
        </w:tc>
      </w:tr>
      <w:tr>
        <w:trPr/>
        <w:tc>
          <w:tcPr>
            <w:tcW w:w="4784" w:type="dxa"/>
            <w:tcBorders>
              <w:bottom w:val="single" w:sz="2" w:space="0" w:color="000000"/>
            </w:tcBorders>
            <w:tcMar>
              <w:bottom w:w="28" w:type="dxa"/>
            </w:tcMar>
            <w:vAlign w:val="bottom"/>
          </w:tcPr>
          <w:p>
            <w:pPr>
              <w:pStyle w:val="TableContents"/>
              <w:bidi w:val="0"/>
              <w:spacing w:before="0" w:after="283"/>
              <w:jc w:val="left"/>
              <w:rPr/>
            </w:pPr>
            <w:r>
              <w:rPr/>
              <w:t>  </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537" w:type="dxa"/>
            <w:tcBorders>
              <w:bottom w:val="single" w:sz="2" w:space="0" w:color="000000"/>
            </w:tcBorders>
            <w:tcMar>
              <w:bottom w:w="40" w:type="dxa"/>
            </w:tcMar>
            <w:vAlign w:val="bottom"/>
          </w:tcPr>
          <w:p>
            <w:pPr>
              <w:pStyle w:val="TableContents"/>
              <w:bidi w:val="0"/>
              <w:spacing w:before="0" w:after="283"/>
              <w:jc w:val="center"/>
              <w:rPr/>
            </w:pPr>
            <w:r>
              <w:rPr/>
              <w:t>(a)</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28" w:type="dxa"/>
            </w:tcMar>
            <w:vAlign w:val="bottom"/>
          </w:tcPr>
          <w:p>
            <w:pPr>
              <w:pStyle w:val="TableContents"/>
              <w:bidi w:val="0"/>
              <w:spacing w:before="0" w:after="283"/>
              <w:jc w:val="left"/>
              <w:rPr/>
            </w:pPr>
            <w:r>
              <w:rPr/>
              <w:t>  </w:t>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1041" w:type="dxa"/>
            <w:tcBorders>
              <w:bottom w:val="single" w:sz="2" w:space="0" w:color="000000"/>
            </w:tcBorders>
            <w:tcMar>
              <w:bottom w:w="40" w:type="dxa"/>
            </w:tcMar>
            <w:vAlign w:val="bottom"/>
          </w:tcPr>
          <w:p>
            <w:pPr>
              <w:pStyle w:val="TableContents"/>
              <w:bidi w:val="0"/>
              <w:spacing w:before="0" w:after="283"/>
              <w:jc w:val="center"/>
              <w:rPr/>
            </w:pPr>
            <w:r>
              <w:rPr/>
              <w:t>(b)</w:t>
            </w:r>
          </w:p>
        </w:tc>
        <w:tc>
          <w:tcPr>
            <w:tcW w:w="120" w:type="dxa"/>
            <w:tcBorders>
              <w:bottom w:val="single" w:sz="2" w:space="0" w:color="000000"/>
            </w:tcBorders>
            <w:tcMar>
              <w:bottom w:w="28" w:type="dxa"/>
            </w:tcMar>
            <w:vAlign w:val="bottom"/>
          </w:tcPr>
          <w:p>
            <w:pPr>
              <w:pStyle w:val="TableContents"/>
              <w:bidi w:val="0"/>
              <w:spacing w:before="0" w:after="283"/>
              <w:jc w:val="left"/>
              <w:rPr/>
            </w:pPr>
            <w:r>
              <w:rPr/>
              <w:t>  </w:t>
            </w:r>
          </w:p>
        </w:tc>
        <w:tc>
          <w:tcPr>
            <w:tcW w:w="2139" w:type="dxa"/>
            <w:tcBorders>
              <w:bottom w:val="single" w:sz="2" w:space="0" w:color="000000"/>
            </w:tcBorders>
            <w:tcMar>
              <w:bottom w:w="40" w:type="dxa"/>
            </w:tcMar>
            <w:vAlign w:val="bottom"/>
          </w:tcPr>
          <w:p>
            <w:pPr>
              <w:pStyle w:val="TableContents"/>
              <w:bidi w:val="0"/>
              <w:spacing w:before="0" w:after="283"/>
              <w:jc w:val="center"/>
              <w:rPr/>
            </w:pPr>
            <w:r>
              <w:rPr/>
              <w:t>(c)</w:t>
            </w:r>
          </w:p>
        </w:tc>
      </w:tr>
      <w:tr>
        <w:trPr/>
        <w:tc>
          <w:tcPr>
            <w:tcW w:w="4784" w:type="dxa"/>
            <w:tcBorders/>
            <w:shd w:fill="AEE3F2" w:val="clear"/>
          </w:tcPr>
          <w:p>
            <w:pPr>
              <w:pStyle w:val="TableContents"/>
              <w:bidi w:val="0"/>
              <w:spacing w:before="0" w:after="0"/>
              <w:jc w:val="left"/>
              <w:rPr>
                <w:rFonts w:ascii="Times New Roman" w:hAnsi="Times New Roman"/>
                <w:sz w:val="16"/>
              </w:rPr>
            </w:pPr>
            <w:r>
              <w:rPr>
                <w:rFonts w:ascii="Times New Roman" w:hAnsi="Times New Roman"/>
                <w:sz w:val="16"/>
              </w:rPr>
              <w:t>Equity compensation plans approved by security holders(2)</w:t>
            </w:r>
          </w:p>
        </w:tc>
        <w:tc>
          <w:tcPr>
            <w:tcW w:w="120" w:type="dxa"/>
            <w:tcBorders/>
            <w:shd w:fill="AEE3F2" w:val="clear"/>
            <w:vAlign w:val="bottom"/>
          </w:tcPr>
          <w:p>
            <w:pPr>
              <w:pStyle w:val="TableContents"/>
              <w:bidi w:val="0"/>
              <w:spacing w:before="0" w:after="283"/>
              <w:jc w:val="left"/>
              <w:rPr/>
            </w:pPr>
            <w:r>
              <w:rPr/>
              <w:t>  </w:t>
            </w:r>
          </w:p>
        </w:tc>
        <w:tc>
          <w:tcPr>
            <w:tcW w:w="1537" w:type="dxa"/>
            <w:tcBorders/>
            <w:shd w:fill="AEE3F2" w:val="clear"/>
            <w:vAlign w:val="bottom"/>
          </w:tcPr>
          <w:p>
            <w:pPr>
              <w:pStyle w:val="TableContents"/>
              <w:bidi w:val="0"/>
              <w:spacing w:before="0" w:after="283"/>
              <w:jc w:val="center"/>
              <w:rPr/>
            </w:pPr>
            <w:r>
              <w:rPr/>
              <w:t>  </w:t>
            </w:r>
            <w:r>
              <w:rPr/>
              <w:t>3,913,502  </w:t>
            </w:r>
          </w:p>
        </w:tc>
        <w:tc>
          <w:tcPr>
            <w:tcW w:w="120" w:type="dxa"/>
            <w:tcBorders/>
            <w:shd w:fill="AEE3F2" w:val="clear"/>
            <w:vAlign w:val="bottom"/>
          </w:tcPr>
          <w:p>
            <w:pPr>
              <w:pStyle w:val="TableContents"/>
              <w:bidi w:val="0"/>
              <w:spacing w:before="0" w:after="283"/>
              <w:jc w:val="left"/>
              <w:rPr/>
            </w:pPr>
            <w:r>
              <w:rPr/>
              <w:t>  </w:t>
            </w:r>
          </w:p>
        </w:tc>
        <w:tc>
          <w:tcPr>
            <w:tcW w:w="140" w:type="dxa"/>
            <w:tcBorders/>
            <w:shd w:fill="AEE3F2" w:val="clear"/>
            <w:vAlign w:val="bottom"/>
          </w:tcPr>
          <w:p>
            <w:pPr>
              <w:pStyle w:val="TableContents"/>
              <w:bidi w:val="0"/>
              <w:spacing w:before="0" w:after="283"/>
              <w:jc w:val="center"/>
              <w:rPr/>
            </w:pPr>
            <w:r>
              <w:rPr/>
              <w:t>$</w:t>
            </w:r>
          </w:p>
        </w:tc>
        <w:tc>
          <w:tcPr>
            <w:tcW w:w="204" w:type="dxa"/>
            <w:tcBorders/>
            <w:shd w:fill="AEE3F2" w:val="clear"/>
            <w:vAlign w:val="bottom"/>
          </w:tcPr>
          <w:p>
            <w:pPr>
              <w:pStyle w:val="TableContents"/>
              <w:bidi w:val="0"/>
              <w:spacing w:before="0" w:after="283"/>
              <w:jc w:val="left"/>
              <w:rPr/>
            </w:pPr>
            <w:r>
              <w:rPr/>
              <w:t>  </w:t>
            </w:r>
          </w:p>
        </w:tc>
        <w:tc>
          <w:tcPr>
            <w:tcW w:w="1041" w:type="dxa"/>
            <w:tcBorders/>
            <w:shd w:fill="AEE3F2" w:val="clear"/>
            <w:vAlign w:val="bottom"/>
          </w:tcPr>
          <w:p>
            <w:pPr>
              <w:pStyle w:val="TableContents"/>
              <w:bidi w:val="0"/>
              <w:spacing w:before="0" w:after="283"/>
              <w:jc w:val="center"/>
              <w:rPr/>
            </w:pPr>
            <w:r>
              <w:rPr/>
              <w:t>  </w:t>
            </w:r>
            <w:r>
              <w:rPr/>
              <w:t>9.06  </w:t>
            </w:r>
          </w:p>
        </w:tc>
        <w:tc>
          <w:tcPr>
            <w:tcW w:w="120" w:type="dxa"/>
            <w:tcBorders/>
            <w:shd w:fill="AEE3F2" w:val="clear"/>
            <w:vAlign w:val="bottom"/>
          </w:tcPr>
          <w:p>
            <w:pPr>
              <w:pStyle w:val="TableContents"/>
              <w:bidi w:val="0"/>
              <w:spacing w:before="0" w:after="283"/>
              <w:jc w:val="left"/>
              <w:rPr/>
            </w:pPr>
            <w:r>
              <w:rPr/>
              <w:t>  </w:t>
            </w:r>
          </w:p>
        </w:tc>
        <w:tc>
          <w:tcPr>
            <w:tcW w:w="2139" w:type="dxa"/>
            <w:tcBorders/>
            <w:shd w:fill="AEE3F2" w:val="clear"/>
            <w:vAlign w:val="bottom"/>
          </w:tcPr>
          <w:p>
            <w:pPr>
              <w:pStyle w:val="TableContents"/>
              <w:bidi w:val="0"/>
              <w:spacing w:before="0" w:after="283"/>
              <w:jc w:val="center"/>
              <w:rPr/>
            </w:pPr>
            <w:r>
              <w:rPr/>
              <w:t>  </w:t>
            </w:r>
            <w:r>
              <w:rPr/>
              <w:t>3,042,968 (3) (4)  </w:t>
            </w:r>
          </w:p>
        </w:tc>
      </w:tr>
      <w:tr>
        <w:trPr>
          <w:trHeight w:val="30" w:hRule="atLeast"/>
        </w:trPr>
        <w:tc>
          <w:tcPr>
            <w:tcW w:w="4784" w:type="dxa"/>
            <w:tcBorders/>
            <w:vAlign w:val="center"/>
          </w:tcPr>
          <w:p>
            <w:pPr>
              <w:pStyle w:val="TableContents"/>
              <w:bidi w:val="0"/>
              <w:spacing w:before="0" w:after="283"/>
              <w:jc w:val="left"/>
              <w:rPr>
                <w:sz w:val="4"/>
                <w:szCs w:val="4"/>
              </w:rPr>
            </w:pPr>
            <w:r>
              <w:rPr>
                <w:sz w:val="4"/>
                <w:szCs w:val="4"/>
              </w:rPr>
            </w:r>
          </w:p>
        </w:tc>
        <w:tc>
          <w:tcPr>
            <w:tcW w:w="1657" w:type="dxa"/>
            <w:gridSpan w:val="2"/>
            <w:tcBorders/>
            <w:vAlign w:val="center"/>
          </w:tcPr>
          <w:p>
            <w:pPr>
              <w:pStyle w:val="TableContents"/>
              <w:bidi w:val="0"/>
              <w:spacing w:before="0" w:after="283"/>
              <w:jc w:val="left"/>
              <w:rPr>
                <w:sz w:val="4"/>
                <w:szCs w:val="4"/>
              </w:rPr>
            </w:pPr>
            <w:r>
              <w:rPr>
                <w:sz w:val="4"/>
                <w:szCs w:val="4"/>
              </w:rPr>
            </w:r>
          </w:p>
        </w:tc>
        <w:tc>
          <w:tcPr>
            <w:tcW w:w="260" w:type="dxa"/>
            <w:gridSpan w:val="2"/>
            <w:tcBorders/>
            <w:vAlign w:val="center"/>
          </w:tcPr>
          <w:p>
            <w:pPr>
              <w:pStyle w:val="TableContents"/>
              <w:bidi w:val="0"/>
              <w:spacing w:before="0" w:after="283"/>
              <w:jc w:val="left"/>
              <w:rPr>
                <w:sz w:val="4"/>
                <w:szCs w:val="4"/>
              </w:rPr>
            </w:pPr>
            <w:r>
              <w:rPr>
                <w:sz w:val="4"/>
                <w:szCs w:val="4"/>
              </w:rPr>
            </w:r>
          </w:p>
        </w:tc>
        <w:tc>
          <w:tcPr>
            <w:tcW w:w="1245" w:type="dxa"/>
            <w:gridSpan w:val="2"/>
            <w:tcBorders/>
            <w:vAlign w:val="center"/>
          </w:tcPr>
          <w:p>
            <w:pPr>
              <w:pStyle w:val="TableContents"/>
              <w:bidi w:val="0"/>
              <w:spacing w:before="0" w:after="283"/>
              <w:jc w:val="left"/>
              <w:rPr>
                <w:sz w:val="4"/>
                <w:szCs w:val="4"/>
              </w:rPr>
            </w:pPr>
            <w:r>
              <w:rPr>
                <w:sz w:val="4"/>
                <w:szCs w:val="4"/>
              </w:rPr>
            </w:r>
          </w:p>
        </w:tc>
        <w:tc>
          <w:tcPr>
            <w:tcW w:w="2259" w:type="dxa"/>
            <w:gridSpan w:val="2"/>
            <w:tcBorders/>
            <w:vAlign w:val="center"/>
          </w:tcPr>
          <w:p>
            <w:pPr>
              <w:pStyle w:val="TableContents"/>
              <w:bidi w:val="0"/>
              <w:spacing w:before="0" w:after="283"/>
              <w:jc w:val="left"/>
              <w:rPr>
                <w:sz w:val="4"/>
                <w:szCs w:val="4"/>
              </w:rPr>
            </w:pPr>
            <w:r>
              <w:rPr>
                <w:sz w:val="4"/>
                <w:szCs w:val="4"/>
              </w:rPr>
            </w:r>
          </w:p>
        </w:tc>
      </w:tr>
      <w:tr>
        <w:trPr/>
        <w:tc>
          <w:tcPr>
            <w:tcW w:w="4784" w:type="dxa"/>
            <w:tcBorders/>
          </w:tcPr>
          <w:p>
            <w:pPr>
              <w:pStyle w:val="TableContents"/>
              <w:bidi w:val="0"/>
              <w:spacing w:before="0" w:after="0"/>
              <w:jc w:val="left"/>
              <w:rPr>
                <w:rFonts w:ascii="Times New Roman" w:hAnsi="Times New Roman"/>
                <w:sz w:val="16"/>
              </w:rPr>
            </w:pPr>
            <w:r>
              <w:rPr>
                <w:rFonts w:ascii="Times New Roman" w:hAnsi="Times New Roman"/>
                <w:sz w:val="16"/>
              </w:rPr>
              <w:t>Equity compensation plans not approved by security holders(5)</w:t>
            </w:r>
          </w:p>
        </w:tc>
        <w:tc>
          <w:tcPr>
            <w:tcW w:w="120" w:type="dxa"/>
            <w:tcBorders/>
            <w:vAlign w:val="bottom"/>
          </w:tcPr>
          <w:p>
            <w:pPr>
              <w:pStyle w:val="TableContents"/>
              <w:bidi w:val="0"/>
              <w:spacing w:before="0" w:after="283"/>
              <w:jc w:val="left"/>
              <w:rPr/>
            </w:pPr>
            <w:r>
              <w:rPr/>
              <w:t>  </w:t>
            </w:r>
          </w:p>
        </w:tc>
        <w:tc>
          <w:tcPr>
            <w:tcW w:w="1537" w:type="dxa"/>
            <w:tcBorders/>
            <w:vAlign w:val="bottom"/>
          </w:tcPr>
          <w:p>
            <w:pPr>
              <w:pStyle w:val="TableContents"/>
              <w:bidi w:val="0"/>
              <w:spacing w:before="0" w:after="283"/>
              <w:jc w:val="center"/>
              <w:rPr/>
            </w:pPr>
            <w:r>
              <w:rPr/>
              <w:t>360,000</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41" w:type="dxa"/>
            <w:tcBorders/>
            <w:vAlign w:val="bottom"/>
          </w:tcPr>
          <w:p>
            <w:pPr>
              <w:pStyle w:val="TableContents"/>
              <w:bidi w:val="0"/>
              <w:spacing w:before="0" w:after="283"/>
              <w:jc w:val="center"/>
              <w:rPr/>
            </w:pPr>
            <w:r>
              <w:rPr/>
              <w:t>4.55</w:t>
            </w:r>
          </w:p>
        </w:tc>
        <w:tc>
          <w:tcPr>
            <w:tcW w:w="120" w:type="dxa"/>
            <w:tcBorders/>
            <w:vAlign w:val="bottom"/>
          </w:tcPr>
          <w:p>
            <w:pPr>
              <w:pStyle w:val="TableContents"/>
              <w:bidi w:val="0"/>
              <w:spacing w:before="0" w:after="283"/>
              <w:jc w:val="left"/>
              <w:rPr/>
            </w:pPr>
            <w:r>
              <w:rPr/>
              <w:t>  </w:t>
            </w:r>
          </w:p>
        </w:tc>
        <w:tc>
          <w:tcPr>
            <w:tcW w:w="2139" w:type="dxa"/>
            <w:tcBorders/>
            <w:vAlign w:val="bottom"/>
          </w:tcPr>
          <w:p>
            <w:pPr>
              <w:pStyle w:val="TableContents"/>
              <w:bidi w:val="0"/>
              <w:spacing w:before="0" w:after="283"/>
              <w:jc w:val="center"/>
              <w:rPr/>
            </w:pPr>
            <w:r>
              <w:rPr/>
              <w:t></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37"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41" w:type="dxa"/>
            <w:tcBorders/>
            <w:vAlign w:val="bottom"/>
          </w:tcPr>
          <w:p>
            <w:pPr>
              <w:pStyle w:val="TableContents"/>
              <w:pBdr>
                <w:top w:val="single" w:sz="2"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2139" w:type="dxa"/>
            <w:tcBorders/>
            <w:vAlign w:val="bottom"/>
          </w:tcPr>
          <w:p>
            <w:pPr>
              <w:pStyle w:val="TableContents"/>
              <w:pBdr>
                <w:top w:val="single" w:sz="2" w:space="1" w:color="000000"/>
              </w:pBdr>
              <w:bidi w:val="0"/>
              <w:spacing w:before="0" w:after="0"/>
              <w:jc w:val="left"/>
              <w:rPr/>
            </w:pPr>
            <w:r>
              <w:rPr/>
              <w:t> </w:t>
            </w:r>
          </w:p>
        </w:tc>
      </w:tr>
      <w:tr>
        <w:trPr/>
        <w:tc>
          <w:tcPr>
            <w:tcW w:w="4784" w:type="dxa"/>
            <w:tcBorders/>
            <w:shd w:fill="AEE3F2" w:val="clear"/>
          </w:tcPr>
          <w:p>
            <w:pPr>
              <w:pStyle w:val="TableContents"/>
              <w:bidi w:val="0"/>
              <w:spacing w:before="0" w:after="0"/>
              <w:jc w:val="left"/>
              <w:rPr>
                <w:rFonts w:ascii="Times New Roman" w:hAnsi="Times New Roman"/>
                <w:sz w:val="16"/>
              </w:rPr>
            </w:pPr>
            <w:r>
              <w:rPr>
                <w:rFonts w:ascii="Times New Roman" w:hAnsi="Times New Roman"/>
                <w:sz w:val="16"/>
              </w:rPr>
              <w:t>Total</w:t>
            </w:r>
          </w:p>
        </w:tc>
        <w:tc>
          <w:tcPr>
            <w:tcW w:w="120" w:type="dxa"/>
            <w:tcBorders/>
            <w:shd w:fill="AEE3F2" w:val="clear"/>
            <w:vAlign w:val="bottom"/>
          </w:tcPr>
          <w:p>
            <w:pPr>
              <w:pStyle w:val="TableContents"/>
              <w:bidi w:val="0"/>
              <w:spacing w:before="0" w:after="283"/>
              <w:jc w:val="left"/>
              <w:rPr/>
            </w:pPr>
            <w:r>
              <w:rPr/>
              <w:t>  </w:t>
            </w:r>
          </w:p>
        </w:tc>
        <w:tc>
          <w:tcPr>
            <w:tcW w:w="1537" w:type="dxa"/>
            <w:tcBorders/>
            <w:shd w:fill="AEE3F2" w:val="clear"/>
            <w:vAlign w:val="bottom"/>
          </w:tcPr>
          <w:p>
            <w:pPr>
              <w:pStyle w:val="TableContents"/>
              <w:bidi w:val="0"/>
              <w:spacing w:before="0" w:after="283"/>
              <w:jc w:val="center"/>
              <w:rPr/>
            </w:pPr>
            <w:r>
              <w:rPr/>
              <w:t>4,273,502</w:t>
            </w:r>
          </w:p>
        </w:tc>
        <w:tc>
          <w:tcPr>
            <w:tcW w:w="120" w:type="dxa"/>
            <w:tcBorders/>
            <w:shd w:fill="AEE3F2" w:val="clear"/>
            <w:vAlign w:val="bottom"/>
          </w:tcPr>
          <w:p>
            <w:pPr>
              <w:pStyle w:val="TableContents"/>
              <w:bidi w:val="0"/>
              <w:spacing w:before="0" w:after="283"/>
              <w:jc w:val="left"/>
              <w:rPr/>
            </w:pPr>
            <w:r>
              <w:rPr/>
              <w:t>  </w:t>
            </w:r>
          </w:p>
        </w:tc>
        <w:tc>
          <w:tcPr>
            <w:tcW w:w="140" w:type="dxa"/>
            <w:tcBorders/>
            <w:shd w:fill="AEE3F2" w:val="clear"/>
            <w:vAlign w:val="bottom"/>
          </w:tcPr>
          <w:p>
            <w:pPr>
              <w:pStyle w:val="TableContents"/>
              <w:bidi w:val="0"/>
              <w:spacing w:before="0" w:after="283"/>
              <w:jc w:val="center"/>
              <w:rPr/>
            </w:pPr>
            <w:r>
              <w:rPr/>
              <w:t>$</w:t>
            </w:r>
          </w:p>
        </w:tc>
        <w:tc>
          <w:tcPr>
            <w:tcW w:w="204" w:type="dxa"/>
            <w:tcBorders/>
            <w:shd w:fill="AEE3F2" w:val="clear"/>
            <w:vAlign w:val="bottom"/>
          </w:tcPr>
          <w:p>
            <w:pPr>
              <w:pStyle w:val="TableContents"/>
              <w:bidi w:val="0"/>
              <w:spacing w:before="0" w:after="283"/>
              <w:jc w:val="left"/>
              <w:rPr/>
            </w:pPr>
            <w:r>
              <w:rPr/>
              <w:t>  </w:t>
            </w:r>
          </w:p>
        </w:tc>
        <w:tc>
          <w:tcPr>
            <w:tcW w:w="1041" w:type="dxa"/>
            <w:tcBorders/>
            <w:shd w:fill="AEE3F2" w:val="clear"/>
            <w:vAlign w:val="bottom"/>
          </w:tcPr>
          <w:p>
            <w:pPr>
              <w:pStyle w:val="TableContents"/>
              <w:bidi w:val="0"/>
              <w:spacing w:before="0" w:after="283"/>
              <w:jc w:val="center"/>
              <w:rPr/>
            </w:pPr>
            <w:r>
              <w:rPr/>
              <w:t>  </w:t>
            </w:r>
            <w:r>
              <w:rPr/>
              <w:t>9.06  </w:t>
            </w:r>
          </w:p>
        </w:tc>
        <w:tc>
          <w:tcPr>
            <w:tcW w:w="120" w:type="dxa"/>
            <w:tcBorders/>
            <w:shd w:fill="AEE3F2" w:val="clear"/>
            <w:vAlign w:val="bottom"/>
          </w:tcPr>
          <w:p>
            <w:pPr>
              <w:pStyle w:val="TableContents"/>
              <w:bidi w:val="0"/>
              <w:spacing w:before="0" w:after="283"/>
              <w:jc w:val="left"/>
              <w:rPr/>
            </w:pPr>
            <w:r>
              <w:rPr/>
              <w:t>  </w:t>
            </w:r>
          </w:p>
        </w:tc>
        <w:tc>
          <w:tcPr>
            <w:tcW w:w="2139" w:type="dxa"/>
            <w:tcBorders/>
            <w:shd w:fill="AEE3F2" w:val="clear"/>
            <w:vAlign w:val="bottom"/>
          </w:tcPr>
          <w:p>
            <w:pPr>
              <w:pStyle w:val="TableContents"/>
              <w:bidi w:val="0"/>
              <w:spacing w:before="0" w:after="283"/>
              <w:jc w:val="center"/>
              <w:rPr/>
            </w:pPr>
            <w:r>
              <w:rPr/>
              <w:t>3,042,968</w:t>
            </w:r>
          </w:p>
        </w:tc>
      </w:tr>
      <w:tr>
        <w:trPr/>
        <w:tc>
          <w:tcPr>
            <w:tcW w:w="4784"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37"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041" w:type="dxa"/>
            <w:tcBorders/>
            <w:vAlign w:val="bottom"/>
          </w:tcPr>
          <w:p>
            <w:pPr>
              <w:pStyle w:val="TableContents"/>
              <w:pBdr>
                <w:top w:val="double" w:sz="6" w:space="1" w:color="000000"/>
              </w:pBdr>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2139"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This amount represents the weighted average exercise price for the total number of outstanding stock options. No such value is included for restricted stock units, which do not have an exercise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equity compensation plan approved by stockholders consists of the Companys 2020 Equity Incentive Plan (the 2020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w:t>
            </w:r>
          </w:p>
        </w:tc>
        <w:tc>
          <w:tcPr>
            <w:tcW w:w="96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This amount reflects shares available for issuance under the 2020 Plan. The 2020 Plan contains an evergreen provision, pursuant to which, on January 1, 2021 and each anniversary of such date thereafter, the maximum number of shares reserved for issuance under the plan is increased by a number equal to the lesser of (i) 4% of the shares issued and outstanding on December 31 of the preceding year and (ii) a smaller number of shares of common stock as determined by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Effective January 1, 2024, 1,756,363 shares were added to the 2020 Plan in accordance with the evergreen feature described above, increasing the maximum number of shares of the Companys common stock that may be issued under the 2020 Plan to 4,541,408 shares. This increase is not reflected in the table above.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w:t>
            </w:r>
          </w:p>
        </w:tc>
        <w:tc>
          <w:tcPr>
            <w:tcW w:w="96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Reflects grants of stock options that were inducement grants as defined under Nasdaq Listing Rule 5635(c)(4). For more information about the inducement grants, please see Note 7 of the Notes to the Consolidated Financial Statements included in our 2023 Annual Report. </w:t>
            </w:r>
          </w:p>
        </w:tc>
      </w:tr>
    </w:tbl>
    <w:p>
      <w:pPr>
        <w:pStyle w:val="TextBody"/>
        <w:bidi w:val="0"/>
        <w:spacing w:before="200" w:after="0"/>
        <w:jc w:val="both"/>
        <w:rPr>
          <w:rFonts w:ascii="Times New Roman" w:hAnsi="Times New Roman"/>
          <w:sz w:val="20"/>
        </w:rPr>
      </w:pPr>
      <w:r>
        <w:rPr>
          <w:rFonts w:ascii="Times New Roman" w:hAnsi="Times New Roman"/>
          <w:sz w:val="20"/>
        </w:rPr>
        <w:t xml:space="preserve">Other information with respect to this item is set forth in this Proxy Statement under the headings Security Ownership of Certain Beneficial Owners and Management, Executive Compensation, and Director Compensation, and is incorporated herein by reference.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46" w:name="summary636298_44"/>
            <w:bookmarkEnd w:id="46"/>
            <w:r>
              <w:rPr>
                <w:rFonts w:ascii="Times New Roman" w:hAnsi="Times New Roman"/>
                <w:b/>
                <w:sz w:val="24"/>
              </w:rPr>
              <w:t>SECURITY OWNERSHIP OF CERTAIN BENEFICIAL OWNERS AND MANAGEMENT</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following table sets forth certain information regarding the beneficial ownership of common stock as of April 1, 2024 by (a) each person known by us to be the beneficial owner of more than 5% of the outstanding shares of common stock, (b) each named executive officer identified in the 2023 Summary Compensation Table above, (c) each director and nominee for director, and (d) all executive officers and directors as a group. </w:t>
      </w:r>
    </w:p>
    <w:p>
      <w:pPr>
        <w:pStyle w:val="TextBody"/>
        <w:bidi w:val="0"/>
        <w:spacing w:before="200" w:after="0"/>
        <w:jc w:val="both"/>
        <w:rPr>
          <w:rFonts w:ascii="Times New Roman" w:hAnsi="Times New Roman"/>
          <w:sz w:val="20"/>
        </w:rPr>
      </w:pPr>
      <w:r>
        <w:rPr>
          <w:rFonts w:ascii="Times New Roman" w:hAnsi="Times New Roman"/>
          <w:sz w:val="20"/>
        </w:rPr>
        <w:t xml:space="preserve">The percentage of common stock outstanding is based on 63,800,017 shares of our common stock outstanding as of April 1, 2024. For purposes of the table below, and in accordance with the rules of the SEC, we deem shares of common stock subject to options, warrants or other derivative securities of the Company that are currently exercisable or exercisable within sixty days of April 1, 2024 to be outstanding and to be beneficially owned by the person holding such securities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Larimar Therapeutics, Inc., Three Bala Plaza East, Suite 506, Bala Cynwyd, PA 19004. </w:t>
      </w:r>
    </w:p>
    <w:p>
      <w:pPr>
        <w:pStyle w:val="TextBody"/>
        <w:bidi w:val="0"/>
        <w:spacing w:before="0" w:after="0"/>
        <w:jc w:val="left"/>
        <w:rPr/>
      </w:pPr>
      <w:r>
        <w:rPr/>
        <w:t> </w:t>
      </w:r>
    </w:p>
    <w:tbl>
      <w:tblPr>
        <w:tblW w:w="4950" w:type="pct"/>
        <w:jc w:val="left"/>
        <w:tblInd w:w="0" w:type="dxa"/>
        <w:tblLayout w:type="fixed"/>
        <w:tblCellMar>
          <w:top w:w="0" w:type="dxa"/>
          <w:left w:w="0" w:type="dxa"/>
          <w:bottom w:w="0" w:type="dxa"/>
          <w:right w:w="0" w:type="dxa"/>
        </w:tblCellMar>
      </w:tblPr>
      <w:tblGrid>
        <w:gridCol w:w="5045"/>
        <w:gridCol w:w="1106"/>
        <w:gridCol w:w="80"/>
        <w:gridCol w:w="1500"/>
        <w:gridCol w:w="60"/>
        <w:gridCol w:w="1106"/>
        <w:gridCol w:w="119"/>
        <w:gridCol w:w="1023"/>
        <w:gridCol w:w="63"/>
      </w:tblGrid>
      <w:tr>
        <w:trPr/>
        <w:tc>
          <w:tcPr>
            <w:tcW w:w="5045" w:type="dxa"/>
            <w:tcBorders/>
            <w:vAlign w:val="center"/>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6" w:type="dxa"/>
            <w:tcBorders/>
            <w:vAlign w:val="bottom"/>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045" w:type="dxa"/>
            <w:tcBorders>
              <w:top w:val="single" w:sz="2" w:space="0" w:color="000000"/>
              <w:left w:val="single" w:sz="2" w:space="0" w:color="000000"/>
              <w:bottom w:val="single" w:sz="2" w:space="0" w:color="000000"/>
            </w:tcBorders>
            <w:shd w:fill="4DC1E4" w:val="clear"/>
            <w:tcMar>
              <w:top w:w="28" w:type="dxa"/>
              <w:left w:w="160" w:type="dxa"/>
              <w:bottom w:w="28" w:type="dxa"/>
            </w:tcMar>
            <w:vAlign w:val="bottom"/>
          </w:tcPr>
          <w:p>
            <w:pPr>
              <w:pStyle w:val="TableContents"/>
              <w:bidi w:val="0"/>
              <w:spacing w:before="0" w:after="283"/>
              <w:jc w:val="left"/>
              <w:rPr/>
            </w:pPr>
            <w:r>
              <w:rPr/>
              <w:t>  </w:t>
            </w:r>
          </w:p>
        </w:tc>
        <w:tc>
          <w:tcPr>
            <w:tcW w:w="1106" w:type="dxa"/>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left"/>
              <w:rPr/>
            </w:pPr>
            <w:r>
              <w:rPr/>
              <w:t>  </w:t>
            </w:r>
          </w:p>
        </w:tc>
        <w:tc>
          <w:tcPr>
            <w:tcW w:w="3888" w:type="dxa"/>
            <w:gridSpan w:val="6"/>
            <w:tcBorders>
              <w:top w:val="single" w:sz="2" w:space="0" w:color="000000"/>
              <w:bottom w:val="single" w:sz="2" w:space="0" w:color="000000"/>
            </w:tcBorders>
            <w:shd w:fill="4DC1E4" w:val="clear"/>
            <w:tcMar>
              <w:top w:w="28" w:type="dxa"/>
              <w:bottom w:w="28" w:type="dxa"/>
            </w:tcMar>
            <w:vAlign w:val="bottom"/>
          </w:tcPr>
          <w:p>
            <w:pPr>
              <w:pStyle w:val="TableContents"/>
              <w:bidi w:val="0"/>
              <w:spacing w:before="0" w:after="283"/>
              <w:jc w:val="center"/>
              <w:rPr>
                <w:b/>
                <w:color w:val="FFFFFF"/>
              </w:rPr>
            </w:pPr>
            <w:r>
              <w:rPr>
                <w:b/>
                <w:color w:val="FFFFFF"/>
              </w:rPr>
              <w:t>S</w:t>
            </w:r>
            <w:r>
              <w:rPr>
                <w:b/>
                <w:color w:val="FFFFFF"/>
                <w:sz w:val="14"/>
              </w:rPr>
              <w:t>HARES</w:t>
            </w:r>
            <w:r>
              <w:rPr>
                <w:b/>
                <w:color w:val="FFFFFF"/>
              </w:rPr>
              <w:t xml:space="preserve"> B</w:t>
            </w:r>
            <w:r>
              <w:rPr>
                <w:b/>
                <w:color w:val="FFFFFF"/>
                <w:sz w:val="14"/>
              </w:rPr>
              <w:t>ENEFICIALLY</w:t>
            </w:r>
            <w:r>
              <w:rPr>
                <w:b/>
                <w:color w:val="FFFFFF"/>
              </w:rPr>
              <w:t xml:space="preserve"> O</w:t>
            </w:r>
            <w:r>
              <w:rPr>
                <w:b/>
                <w:color w:val="FFFFFF"/>
                <w:sz w:val="14"/>
              </w:rPr>
              <w:t>WNED</w:t>
            </w:r>
          </w:p>
        </w:tc>
        <w:tc>
          <w:tcPr>
            <w:tcW w:w="63" w:type="dxa"/>
            <w:tcBorders>
              <w:top w:val="single" w:sz="2" w:space="0" w:color="000000"/>
              <w:bottom w:val="single" w:sz="2" w:space="0" w:color="000000"/>
              <w:right w:val="single" w:sz="2" w:space="0" w:color="000000"/>
            </w:tcBorders>
            <w:shd w:fill="4DC1E4" w:val="clear"/>
            <w:tcMar>
              <w:top w:w="28" w:type="dxa"/>
              <w:bottom w:w="28"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shd w:fill="4DC1E4" w:val="clear"/>
            <w:tcMar>
              <w:left w:w="160" w:type="dxa"/>
              <w:bottom w:w="28" w:type="dxa"/>
            </w:tcMar>
            <w:vAlign w:val="bottom"/>
          </w:tcPr>
          <w:p>
            <w:pPr>
              <w:pStyle w:val="TableContents"/>
              <w:bidi w:val="0"/>
              <w:spacing w:before="0" w:after="283"/>
              <w:jc w:val="center"/>
              <w:rPr>
                <w:b/>
                <w:color w:val="FFFFFF"/>
              </w:rPr>
            </w:pPr>
            <w:r>
              <w:rPr>
                <w:b/>
                <w:color w:val="FFFFFF"/>
              </w:rPr>
              <w:t>N</w:t>
            </w:r>
            <w:r>
              <w:rPr>
                <w:b/>
                <w:color w:val="FFFFFF"/>
                <w:sz w:val="14"/>
              </w:rPr>
              <w:t>AME</w:t>
            </w:r>
            <w:r>
              <w:rPr>
                <w:b/>
                <w:color w:val="FFFFFF"/>
              </w:rPr>
              <w:t xml:space="preserve"> </w:t>
            </w:r>
            <w:r>
              <w:rPr>
                <w:b/>
                <w:color w:val="FFFFFF"/>
                <w:sz w:val="14"/>
              </w:rPr>
              <w:t>OF</w:t>
            </w:r>
            <w:r>
              <w:rPr>
                <w:b/>
                <w:color w:val="FFFFFF"/>
              </w:rPr>
              <w:t xml:space="preserve"> B</w:t>
            </w:r>
            <w:r>
              <w:rPr>
                <w:b/>
                <w:color w:val="FFFFFF"/>
                <w:sz w:val="14"/>
              </w:rPr>
              <w:t>ENEFICIAL</w:t>
            </w:r>
            <w:r>
              <w:rPr>
                <w:b/>
                <w:color w:val="FFFFFF"/>
              </w:rPr>
              <w:t xml:space="preserve"> O</w:t>
            </w:r>
            <w:r>
              <w:rPr>
                <w:b/>
                <w:color w:val="FFFFFF"/>
                <w:sz w:val="14"/>
              </w:rPr>
              <w:t>WNER</w:t>
            </w:r>
          </w:p>
        </w:tc>
        <w:tc>
          <w:tcPr>
            <w:tcW w:w="1106"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580" w:type="dxa"/>
            <w:gridSpan w:val="2"/>
            <w:tcBorders>
              <w:bottom w:val="single" w:sz="2" w:space="0" w:color="000000"/>
            </w:tcBorders>
            <w:shd w:fill="4DC1E4" w:val="clear"/>
            <w:tcMar>
              <w:bottom w:w="28" w:type="dxa"/>
            </w:tcMar>
            <w:vAlign w:val="bottom"/>
          </w:tcPr>
          <w:p>
            <w:pPr>
              <w:pStyle w:val="TableContents"/>
              <w:bidi w:val="0"/>
              <w:spacing w:before="0" w:after="283"/>
              <w:jc w:val="center"/>
              <w:rPr>
                <w:b/>
                <w:color w:val="FFFFFF"/>
              </w:rPr>
            </w:pPr>
            <w:r>
              <w:rPr>
                <w:b/>
                <w:color w:val="FFFFFF"/>
              </w:rPr>
              <w:t>N</w:t>
            </w:r>
            <w:r>
              <w:rPr>
                <w:b/>
                <w:color w:val="FFFFFF"/>
                <w:sz w:val="14"/>
              </w:rPr>
              <w:t>UMBER</w:t>
            </w:r>
            <w:r>
              <w:rPr>
                <w:b/>
                <w:color w:val="FFFFFF"/>
              </w:rPr>
              <w:t> </w:t>
            </w:r>
            <w:r>
              <w:rPr>
                <w:b/>
                <w:color w:val="FFFFFF"/>
                <w:sz w:val="14"/>
              </w:rPr>
              <w:t>OF</w:t>
            </w:r>
            <w:r>
              <w:rPr>
                <w:b/>
                <w:color w:val="FFFFFF"/>
              </w:rPr>
              <w:t> S</w:t>
            </w:r>
            <w:r>
              <w:rPr>
                <w:b/>
                <w:color w:val="FFFFFF"/>
                <w:sz w:val="14"/>
              </w:rPr>
              <w:t>HARES </w:t>
            </w:r>
          </w:p>
        </w:tc>
        <w:tc>
          <w:tcPr>
            <w:tcW w:w="60"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06" w:type="dxa"/>
            <w:tcBorders>
              <w:bottom w:val="single" w:sz="2" w:space="0" w:color="000000"/>
            </w:tcBorders>
            <w:shd w:fill="4DC1E4" w:val="clear"/>
            <w:tcMar>
              <w:bottom w:w="28" w:type="dxa"/>
            </w:tcMar>
            <w:vAlign w:val="bottom"/>
          </w:tcPr>
          <w:p>
            <w:pPr>
              <w:pStyle w:val="TableContents"/>
              <w:bidi w:val="0"/>
              <w:spacing w:before="0" w:after="283"/>
              <w:jc w:val="left"/>
              <w:rPr/>
            </w:pPr>
            <w:r>
              <w:rPr/>
              <w:t>  </w:t>
            </w:r>
          </w:p>
        </w:tc>
        <w:tc>
          <w:tcPr>
            <w:tcW w:w="1142" w:type="dxa"/>
            <w:gridSpan w:val="2"/>
            <w:tcBorders>
              <w:bottom w:val="single" w:sz="2" w:space="0" w:color="000000"/>
            </w:tcBorders>
            <w:shd w:fill="4DC1E4" w:val="clear"/>
            <w:tcMar>
              <w:bottom w:w="28" w:type="dxa"/>
            </w:tcMar>
            <w:vAlign w:val="bottom"/>
          </w:tcPr>
          <w:p>
            <w:pPr>
              <w:pStyle w:val="TableContents"/>
              <w:bidi w:val="0"/>
              <w:spacing w:before="0" w:after="283"/>
              <w:jc w:val="center"/>
              <w:rPr>
                <w:color w:val="FFFFFF"/>
              </w:rPr>
            </w:pPr>
            <w:r>
              <w:rPr>
                <w:color w:val="FFFFFF"/>
              </w:rPr>
              <w:t>  </w:t>
            </w:r>
            <w:r>
              <w:rPr>
                <w:b/>
                <w:color w:val="FFFFFF"/>
              </w:rPr>
              <w:t>P</w:t>
            </w:r>
            <w:r>
              <w:rPr>
                <w:b/>
                <w:color w:val="FFFFFF"/>
                <w:sz w:val="14"/>
              </w:rPr>
              <w:t>ERCENTAGE  </w:t>
            </w:r>
          </w:p>
        </w:tc>
        <w:tc>
          <w:tcPr>
            <w:tcW w:w="63" w:type="dxa"/>
            <w:tcBorders>
              <w:bottom w:val="single" w:sz="2" w:space="0" w:color="000000"/>
              <w:right w:val="single" w:sz="2" w:space="0" w:color="000000"/>
            </w:tcBorders>
            <w:shd w:fill="4DC1E4" w:val="clear"/>
            <w:tcMar>
              <w:bottom w:w="28"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b/>
                <w:sz w:val="20"/>
              </w:rPr>
            </w:pPr>
            <w:r>
              <w:rPr>
                <w:rFonts w:ascii="Times New Roman" w:hAnsi="Times New Roman"/>
                <w:b/>
                <w:sz w:val="20"/>
              </w:rPr>
              <w:t>Greater than 5% Stockholders</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28" w:type="dxa"/>
            </w:tcMar>
            <w:vAlign w:val="bottom"/>
          </w:tcPr>
          <w:p>
            <w:pPr>
              <w:pStyle w:val="TableContents"/>
              <w:bidi w:val="0"/>
              <w:spacing w:before="0" w:after="283"/>
              <w:jc w:val="left"/>
              <w:rPr/>
            </w:pPr>
            <w:r>
              <w:rPr/>
              <w:t> </w:t>
            </w:r>
          </w:p>
        </w:tc>
        <w:tc>
          <w:tcPr>
            <w:tcW w:w="150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2" w:space="0" w:color="000000"/>
            </w:tcBorders>
            <w:tcMar>
              <w:bottom w:w="28" w:type="dxa"/>
            </w:tcMar>
            <w:vAlign w:val="bottom"/>
          </w:tcPr>
          <w:p>
            <w:pPr>
              <w:pStyle w:val="TableContents"/>
              <w:bidi w:val="0"/>
              <w:spacing w:before="0" w:after="283"/>
              <w:jc w:val="left"/>
              <w:rPr/>
            </w:pPr>
            <w:r>
              <w:rPr/>
              <w:t> </w:t>
            </w:r>
          </w:p>
        </w:tc>
        <w:tc>
          <w:tcPr>
            <w:tcW w:w="63"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Entities affiliated with Deerfield Management (1)</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21,273,474</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33.3%</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Management, L.P. (2)</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6,045,351</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9.5%</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Blue Owl Capital Holdings LP (3)</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3,414,468</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5.4%</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Entities affiliated with Verition Fund Management LLC (4)</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2,811,131</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4.4%</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Entities affiliated with Janus Henderson Group plc (5)</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2,641,065</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4.1%</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b/>
                <w:sz w:val="20"/>
              </w:rPr>
            </w:pPr>
            <w:r>
              <w:rPr>
                <w:rFonts w:ascii="Times New Roman" w:hAnsi="Times New Roman"/>
                <w:b/>
                <w:sz w:val="20"/>
              </w:rPr>
              <w:t>Named Executive Officers and Directors</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28" w:type="dxa"/>
            </w:tcMar>
            <w:vAlign w:val="bottom"/>
          </w:tcPr>
          <w:p>
            <w:pPr>
              <w:pStyle w:val="TableContents"/>
              <w:bidi w:val="0"/>
              <w:spacing w:before="0" w:after="283"/>
              <w:jc w:val="left"/>
              <w:rPr/>
            </w:pPr>
            <w:r>
              <w:rPr/>
              <w:t> </w:t>
            </w:r>
          </w:p>
        </w:tc>
        <w:tc>
          <w:tcPr>
            <w:tcW w:w="150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28" w:type="dxa"/>
            </w:tcMar>
            <w:vAlign w:val="bottom"/>
          </w:tcPr>
          <w:p>
            <w:pPr>
              <w:pStyle w:val="TableContents"/>
              <w:bidi w:val="0"/>
              <w:spacing w:before="0" w:after="283"/>
              <w:jc w:val="left"/>
              <w:rPr/>
            </w:pPr>
            <w:r>
              <w:rPr/>
              <w:t> </w:t>
            </w:r>
          </w:p>
        </w:tc>
        <w:tc>
          <w:tcPr>
            <w:tcW w:w="1023" w:type="dxa"/>
            <w:tcBorders>
              <w:bottom w:val="single" w:sz="2" w:space="0" w:color="000000"/>
            </w:tcBorders>
            <w:tcMar>
              <w:bottom w:w="28" w:type="dxa"/>
            </w:tcMar>
            <w:vAlign w:val="bottom"/>
          </w:tcPr>
          <w:p>
            <w:pPr>
              <w:pStyle w:val="TableContents"/>
              <w:bidi w:val="0"/>
              <w:spacing w:before="0" w:after="283"/>
              <w:jc w:val="left"/>
              <w:rPr/>
            </w:pPr>
            <w:r>
              <w:rPr/>
              <w:t> </w:t>
            </w:r>
          </w:p>
        </w:tc>
        <w:tc>
          <w:tcPr>
            <w:tcW w:w="63"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Carole S. Ben-Maimon, M.D. (6)</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1,025,311</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1.6%</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Michael Celano (7)</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328,486</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Gopi Shankar, Ph.D., MBA, FAAPS (8)</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61,250</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Frank Thomas (9)</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51,734</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Jonathan Leff (10)</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Thomas E. Hamilton (11)</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765,731</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1.2%</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Jeffrey W. Sherman, M.D., FACP (12)</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3,227</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0"/>
              <w:jc w:val="left"/>
              <w:rPr>
                <w:rFonts w:ascii="Times New Roman" w:hAnsi="Times New Roman"/>
                <w:sz w:val="20"/>
              </w:rPr>
            </w:pPr>
            <w:r>
              <w:rPr>
                <w:rFonts w:ascii="Times New Roman" w:hAnsi="Times New Roman"/>
                <w:sz w:val="20"/>
              </w:rPr>
              <w:t>Joseph Truitt (13)</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44,250</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r>
        <w:trPr/>
        <w:tc>
          <w:tcPr>
            <w:tcW w:w="5045" w:type="dxa"/>
            <w:tcBorders>
              <w:left w:val="single" w:sz="2" w:space="0" w:color="000000"/>
              <w:bottom w:val="single" w:sz="2" w:space="0" w:color="000000"/>
            </w:tcBorders>
            <w:tcMar>
              <w:left w:w="160" w:type="dxa"/>
              <w:bottom w:w="60" w:type="dxa"/>
            </w:tcMar>
          </w:tcPr>
          <w:p>
            <w:pPr>
              <w:pStyle w:val="TableContents"/>
              <w:bidi w:val="0"/>
              <w:spacing w:before="0" w:after="283"/>
              <w:jc w:val="left"/>
              <w:rPr/>
            </w:pPr>
            <w:r>
              <w:rPr/>
              <w:t>All current executive officers and directors as a group (9 persons) (14)</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60" w:type="dxa"/>
            </w:tcMar>
            <w:vAlign w:val="bottom"/>
          </w:tcPr>
          <w:p>
            <w:pPr>
              <w:pStyle w:val="TableContents"/>
              <w:bidi w:val="0"/>
              <w:spacing w:before="0" w:after="283"/>
              <w:jc w:val="left"/>
              <w:rPr/>
            </w:pPr>
            <w:r>
              <w:rPr/>
              <w:t> </w:t>
            </w:r>
          </w:p>
        </w:tc>
        <w:tc>
          <w:tcPr>
            <w:tcW w:w="1500" w:type="dxa"/>
            <w:tcBorders>
              <w:bottom w:val="single" w:sz="2" w:space="0" w:color="000000"/>
            </w:tcBorders>
            <w:tcMar>
              <w:bottom w:w="60" w:type="dxa"/>
            </w:tcMar>
            <w:vAlign w:val="bottom"/>
          </w:tcPr>
          <w:p>
            <w:pPr>
              <w:pStyle w:val="TableContents"/>
              <w:bidi w:val="0"/>
              <w:spacing w:before="0" w:after="283"/>
              <w:jc w:val="center"/>
              <w:rPr/>
            </w:pPr>
            <w:r>
              <w:rPr/>
              <w:t>2,279,989</w:t>
            </w:r>
          </w:p>
        </w:tc>
        <w:tc>
          <w:tcPr>
            <w:tcW w:w="60" w:type="dxa"/>
            <w:tcBorders>
              <w:bottom w:val="single" w:sz="2" w:space="0" w:color="000000"/>
            </w:tcBorders>
            <w:tcMar>
              <w:bottom w:w="60" w:type="dxa"/>
            </w:tcMar>
            <w:vAlign w:val="bottom"/>
          </w:tcPr>
          <w:p>
            <w:pPr>
              <w:pStyle w:val="TableContents"/>
              <w:bidi w:val="0"/>
              <w:spacing w:before="0" w:after="283"/>
              <w:jc w:val="left"/>
              <w:rPr/>
            </w:pPr>
            <w:r>
              <w:rPr/>
              <w:t> </w:t>
            </w:r>
          </w:p>
        </w:tc>
        <w:tc>
          <w:tcPr>
            <w:tcW w:w="110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 w:type="dxa"/>
            <w:tcBorders>
              <w:bottom w:val="single" w:sz="2" w:space="0" w:color="000000"/>
            </w:tcBorders>
            <w:tcMar>
              <w:bottom w:w="60" w:type="dxa"/>
            </w:tcMar>
            <w:vAlign w:val="bottom"/>
          </w:tcPr>
          <w:p>
            <w:pPr>
              <w:pStyle w:val="TableContents"/>
              <w:bidi w:val="0"/>
              <w:spacing w:before="0" w:after="283"/>
              <w:jc w:val="left"/>
              <w:rPr/>
            </w:pPr>
            <w:r>
              <w:rPr/>
              <w:t> </w:t>
            </w:r>
          </w:p>
        </w:tc>
        <w:tc>
          <w:tcPr>
            <w:tcW w:w="1023" w:type="dxa"/>
            <w:tcBorders>
              <w:bottom w:val="single" w:sz="2" w:space="0" w:color="000000"/>
            </w:tcBorders>
            <w:tcMar>
              <w:bottom w:w="60" w:type="dxa"/>
            </w:tcMar>
            <w:vAlign w:val="bottom"/>
          </w:tcPr>
          <w:p>
            <w:pPr>
              <w:pStyle w:val="TableContents"/>
              <w:bidi w:val="0"/>
              <w:spacing w:before="0" w:after="283"/>
              <w:jc w:val="center"/>
              <w:rPr/>
            </w:pPr>
            <w:r>
              <w:rPr/>
              <w:t>3.5%</w:t>
            </w:r>
          </w:p>
        </w:tc>
        <w:tc>
          <w:tcPr>
            <w:tcW w:w="63" w:type="dxa"/>
            <w:tcBorders>
              <w:bottom w:val="single" w:sz="2" w:space="0" w:color="000000"/>
              <w:right w:val="single" w:sz="2" w:space="0" w:color="000000"/>
            </w:tcBorders>
            <w:tcMar>
              <w:bottom w:w="60" w:type="dxa"/>
              <w:right w:w="40" w:type="dxa"/>
            </w:tcMar>
            <w:vAlign w:val="bottom"/>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1% </w:t>
            </w:r>
          </w:p>
        </w:tc>
      </w:tr>
    </w:tbl>
    <w:tbl>
      <w:tblPr>
        <w:tblW w:w="5000" w:type="pct"/>
        <w:jc w:val="left"/>
        <w:tblInd w:w="0" w:type="dxa"/>
        <w:tblLayout w:type="fixed"/>
        <w:tblCellMar>
          <w:top w:w="0" w:type="dxa"/>
          <w:left w:w="0" w:type="dxa"/>
          <w:bottom w:w="0" w:type="dxa"/>
          <w:right w:w="0" w:type="dxa"/>
        </w:tblCellMar>
      </w:tblPr>
      <w:tblGrid>
        <w:gridCol w:w="203"/>
        <w:gridCol w:w="507"/>
        <w:gridCol w:w="9495"/>
      </w:tblGrid>
      <w:tr>
        <w:trPr/>
        <w:tc>
          <w:tcPr>
            <w:tcW w:w="203"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495"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on a Schedule 13D/A jointly filed with the SEC on March 15, 2024 by Deerfield Private Design Fund III, L.P., Deerfield Healthcare Innovations Fund, L.P., Deerfield Private Design Fund IV, L.P., Deerfield Partners, L.P., Deerfield Mgmt III, L.P., Deerfield Mgmt HIF, L.P., Deerfield Mgmt IV, L.P., Deerfield Mgmt, L.P., Deerfield Management Company, L.P. and James E. Flynn reflecting information as of February 16, 2024, consists of (a) 6,151,389 shares held by Deerfield Private Design Fund III, L.P., (b) 4,721,197 shares held by Deerfield Healthcare Innovations Fund, L.P., (c) 6,151,406 shares held by Deerfield Private Design Fund IV, L.P., (d) 4,207,982 shares held by Deerfield Partners, L.P. and (e) 41,500 shares of common stock issuable upon the exercise of an equal number of options that are currently exercisable or will be exercisable within 60 days of April 1, 2024 held by Jonathan Leff for the benefit, and the direction, of Deerfield Management Company L.P. Deerfield Mgmt IV, L.P. is the general partner of Deerfield Private Design Fund IV, L.P. Deerfield Mgmt HIF, L.P. is the general partner of Deerfield Healthcare Innovations Fund, L.P. Deerfield Mgmt III, L.P. is the general partner of Deerfield Private Design Fund III, L.P. (collectively with Deerfield Healthcare Innovations Fund, L.P. and Deerfield Private Design Fund IV, L.P., the Deerfield Funds). Deerfield Management Company, L.P. is the investment manager of the Deerfield Funds. Mr. James E. Flynn is the sole member of the general partner of each of Deerfield Mgmt IV, L.P., Deerfield Mgmt HIF, L.P., Deerfield Mgmt III, L.P. and Deerfield Management Company, L.P. Deerfield Mgmt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r>
              <w:rPr>
                <w:rFonts w:ascii="Times New Roman" w:hAnsi="Times New Roman"/>
                <w:b/>
                <w:sz w:val="24"/>
              </w:rPr>
              <w:t>SECURITY OWNERSHIP OF CERTAIN BENEFICIAL OWNERS AND MANAGEMENT</w:t>
            </w:r>
          </w:p>
          <w:p>
            <w:pPr>
              <w:pStyle w:val="TableContents"/>
              <w:bidi w:val="0"/>
              <w:spacing w:before="0" w:after="20"/>
              <w:jc w:val="left"/>
              <w:rPr>
                <w:rFonts w:ascii="Times New Roman" w:hAnsi="Times New Roman"/>
                <w:b/>
                <w:i/>
                <w:sz w:val="24"/>
              </w:rPr>
            </w:pPr>
            <w:r>
              <w:rPr>
                <w:rFonts w:ascii="Times New Roman" w:hAnsi="Times New Roman"/>
                <w:b/>
                <w:i/>
                <w:sz w:val="24"/>
              </w:rPr>
              <w:t>(continued)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08"/>
        <w:gridCol w:w="9497"/>
      </w:tblGrid>
      <w:tr>
        <w:trPr/>
        <w:tc>
          <w:tcPr>
            <w:tcW w:w="708" w:type="dxa"/>
            <w:tcBorders/>
            <w:vAlign w:val="center"/>
          </w:tcPr>
          <w:p>
            <w:pPr>
              <w:pStyle w:val="TableContents"/>
              <w:bidi w:val="0"/>
              <w:spacing w:before="0" w:after="283"/>
              <w:jc w:val="left"/>
              <w:rPr/>
            </w:pPr>
            <w:r>
              <w:rPr/>
              <w:t> </w:t>
            </w:r>
          </w:p>
        </w:tc>
        <w:tc>
          <w:tcPr>
            <w:tcW w:w="94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IV, L.P., Deerfield Management Company, L.P. and Mr. James E. Flynn may be deemed to beneficially own the securities held by Deerfield Private Design Fund IV, L.P. Deerfield Mgmt HIF, L.P., Deerfield Management Company, L.P. and Mr. James E. Flynn may be deemed to beneficially own the securities held by Deerfield Healthcare Innovations Fund, L.P. Deerfield Mgmt III, L.P., Deerfield Management Company, L.P. and Mr. James E. Flynn may be deemed to beneficially own the securities held by Deerfield Private Design Fund III, L.P. The address of each of Deerfield Private Design Fund IV, L.P, Deerfield Healthcare Innovations Fund, L.P. and Deerfield Private Design Fund III, L.P. is c/o Deerfield Management Company, L.P., 345 Park Avenue South, 12th Floor, New York, New York 10010.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solely on a Schedule 13G filed with the SEC on February 26, 2024 by RA Capital Management, L.P. (RA Capital), Peter Kolchinksy, Rajeev Shah and RA Capital Healthcare Fund, L.P. (the Fund) reflecting information as of February 16, 2024, consists of 6,045,351 shares of common stock held by the Fund. RA Capital Healthcare Fund GP, LLC is the general partner of the Fund. The general partner of RA Capital is RA Capital Management GP, LLC, of which Dr. Kolchinsky and Mr. Shah are the controlling persons. RA Capital serves as the investment adviser for the Fund and may be deemed to beneficially own the securities held by the Fund. The Fund has delegated to RA Capital the sole power to vote and dispose of all securities held in the Funds portfolio, including the shares held of the Companys common stock. Because the Fund has divested voting and investment power over the reported securities it holds and may not revoke that delegation on less than 61 days notice, the Fund disclaims beneficial ownership of the securities it holds for purposes of Section 13(d) of the Exchange Act. As managers of RA Capital, Dr. Kolchinsky and Mr. Shah may be deemed beneficial owners, for purposes of Section 13(d) of the Exchange Act, of any securities of the Company beneficially owned by RA Capital. RA Capital, Dr. Kolchinsky, and Mr. Shah disclaim beneficial ownership of the securities reported herein. The business address for RA Capital is 200 Berkeley Street, 18th Floor, Boston, MA 02116.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solely on a Schedule 13G filed with the SEC on February 14, 2024 by Blue Owl Capital Holdings LP reflecting information as of December 31, 2023, consists of 3,414,468 shares of common stock held by Blue Owl Capital Holdings LP. The business address for Blue Owl Capital Holdings LP is 399 Park Avenue, New York, New York 10022.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solely on a Schedule 13G filed with the SEC on February 14, 2024 by Verition Fund Management LLC (Verition) and Nicholas Maounis reflecting information as of December 31, 2023, consists of 2,811,131 shares of common stock held for the account of Verition Multi-Strategy Master Fund Ltd. (the Fund). Verition, which serves as the investment manager to the Fund, and Mr. Maounis, the managing member of Verition, may each be deemed to beneficially own the securities held by the Fund. The business address for each of Verition and Mr. Maounis is One American Lane, Greenwich, CT 06831.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solely on a Schedule 13G/A filed with the SEC on February 13, 2024 by Janus Henderson Group plc reflecting information as of December 31, 2023, consists of 2,641,065 shares of common stock. Janus Henderson Group plc has a 100% ownership stake in Janus Henderson Investors U.S. LLC (JHIUS), Janus Henderson Investors UK Limited and Janus Henderson Investors Australia Institutional Funds Management Limited, (each an Asset Manager and collectively as the Asset Managers). Due to the above ownership structure, holdings for the Asset Managers are aggregated for purposes of Janus Henderson Group plcs Schedule 13G/A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the securities held by such Managed Portfolios. However, JHIUS does not have the right to receive any dividends from, or the proceeds from the sale of, the securities held in the Managed Portfolios and disclaims any ownership associated with such rights. The business address for Janus Henderson Group plc is 201 Bishopsgate EC2M 3AE, United Kingdom. </w:t>
            </w:r>
          </w:p>
        </w:tc>
      </w:tr>
    </w:tbl>
    <w:tbl>
      <w:tblPr>
        <w:tblW w:w="5000" w:type="pct"/>
        <w:jc w:val="left"/>
        <w:tblInd w:w="0" w:type="dxa"/>
        <w:tblLayout w:type="fixed"/>
        <w:tblCellMar>
          <w:top w:w="0" w:type="dxa"/>
          <w:left w:w="0" w:type="dxa"/>
          <w:bottom w:w="0" w:type="dxa"/>
          <w:right w:w="0" w:type="dxa"/>
        </w:tblCellMar>
      </w:tblPr>
      <w:tblGrid>
        <w:gridCol w:w="202"/>
        <w:gridCol w:w="508"/>
        <w:gridCol w:w="9495"/>
      </w:tblGrid>
      <w:tr>
        <w:trPr/>
        <w:tc>
          <w:tcPr>
            <w:tcW w:w="202"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495"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76,333 shares directly beneficially owned by Dr. Ben-Maimon, (ii) 583,132 shares of common stock issuable upon the exercise of an equal number of options that are currently exercisable or will be exercisable within 60 days of April 1, 2024, (iii) 12,248 shares held by the Irrevocable Deed of Trust of Carole S. Ben-Maimon for the Benefit of Meadow Lainey Ben-Maimon (Meadow Trust), (iv) 12,249 shares held by the Irrevocable Deed of Trust of Carole S. Ben-Maimon for the Benefit of Olivia Liat Stein (Olivia Trust), (v) 12,249 shares held by the Irrevocable Deed of Trust of Carole S. Ben-Maimon for the Benefit of Ella Bar Stein (Ella Trust), (vi) 109,700 shares of common stock issuable upon the exercise of an equal number of options that are currently exercisable or will be exercisable within 60 days of April 1, 2024 held by Irrevocable Deed of Trust of Matzi Ben-Maimon and Carole Ben-Maimon for the Benefit of Joseph Ben-Maimon (Joseph Trust), (vii) 109,700 shares of common stock issuable upon the exercise of an equal number of options that are currently exercisable or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r>
              <w:rPr>
                <w:rFonts w:ascii="Times New Roman" w:hAnsi="Times New Roman"/>
                <w:b/>
                <w:sz w:val="24"/>
              </w:rPr>
              <w:t>SECURITY OWNERSHIP OF CERTAIN BENEFICIAL OWNERS AND MANAGEMENT</w:t>
            </w:r>
          </w:p>
          <w:p>
            <w:pPr>
              <w:pStyle w:val="TableContents"/>
              <w:bidi w:val="0"/>
              <w:spacing w:before="0" w:after="20"/>
              <w:jc w:val="left"/>
              <w:rPr>
                <w:rFonts w:ascii="Times New Roman" w:hAnsi="Times New Roman"/>
                <w:b/>
                <w:i/>
                <w:sz w:val="24"/>
              </w:rPr>
            </w:pPr>
            <w:r>
              <w:rPr>
                <w:rFonts w:ascii="Times New Roman" w:hAnsi="Times New Roman"/>
                <w:b/>
                <w:i/>
                <w:sz w:val="24"/>
              </w:rPr>
              <w:t>(continued)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2"/>
        <w:gridCol w:w="9493"/>
      </w:tblGrid>
      <w:tr>
        <w:trPr/>
        <w:tc>
          <w:tcPr>
            <w:tcW w:w="712" w:type="dxa"/>
            <w:tcBorders/>
            <w:vAlign w:val="center"/>
          </w:tcPr>
          <w:p>
            <w:pPr>
              <w:pStyle w:val="TableContents"/>
              <w:bidi w:val="0"/>
              <w:spacing w:before="0" w:after="283"/>
              <w:jc w:val="left"/>
              <w:rPr/>
            </w:pPr>
            <w:r>
              <w:rPr/>
              <w:t> </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will be exercisable within 60 days of April 1, 2024 held by Irrevocable Deed of Trust of Matzi Ben-Maimon and Carole Ben-Maimon for the Benefit of Tal Ben-Maimon (Tal Trust) and (viii) 109,700 shares of common stock issuable upon the exercise of an equal number of options that are currently exercisable or will be exercisable within 60 days of April 1, 2024 held by Irrevocable Deed of Trust of Matzi Ben-Maimon and Carole Ben-Maimon for the Benefit of Sivan Ben-Maimon (Sivan Trust). Dr. Ben-Maimon is the trustee of each of the Meadow Trust, Olivia Trust and Ella Trust. Dr. Ben-Maimon and Matzi Ben-Maimon, Dr. Ben-Maimons husband, are trustees of each of the Joseph Trust, Tal Trust and Sivan Trust. Dr. Ben-Maimon disclaims beneficial ownership of the shares held by each of the above named trusts. </w:t>
            </w:r>
          </w:p>
        </w:tc>
      </w:tr>
    </w:tbl>
    <w:tbl>
      <w:tblPr>
        <w:tblW w:w="5000" w:type="pct"/>
        <w:jc w:val="left"/>
        <w:tblInd w:w="0" w:type="dxa"/>
        <w:tblLayout w:type="fixed"/>
        <w:tblCellMar>
          <w:top w:w="0" w:type="dxa"/>
          <w:left w:w="0" w:type="dxa"/>
          <w:bottom w:w="0" w:type="dxa"/>
          <w:right w:w="0" w:type="dxa"/>
        </w:tblCellMar>
      </w:tblPr>
      <w:tblGrid>
        <w:gridCol w:w="203"/>
        <w:gridCol w:w="509"/>
        <w:gridCol w:w="9493"/>
      </w:tblGrid>
      <w:tr>
        <w:trPr/>
        <w:tc>
          <w:tcPr>
            <w:tcW w:w="2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55,746 shares directly beneficially owned by Mr. Celano and (ii) 272,740 shares of common stock issuable upon the exercise of an equal number of options that are currently exercisable or will be exercisable within 60 days of April 1, 2024. </w:t>
            </w:r>
          </w:p>
        </w:tc>
      </w:tr>
    </w:tbl>
    <w:tbl>
      <w:tblPr>
        <w:tblW w:w="5000" w:type="pct"/>
        <w:jc w:val="left"/>
        <w:tblInd w:w="0" w:type="dxa"/>
        <w:tblLayout w:type="fixed"/>
        <w:tblCellMar>
          <w:top w:w="0" w:type="dxa"/>
          <w:left w:w="0" w:type="dxa"/>
          <w:bottom w:w="0" w:type="dxa"/>
          <w:right w:w="0" w:type="dxa"/>
        </w:tblCellMar>
      </w:tblPr>
      <w:tblGrid>
        <w:gridCol w:w="203"/>
        <w:gridCol w:w="509"/>
        <w:gridCol w:w="9493"/>
      </w:tblGrid>
      <w:tr>
        <w:trPr/>
        <w:tc>
          <w:tcPr>
            <w:tcW w:w="2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8)</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5,000 shares directly beneficially owned by Dr. Shankar and (ii) 56,250 shares of common stock issuable upon the exercise of an equal number of options that are currently exercisable or will be exercisable within 60 days of April 1, 2024. </w:t>
            </w:r>
          </w:p>
        </w:tc>
      </w:tr>
    </w:tbl>
    <w:tbl>
      <w:tblPr>
        <w:tblW w:w="5000" w:type="pct"/>
        <w:jc w:val="left"/>
        <w:tblInd w:w="0" w:type="dxa"/>
        <w:tblLayout w:type="fixed"/>
        <w:tblCellMar>
          <w:top w:w="0" w:type="dxa"/>
          <w:left w:w="0" w:type="dxa"/>
          <w:bottom w:w="0" w:type="dxa"/>
          <w:right w:w="0" w:type="dxa"/>
        </w:tblCellMar>
      </w:tblPr>
      <w:tblGrid>
        <w:gridCol w:w="203"/>
        <w:gridCol w:w="509"/>
        <w:gridCol w:w="9493"/>
      </w:tblGrid>
      <w:tr>
        <w:trPr/>
        <w:tc>
          <w:tcPr>
            <w:tcW w:w="203"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9)</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2,000 shares directly beneficially owned by Mr. Thomas and (ii) 49,734 shares of common stock issuable upon the exercise of an equal number of options that are currently exercisable or will be exercisable within 60 days of April 1, 2024. </w:t>
            </w:r>
          </w:p>
        </w:tc>
      </w:tr>
    </w:tbl>
    <w:tbl>
      <w:tblPr>
        <w:tblW w:w="5000" w:type="pct"/>
        <w:jc w:val="left"/>
        <w:tblInd w:w="0" w:type="dxa"/>
        <w:tblLayout w:type="fixed"/>
        <w:tblCellMar>
          <w:top w:w="0" w:type="dxa"/>
          <w:left w:w="0" w:type="dxa"/>
          <w:bottom w:w="0" w:type="dxa"/>
          <w:right w:w="0" w:type="dxa"/>
        </w:tblCellMar>
      </w:tblPr>
      <w:tblGrid>
        <w:gridCol w:w="203"/>
        <w:gridCol w:w="510"/>
        <w:gridCol w:w="9492"/>
      </w:tblGrid>
      <w:tr>
        <w:trPr/>
        <w:tc>
          <w:tcPr>
            <w:tcW w:w="2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10)</w:t>
            </w:r>
          </w:p>
        </w:tc>
        <w:tc>
          <w:tcPr>
            <w:tcW w:w="94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Mr. Leff disclaims beneficial ownership of the shares referred to in footnote 1 above, including 41,500 shares of common stock issuable upon the exercise of an equal number of options that are currently exercisable or will be exercisable within 60 days of April 1, 2024 that Mr. Leff, our director, holds for the benefit, and the direction, of Deerfield Management Company.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11)</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564,798 shares directly beneficially owned by Mr. Hamilton, (ii) 41,500 shares of common stock issuable upon the exercise of an equal number of options that are currently exercisable or will be exercisable within 60 days of April 1, 2024 and (iii) 159,433 shares directly held by FA Life Sciences, Inc. Mr. Hamilton disclaims beneficial ownership of the shares held by FA Life Sciences, Inc. except to the extent of his pecuniary interest therein.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3,227 shares of common stock issuable upon the exercise of an equal number of options that are currently exercisable or will be exercisable within 60 days of April 1, 2024. </w:t>
            </w:r>
          </w:p>
        </w:tc>
      </w:tr>
    </w:tbl>
    <w:tbl>
      <w:tblPr>
        <w:tblW w:w="5000" w:type="pct"/>
        <w:jc w:val="left"/>
        <w:tblInd w:w="0" w:type="dxa"/>
        <w:tblLayout w:type="fixed"/>
        <w:tblCellMar>
          <w:top w:w="0" w:type="dxa"/>
          <w:left w:w="0" w:type="dxa"/>
          <w:bottom w:w="0" w:type="dxa"/>
          <w:right w:w="0" w:type="dxa"/>
        </w:tblCellMar>
      </w:tblPr>
      <w:tblGrid>
        <w:gridCol w:w="203"/>
        <w:gridCol w:w="510"/>
        <w:gridCol w:w="9492"/>
      </w:tblGrid>
      <w:tr>
        <w:trPr/>
        <w:tc>
          <w:tcPr>
            <w:tcW w:w="203"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49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2,750 shares directly beneficially owned by Mr. Truitt and (ii) 41,500 shares of common stock issuable upon the exercise of an equal number of options that are currently exercisable or will be exercisable within 60 days of April 1, 2024. </w:t>
            </w:r>
          </w:p>
        </w:tc>
      </w:tr>
    </w:tbl>
    <w:tbl>
      <w:tblPr>
        <w:tblW w:w="5000" w:type="pct"/>
        <w:jc w:val="left"/>
        <w:tblInd w:w="0" w:type="dxa"/>
        <w:tblLayout w:type="fixed"/>
        <w:tblCellMar>
          <w:top w:w="0" w:type="dxa"/>
          <w:left w:w="0" w:type="dxa"/>
          <w:bottom w:w="0" w:type="dxa"/>
          <w:right w:w="0" w:type="dxa"/>
        </w:tblCellMar>
      </w:tblPr>
      <w:tblGrid>
        <w:gridCol w:w="202"/>
        <w:gridCol w:w="510"/>
        <w:gridCol w:w="9493"/>
      </w:tblGrid>
      <w:tr>
        <w:trPr/>
        <w:tc>
          <w:tcPr>
            <w:tcW w:w="202"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14)</w:t>
            </w:r>
          </w:p>
        </w:tc>
        <w:tc>
          <w:tcPr>
            <w:tcW w:w="949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Consists of (i) 902,806 shares of common stock and (ii) 1,377,183 shares of common stock issuable upon the exercise of an equal number of options that are currently exercisable or will be exercisable within 60 days of April 1, 2024.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47" w:name="summary636298_45"/>
            <w:bookmarkEnd w:id="47"/>
            <w:r>
              <w:rPr>
                <w:rFonts w:ascii="Times New Roman" w:hAnsi="Times New Roman"/>
                <w:b/>
                <w:sz w:val="24"/>
              </w:rPr>
              <w:t>ITEMS TO BE VOTED ON</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48" w:name="summary636298_46"/>
      <w:bookmarkEnd w:id="48"/>
      <w:r>
        <w:rPr>
          <w:rFonts w:ascii="Times New Roman" w:hAnsi="Times New Roman"/>
          <w:b/>
          <w:sz w:val="20"/>
        </w:rPr>
        <w:t xml:space="preserve">PROPOSAL 1: ELECTION OF CLASS I DIRECTORS FOR A THREE-YEAR TERM EXPIRING AT THE 2027 ANNUAL MEETING OF STOCKHOLDERS </w:t>
      </w:r>
    </w:p>
    <w:p>
      <w:pPr>
        <w:pStyle w:val="TextBody"/>
        <w:bidi w:val="0"/>
        <w:spacing w:before="240" w:after="0"/>
        <w:jc w:val="both"/>
        <w:rPr>
          <w:rFonts w:ascii="Times New Roman" w:hAnsi="Times New Roman"/>
          <w:sz w:val="20"/>
        </w:rPr>
      </w:pPr>
      <w:r>
        <w:rPr>
          <w:rFonts w:ascii="Times New Roman" w:hAnsi="Times New Roman"/>
          <w:sz w:val="20"/>
        </w:rPr>
        <w:t xml:space="preserve">At the Annual Meeting, our stockholders will vote on the election of two Class I director nominees named in this Proxy Statement as a director, each to serve until our 2027 Annual Meeting of Stockholders and until their respective successors are elected and qualified. Our Board has unanimously nominated Jonathan Leff and Jeffrey W. Sherman, M.D., FACP for election to our Board at the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04"/>
        <w:gridCol w:w="319"/>
        <w:gridCol w:w="1382"/>
      </w:tblGrid>
      <w:tr>
        <w:trPr/>
        <w:tc>
          <w:tcPr>
            <w:tcW w:w="8504" w:type="dxa"/>
            <w:tcBorders/>
            <w:vAlign w:val="center"/>
          </w:tcPr>
          <w:p>
            <w:pPr>
              <w:pStyle w:val="TableContents"/>
              <w:bidi w:val="0"/>
              <w:spacing w:before="0" w:after="283"/>
              <w:jc w:val="left"/>
              <w:rPr>
                <w:sz w:val="4"/>
                <w:szCs w:val="4"/>
              </w:rPr>
            </w:pPr>
            <w:r>
              <w:rPr>
                <w:sz w:val="4"/>
                <w:szCs w:val="4"/>
              </w:rPr>
            </w:r>
          </w:p>
        </w:tc>
        <w:tc>
          <w:tcPr>
            <w:tcW w:w="319" w:type="dxa"/>
            <w:tcBorders/>
            <w:vAlign w:val="bottom"/>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r>
      <w:tr>
        <w:trPr/>
        <w:tc>
          <w:tcPr>
            <w:tcW w:w="8504" w:type="dxa"/>
            <w:tcBorders>
              <w:top w:val="single" w:sz="16" w:space="0" w:color="4DC1E4"/>
              <w:left w:val="single" w:sz="16" w:space="0" w:color="4DC1E4"/>
              <w:bottom w:val="single" w:sz="16" w:space="0" w:color="4DC1E4"/>
            </w:tcBorders>
            <w:tcMar>
              <w:top w:w="28" w:type="dxa"/>
              <w:left w:w="160" w:type="dxa"/>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 xml:space="preserve">OUR BOARD UNANIMOUSLY RECOMMENDS STOCKHOLDERS VOTE </w:t>
            </w:r>
            <w:r>
              <w:rPr>
                <w:rFonts w:ascii="Times New Roman" w:hAnsi="Times New Roman"/>
                <w:b/>
                <w:color w:val="538135"/>
                <w:sz w:val="20"/>
              </w:rPr>
              <w:t>FOR</w:t>
            </w:r>
            <w:r>
              <w:rPr>
                <w:rFonts w:ascii="Times New Roman" w:hAnsi="Times New Roman"/>
                <w:sz w:val="20"/>
              </w:rPr>
              <w:t xml:space="preserve"> THE</w:t>
            </w:r>
          </w:p>
          <w:p>
            <w:pPr>
              <w:pStyle w:val="TableContents"/>
              <w:bidi w:val="0"/>
              <w:spacing w:before="0" w:after="20"/>
              <w:jc w:val="center"/>
              <w:rPr>
                <w:rFonts w:ascii="Times New Roman" w:hAnsi="Times New Roman"/>
                <w:sz w:val="20"/>
              </w:rPr>
            </w:pPr>
            <w:r>
              <w:rPr>
                <w:rFonts w:ascii="Times New Roman" w:hAnsi="Times New Roman"/>
                <w:sz w:val="20"/>
              </w:rPr>
              <w:t>ELECTION OF JONATHAN LEFF AND JEFFREY W. SHERMAN, M.D., FACP.</w:t>
            </w:r>
          </w:p>
        </w:tc>
        <w:tc>
          <w:tcPr>
            <w:tcW w:w="319" w:type="dxa"/>
            <w:tcBorders>
              <w:top w:val="single" w:sz="16" w:space="0" w:color="4DC1E4"/>
              <w:bottom w:val="single" w:sz="16" w:space="0" w:color="4DC1E4"/>
            </w:tcBorders>
            <w:tcMar>
              <w:top w:w="28" w:type="dxa"/>
              <w:bottom w:w="28" w:type="dxa"/>
            </w:tcMar>
            <w:vAlign w:val="bottom"/>
          </w:tcPr>
          <w:p>
            <w:pPr>
              <w:pStyle w:val="TableContents"/>
              <w:bidi w:val="0"/>
              <w:spacing w:before="0" w:after="283"/>
              <w:jc w:val="left"/>
              <w:rPr/>
            </w:pPr>
            <w:r>
              <w:rPr/>
              <w:t>  </w:t>
            </w:r>
          </w:p>
        </w:tc>
        <w:tc>
          <w:tcPr>
            <w:tcW w:w="1382" w:type="dxa"/>
            <w:tcBorders>
              <w:top w:val="single" w:sz="16" w:space="0" w:color="4DC1E4"/>
              <w:bottom w:val="single" w:sz="16" w:space="0" w:color="4DC1E4"/>
              <w:right w:val="single" w:sz="16" w:space="0" w:color="4DC1E4"/>
            </w:tcBorders>
            <w:tcMar>
              <w:top w:w="28" w:type="dxa"/>
              <w:bottom w:w="28" w:type="dxa"/>
              <w:right w:w="40" w:type="dxa"/>
            </w:tcMa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41275" cy="4254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1275" cy="4254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ITEMS TO BE VOTED 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49" w:name="summary636298_47"/>
      <w:bookmarkEnd w:id="49"/>
      <w:r>
        <w:rPr>
          <w:rFonts w:ascii="Times New Roman" w:hAnsi="Times New Roman"/>
          <w:b/>
          <w:sz w:val="20"/>
        </w:rPr>
        <w:t xml:space="preserve">PROPOSAL 2: APPROVAL, ON AN ADVISORY BASIS, OF THE COMPENSATION OF OUR NAMED EXECUTIVE OFFICERS IN 2023 </w:t>
      </w:r>
    </w:p>
    <w:p>
      <w:pPr>
        <w:pStyle w:val="TextBody"/>
        <w:bidi w:val="0"/>
        <w:spacing w:before="240" w:after="0"/>
        <w:jc w:val="both"/>
        <w:rPr>
          <w:rFonts w:ascii="Times New Roman" w:hAnsi="Times New Roman"/>
          <w:sz w:val="20"/>
        </w:rPr>
      </w:pPr>
      <w:r>
        <w:rPr>
          <w:rFonts w:ascii="Times New Roman" w:hAnsi="Times New Roman"/>
          <w:sz w:val="20"/>
        </w:rPr>
        <w:t xml:space="preserve">We are offering our stockholders an opportunity to cast an advisory vote to approve the compensation of our named executive officers, as disclosed in this Proxy Statement, pursuant to Section 14A of the Exchange Act, which was put in place by the Dodd-Frank Wall Street Reform and Consumer Protection Act of 2010. This proposal, commonly known as say-on-pay, gives our stockholders the opportunity to express their views on our named executive officers compensation. The vote is advisory, and, therefore, it is not binding on the Board, the Compensation Committee, or the Company. Nevertheless, the Compensation Committee will consider the outcome of the vote when considering future executive compensation decisions. We currently intend to conduct this advisory vote annually. </w:t>
      </w:r>
    </w:p>
    <w:p>
      <w:pPr>
        <w:pStyle w:val="TextBody"/>
        <w:bidi w:val="0"/>
        <w:spacing w:before="240" w:after="0"/>
        <w:jc w:val="both"/>
        <w:rPr>
          <w:rFonts w:ascii="Times New Roman" w:hAnsi="Times New Roman"/>
          <w:sz w:val="20"/>
        </w:rPr>
      </w:pPr>
      <w:r>
        <w:rPr>
          <w:rFonts w:ascii="Times New Roman" w:hAnsi="Times New Roman"/>
          <w:sz w:val="20"/>
        </w:rPr>
        <w:t xml:space="preserve">Our executive compensation program is designed to attract, motivate and retain our named executive officers who are critical to our success. Our Board believes that our executive compensation program is well tailored to retain and motivate key executives while recognizing the need to align our executive compensation program with the interests of our stockholders and our pay-for-performance philosophy. Our Compensation Committee continually reviews the compensation programs for our named executive officers to ensure they achieve the desired goals of aligning our executive compensation structure with our stockholders interests and current market practices. </w:t>
      </w:r>
    </w:p>
    <w:p>
      <w:pPr>
        <w:pStyle w:val="TextBody"/>
        <w:bidi w:val="0"/>
        <w:spacing w:before="240" w:after="0"/>
        <w:jc w:val="both"/>
        <w:rPr>
          <w:rFonts w:ascii="Times New Roman" w:hAnsi="Times New Roman"/>
          <w:sz w:val="20"/>
        </w:rPr>
      </w:pPr>
      <w:r>
        <w:rPr>
          <w:rFonts w:ascii="Times New Roman" w:hAnsi="Times New Roman"/>
          <w:sz w:val="20"/>
        </w:rPr>
        <w:t xml:space="preserve">We encourage our stockholders to read the 2023 Summary Compensation Table and other related compensation tables and narrative disclosures, which describe the 2023 compensation of our named executive officers. </w:t>
      </w:r>
    </w:p>
    <w:p>
      <w:pPr>
        <w:pStyle w:val="TextBody"/>
        <w:bidi w:val="0"/>
        <w:spacing w:before="240" w:after="0"/>
        <w:jc w:val="both"/>
        <w:rPr>
          <w:rFonts w:ascii="Times New Roman" w:hAnsi="Times New Roman"/>
          <w:sz w:val="20"/>
        </w:rPr>
      </w:pPr>
      <w:r>
        <w:rPr>
          <w:rFonts w:ascii="Times New Roman" w:hAnsi="Times New Roman"/>
          <w:sz w:val="20"/>
        </w:rPr>
        <w:t xml:space="preserve">We are asking our stockholders to indicate their support for the compensation of our named executive officers as described herein. This vote is not intended to address any specific item of compensation, but rather the overall compensation of our named executive officers and our executive compensation philosophy, programs, and practices as described in this Proxy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0"/>
        <w:gridCol w:w="306"/>
        <w:gridCol w:w="1429"/>
      </w:tblGrid>
      <w:tr>
        <w:trPr/>
        <w:tc>
          <w:tcPr>
            <w:tcW w:w="847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8470" w:type="dxa"/>
            <w:tcBorders>
              <w:top w:val="single" w:sz="16" w:space="0" w:color="4DC1E4"/>
              <w:left w:val="single" w:sz="16" w:space="0" w:color="4DC1E4"/>
              <w:bottom w:val="single" w:sz="16" w:space="0" w:color="4DC1E4"/>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 xml:space="preserve">OUR BOARD UNANIMOUSLY RECOMMENDS STOCKHOLDERS VOTE </w:t>
            </w:r>
            <w:r>
              <w:rPr>
                <w:rFonts w:ascii="Times New Roman" w:hAnsi="Times New Roman"/>
                <w:b/>
                <w:color w:val="538135"/>
                <w:sz w:val="20"/>
              </w:rPr>
              <w:t>FOR</w:t>
            </w:r>
            <w:r>
              <w:rPr>
                <w:rFonts w:ascii="Times New Roman" w:hAnsi="Times New Roman"/>
                <w:sz w:val="20"/>
              </w:rPr>
              <w:t xml:space="preserve"> THE</w:t>
            </w:r>
          </w:p>
          <w:p>
            <w:pPr>
              <w:pStyle w:val="TableContents"/>
              <w:bidi w:val="0"/>
              <w:spacing w:before="0" w:after="0"/>
              <w:jc w:val="center"/>
              <w:rPr>
                <w:rFonts w:ascii="Times New Roman" w:hAnsi="Times New Roman"/>
                <w:sz w:val="20"/>
              </w:rPr>
            </w:pPr>
            <w:r>
              <w:rPr>
                <w:rFonts w:ascii="Times New Roman" w:hAnsi="Times New Roman"/>
                <w:sz w:val="20"/>
              </w:rPr>
              <w:t>APPROVAL OF, ON AN ADVISORY BASIS, THE COMPENSATION OF OUR NAMED</w:t>
            </w:r>
          </w:p>
          <w:p>
            <w:pPr>
              <w:pStyle w:val="TableContents"/>
              <w:bidi w:val="0"/>
              <w:spacing w:before="0" w:after="0"/>
              <w:jc w:val="center"/>
              <w:rPr>
                <w:rFonts w:ascii="Times New Roman" w:hAnsi="Times New Roman"/>
                <w:sz w:val="20"/>
              </w:rPr>
            </w:pPr>
            <w:r>
              <w:rPr>
                <w:rFonts w:ascii="Times New Roman" w:hAnsi="Times New Roman"/>
                <w:sz w:val="20"/>
              </w:rPr>
              <w:t>EXECUTIVE OFFICERS IN 2023 AT THE ANNUAL MEETING.</w:t>
            </w:r>
          </w:p>
          <w:p>
            <w:pPr>
              <w:pStyle w:val="TableContents"/>
              <w:bidi w:val="0"/>
              <w:spacing w:before="0" w:after="20"/>
              <w:jc w:val="left"/>
              <w:rPr/>
            </w:pPr>
            <w:r>
              <w:rPr/>
              <w:t> </w:t>
            </w:r>
          </w:p>
        </w:tc>
        <w:tc>
          <w:tcPr>
            <w:tcW w:w="306" w:type="dxa"/>
            <w:tcBorders>
              <w:top w:val="single" w:sz="16" w:space="0" w:color="4DC1E4"/>
              <w:bottom w:val="single" w:sz="16" w:space="0" w:color="4DC1E4"/>
            </w:tcBorders>
            <w:tcMar>
              <w:top w:w="28" w:type="dxa"/>
              <w:bottom w:w="28" w:type="dxa"/>
            </w:tcMar>
            <w:vAlign w:val="bottom"/>
          </w:tcPr>
          <w:p>
            <w:pPr>
              <w:pStyle w:val="TableContents"/>
              <w:bidi w:val="0"/>
              <w:spacing w:before="0" w:after="283"/>
              <w:jc w:val="left"/>
              <w:rPr/>
            </w:pPr>
            <w:r>
              <w:rPr/>
              <w:t>  </w:t>
            </w:r>
          </w:p>
        </w:tc>
        <w:tc>
          <w:tcPr>
            <w:tcW w:w="1429" w:type="dxa"/>
            <w:tcBorders>
              <w:top w:val="single" w:sz="16" w:space="0" w:color="4DC1E4"/>
              <w:bottom w:val="single" w:sz="16" w:space="0" w:color="4DC1E4"/>
              <w:right w:val="single" w:sz="16" w:space="0" w:color="4DC1E4"/>
            </w:tcBorders>
            <w:tcMar>
              <w:top w:w="28" w:type="dxa"/>
              <w:bottom w:w="28" w:type="dxa"/>
              <w:right w:w="40" w:type="dxa"/>
            </w:tcMa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1275" cy="4254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1275" cy="4254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ITEMS TO BE VOTED 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50" w:name="summary636298_48"/>
      <w:bookmarkEnd w:id="50"/>
      <w:r>
        <w:rPr>
          <w:rFonts w:ascii="Times New Roman" w:hAnsi="Times New Roman"/>
          <w:b/>
          <w:sz w:val="20"/>
        </w:rPr>
        <w:t xml:space="preserve">PROPOSAL 3: RATIFICATION OF APPOINTMENT OF PRICEWATERHOUSECOOPERS LLP AS OUR INDEPENDENT REGISTERED PUBLIC ACCOUNTING FIRM FOR THE 2024 FISCAL YEAR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of the Board has appointed and engaged PwC to serve as our independent registered public accounting firm to audit the consolidated financial statements of the Company and our subsidiary for the 2024 fiscal year, and to perform audit-related services. PwC has served as our independent registered public accounting firm since 2020. </w:t>
      </w:r>
    </w:p>
    <w:p>
      <w:pPr>
        <w:pStyle w:val="TextBody"/>
        <w:bidi w:val="0"/>
        <w:spacing w:before="240" w:after="0"/>
        <w:jc w:val="both"/>
        <w:rPr>
          <w:rFonts w:ascii="Times New Roman" w:hAnsi="Times New Roman"/>
          <w:sz w:val="20"/>
        </w:rPr>
      </w:pPr>
      <w:r>
        <w:rPr>
          <w:rFonts w:ascii="Times New Roman" w:hAnsi="Times New Roman"/>
          <w:sz w:val="20"/>
        </w:rPr>
        <w:t xml:space="preserve">Stockholders are hereby asked to ratify the Audit Committees appointment of PwC as our independent registered public accounting firm for the 2024 fiscal year. </w:t>
      </w:r>
    </w:p>
    <w:p>
      <w:pPr>
        <w:pStyle w:val="TextBody"/>
        <w:bidi w:val="0"/>
        <w:spacing w:before="240" w:after="0"/>
        <w:jc w:val="both"/>
        <w:rPr>
          <w:rFonts w:ascii="Times New Roman" w:hAnsi="Times New Roman"/>
          <w:sz w:val="20"/>
        </w:rPr>
      </w:pPr>
      <w:r>
        <w:rPr>
          <w:rFonts w:ascii="Times New Roman" w:hAnsi="Times New Roman"/>
          <w:sz w:val="20"/>
        </w:rPr>
        <w:t xml:space="preserve">The Audit Committee is solely responsible for selecting our independent auditors. Although stockholder ratification of the appointment of PwC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PwC, the Audit Committee will reconsider its selection and whether to engage an alternative independent registered public accounting firm, but may ultimately determine to retain PwC as our independent registered public accounting firm. </w:t>
      </w:r>
    </w:p>
    <w:p>
      <w:pPr>
        <w:pStyle w:val="TextBody"/>
        <w:bidi w:val="0"/>
        <w:spacing w:before="240" w:after="0"/>
        <w:jc w:val="both"/>
        <w:rPr>
          <w:rFonts w:ascii="Times New Roman" w:hAnsi="Times New Roman"/>
          <w:sz w:val="20"/>
        </w:rPr>
      </w:pPr>
      <w:r>
        <w:rPr>
          <w:rFonts w:ascii="Times New Roman" w:hAnsi="Times New Roman"/>
          <w:sz w:val="20"/>
        </w:rPr>
        <w:t xml:space="preserve">Representatives of PwC are expected to virtually attend the Annual Meeting where they will be available to respond to appropriate questions and, if they desire, to make a statement.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2"/>
        <w:gridCol w:w="305"/>
        <w:gridCol w:w="1428"/>
      </w:tblGrid>
      <w:tr>
        <w:trPr/>
        <w:tc>
          <w:tcPr>
            <w:tcW w:w="8472"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r>
      <w:tr>
        <w:trPr/>
        <w:tc>
          <w:tcPr>
            <w:tcW w:w="8472" w:type="dxa"/>
            <w:tcBorders>
              <w:top w:val="single" w:sz="16" w:space="0" w:color="4DC1E4"/>
              <w:left w:val="single" w:sz="16" w:space="0" w:color="4DC1E4"/>
              <w:bottom w:val="single" w:sz="16" w:space="0" w:color="4DC1E4"/>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 xml:space="preserve">THE BOARD UNANIMOUSLY RECOMMENDS A VOTE </w:t>
            </w:r>
            <w:r>
              <w:rPr>
                <w:rFonts w:ascii="Times New Roman" w:hAnsi="Times New Roman"/>
                <w:b/>
                <w:color w:val="538135"/>
                <w:sz w:val="20"/>
              </w:rPr>
              <w:t>FOR</w:t>
            </w:r>
            <w:r>
              <w:rPr>
                <w:rFonts w:ascii="Times New Roman" w:hAnsi="Times New Roman"/>
                <w:sz w:val="20"/>
              </w:rPr>
              <w:t xml:space="preserve"> THE RATIFICATION OF PRICEWATERHOUSECOOPERS LLP AS INDEPENDENT REGISTERED PUBLIC</w:t>
            </w:r>
          </w:p>
          <w:p>
            <w:pPr>
              <w:pStyle w:val="TableContents"/>
              <w:bidi w:val="0"/>
              <w:spacing w:before="0" w:after="0"/>
              <w:jc w:val="center"/>
              <w:rPr>
                <w:rFonts w:ascii="Times New Roman" w:hAnsi="Times New Roman"/>
                <w:sz w:val="20"/>
              </w:rPr>
            </w:pPr>
            <w:r>
              <w:rPr>
                <w:rFonts w:ascii="Times New Roman" w:hAnsi="Times New Roman"/>
                <w:sz w:val="20"/>
              </w:rPr>
              <w:t>ACCOUNTING FIRM FOR THE COMPANY FOR THE FISCAL YEAR ENDING</w:t>
            </w:r>
          </w:p>
          <w:p>
            <w:pPr>
              <w:pStyle w:val="TableContents"/>
              <w:bidi w:val="0"/>
              <w:spacing w:before="0" w:after="0"/>
              <w:jc w:val="center"/>
              <w:rPr>
                <w:rFonts w:ascii="Times New Roman" w:hAnsi="Times New Roman"/>
                <w:sz w:val="20"/>
              </w:rPr>
            </w:pPr>
            <w:r>
              <w:rPr>
                <w:rFonts w:ascii="Times New Roman" w:hAnsi="Times New Roman"/>
                <w:sz w:val="20"/>
              </w:rPr>
              <w:t>DECEMBER 31, 2024.</w:t>
            </w:r>
          </w:p>
          <w:p>
            <w:pPr>
              <w:pStyle w:val="TableContents"/>
              <w:bidi w:val="0"/>
              <w:spacing w:before="0" w:after="20"/>
              <w:jc w:val="left"/>
              <w:rPr/>
            </w:pPr>
            <w:r>
              <w:rPr/>
              <w:t> </w:t>
            </w:r>
          </w:p>
        </w:tc>
        <w:tc>
          <w:tcPr>
            <w:tcW w:w="305" w:type="dxa"/>
            <w:tcBorders>
              <w:top w:val="single" w:sz="16" w:space="0" w:color="4DC1E4"/>
              <w:bottom w:val="single" w:sz="16" w:space="0" w:color="4DC1E4"/>
            </w:tcBorders>
            <w:tcMar>
              <w:top w:w="28" w:type="dxa"/>
              <w:bottom w:w="28" w:type="dxa"/>
            </w:tcMar>
            <w:vAlign w:val="bottom"/>
          </w:tcPr>
          <w:p>
            <w:pPr>
              <w:pStyle w:val="TableContents"/>
              <w:bidi w:val="0"/>
              <w:spacing w:before="0" w:after="283"/>
              <w:jc w:val="left"/>
              <w:rPr/>
            </w:pPr>
            <w:r>
              <w:rPr/>
              <w:t>  </w:t>
            </w:r>
          </w:p>
        </w:tc>
        <w:tc>
          <w:tcPr>
            <w:tcW w:w="1428" w:type="dxa"/>
            <w:tcBorders>
              <w:top w:val="single" w:sz="16" w:space="0" w:color="4DC1E4"/>
              <w:bottom w:val="single" w:sz="16" w:space="0" w:color="4DC1E4"/>
              <w:right w:val="single" w:sz="16" w:space="0" w:color="4DC1E4"/>
            </w:tcBorders>
            <w:tcMar>
              <w:top w:w="28" w:type="dxa"/>
              <w:bottom w:w="28" w:type="dxa"/>
              <w:right w:w="40" w:type="dxa"/>
            </w:tcMa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1275" cy="4254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1275" cy="4254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ITEMS TO BE VOTED 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51" w:name="summary636298_49"/>
      <w:bookmarkEnd w:id="51"/>
      <w:r>
        <w:rPr>
          <w:rFonts w:ascii="Times New Roman" w:hAnsi="Times New Roman"/>
          <w:b/>
          <w:sz w:val="20"/>
        </w:rPr>
        <w:t xml:space="preserve">PROPOSAL 4: AMENDMENT TO OUR NINTH AMENDED AND RESTATED CERTIFICATE OF INCORPORATION, AS AMENDED, TO REFLECT DELAWARE LAW PROVISIONS REGARDING OFFICER EXCULPATION </w:t>
      </w:r>
    </w:p>
    <w:p>
      <w:pPr>
        <w:pStyle w:val="TextBody"/>
        <w:bidi w:val="0"/>
        <w:spacing w:before="240" w:after="0"/>
        <w:jc w:val="left"/>
        <w:rPr>
          <w:rFonts w:ascii="Times New Roman" w:hAnsi="Times New Roman"/>
          <w:b/>
          <w:sz w:val="20"/>
        </w:rPr>
      </w:pPr>
      <w:r>
        <w:rPr>
          <w:rFonts w:ascii="Times New Roman" w:hAnsi="Times New Roman"/>
          <w:b/>
          <w:sz w:val="20"/>
        </w:rPr>
        <w:t xml:space="preserve">Background </w:t>
      </w:r>
    </w:p>
    <w:p>
      <w:pPr>
        <w:pStyle w:val="TextBody"/>
        <w:bidi w:val="0"/>
        <w:spacing w:before="240" w:after="0"/>
        <w:jc w:val="both"/>
        <w:rPr>
          <w:rFonts w:ascii="Times New Roman" w:hAnsi="Times New Roman"/>
          <w:sz w:val="20"/>
        </w:rPr>
      </w:pPr>
      <w:r>
        <w:rPr>
          <w:rFonts w:ascii="Times New Roman" w:hAnsi="Times New Roman"/>
          <w:sz w:val="20"/>
        </w:rPr>
        <w:t xml:space="preserve">The State of Delaware, which is our state of incorporation, enacted legislation that enables Delaware corporations to limit the liability of certain officers in limited circumstances under Section 102(b)(7) of the Delaware General Corporation Law (DGCL). Amended DGCL Section 102(b)(7) only permits exculpation for direct claims brought by stockholders for breach of an officers fiduciary duty of care, including class actions, but does not eliminate officers monetary liability for breach of fiduciary duty claims brought by the corporation itself or for derivative claims brought by stockholders in the name of the corporation. Furthermore, the limitation on liability does not apply to breaches of the duty of loyalty, acts or omissions not in good faith or that involve intentional misconduct or a knowing violation of law, or any transaction in which the officer derived an improper personal benefit. </w:t>
      </w:r>
    </w:p>
    <w:p>
      <w:pPr>
        <w:pStyle w:val="TextBody"/>
        <w:bidi w:val="0"/>
        <w:spacing w:before="240" w:after="0"/>
        <w:jc w:val="both"/>
        <w:rPr>
          <w:rFonts w:ascii="Times New Roman" w:hAnsi="Times New Roman"/>
          <w:sz w:val="20"/>
        </w:rPr>
      </w:pPr>
      <w:r>
        <w:rPr>
          <w:rFonts w:ascii="Times New Roman" w:hAnsi="Times New Roman"/>
          <w:sz w:val="20"/>
        </w:rPr>
        <w:t xml:space="preserve">Our Board believes it is important to provide protection from certain liabilities and expenses that may discourage current or prospective officers from serving. In the absence of such protection, qualified officers might be deterred from serving as officers due to exposure to personal liability and the risk that substantial expense will be incurred in defending lawsuits, regardless of merit. In particular, our Board took into account the narrow class and type of claims that such officers would be exculpated from liability pursuant to amended DGCL Section 102(b)(7), the limited number of our officers that would be impacted, and the benefits our Board believes would accrue to us by providing exculpation in accordance with DGCL Section 102(b)(7), including, without limitation, the ability to attract and retain key officers and the potential to reduce litigation costs associated with frivolous lawsuits. </w:t>
      </w:r>
    </w:p>
    <w:p>
      <w:pPr>
        <w:pStyle w:val="TextBody"/>
        <w:bidi w:val="0"/>
        <w:spacing w:before="240" w:after="0"/>
        <w:jc w:val="both"/>
        <w:rPr>
          <w:rFonts w:ascii="Times New Roman" w:hAnsi="Times New Roman"/>
          <w:sz w:val="20"/>
        </w:rPr>
      </w:pPr>
      <w:r>
        <w:rPr>
          <w:rFonts w:ascii="Times New Roman" w:hAnsi="Times New Roman"/>
          <w:sz w:val="20"/>
        </w:rPr>
        <w:t xml:space="preserve">Our Board determined that it is advisable and in the best interests of the Company and our stockholders to amend our Ninth Amended and Restated Certificate of Incorporation, as amended (the Charter), to adopt amended DGCL Section 102(b)(7) and extend exculpation protection to our officers in addition to our directors. We refer to this proposed amendment to our Charter as the Officer Exculpation Amendment in this Proxy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Text of Proposed Officer Exculpation Amendment </w:t>
      </w:r>
    </w:p>
    <w:p>
      <w:pPr>
        <w:pStyle w:val="TextBody"/>
        <w:bidi w:val="0"/>
        <w:spacing w:before="240" w:after="0"/>
        <w:jc w:val="both"/>
        <w:rPr>
          <w:rFonts w:ascii="Times New Roman" w:hAnsi="Times New Roman"/>
          <w:sz w:val="20"/>
        </w:rPr>
      </w:pPr>
      <w:r>
        <w:rPr>
          <w:rFonts w:ascii="Times New Roman" w:hAnsi="Times New Roman"/>
          <w:sz w:val="20"/>
        </w:rPr>
        <w:t xml:space="preserve">Article VII of our Charter currently provides for the exculpation of directors pursuant to and consistent with DGCL Section 102(b)(7), but does not include a provision that allows for the exculpation of officers. To ensure we are able to attract and retain key officers and in an effort to reduce litigation costs associated with frivolous lawsuits, we propose to amend our Charter to add Article XI. </w:t>
      </w:r>
    </w:p>
    <w:p>
      <w:pPr>
        <w:pStyle w:val="TextBody"/>
        <w:bidi w:val="0"/>
        <w:spacing w:before="240" w:after="0"/>
        <w:jc w:val="both"/>
        <w:rPr>
          <w:rFonts w:ascii="Times New Roman" w:hAnsi="Times New Roman"/>
          <w:sz w:val="20"/>
        </w:rPr>
      </w:pPr>
      <w:r>
        <w:rPr>
          <w:rFonts w:ascii="Times New Roman" w:hAnsi="Times New Roman"/>
          <w:sz w:val="20"/>
        </w:rPr>
        <w:t xml:space="preserve">The proposed Certificate of Amendment to our Charter, or the Certificate of Amendment, reflecting the foregoing Officer Exculpation Amendment is attached as Appendix A to this Proxy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Reasons for the Proposed Officer Exculpation Amendment </w:t>
      </w:r>
    </w:p>
    <w:p>
      <w:pPr>
        <w:pStyle w:val="TextBody"/>
        <w:bidi w:val="0"/>
        <w:spacing w:before="240" w:after="0"/>
        <w:jc w:val="both"/>
        <w:rPr>
          <w:rFonts w:ascii="Times New Roman" w:hAnsi="Times New Roman"/>
          <w:sz w:val="20"/>
        </w:rPr>
      </w:pPr>
      <w:r>
        <w:rPr>
          <w:rFonts w:ascii="Times New Roman" w:hAnsi="Times New Roman"/>
          <w:sz w:val="20"/>
        </w:rPr>
        <w:t xml:space="preserve">The rationale of our Board for recommending this amendment is to balance stockholders interest in accountability with their interest in the company being able to attract and retain the highest quality officers and avoiding litigation abuse resulting from the current disparity that exists in the treatment of directors, who oversee and are ultimately accountable for corporate actions, and the officers who execute those actions on behalf of our Board. Our Board considered that the role of directors and officers requires them to make decisions on crucial matters in response to time-sensitive opportunities and challenges, which can create substantial risk of investigations, claims, actions, suits or proceedings seeking to impose liability on the basis of hindsight, especially in the current litigious environment and regardless of the absence of any underlying merit. Our Board believes that limiting concern about personal risk would empower both directors and officers to best exercise their business judgment in furtherance of stockholder interests. We expect our peers to adopt exculpation clauses that limit the personal liability of officers as now permitted by the DGCL, and failing to adopt the proposed Officer Exculpation Amendment could impact our recruitment and retention of exceptional officer candidates that conclude that the potential exposure to liabilities, costs of defense and other risks of proceedings exceeds the benefits of serving as an officer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For the reasons stated above, on March 20, 2024, our Board determined that the proposed Officer Exculpation Amendment is advisable and in the best interest of the Company and our stockholders and authorized and approved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ITEMS TO BE VOTED 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proposed Officer Exculpation Amendment and directed that it be considered at the Annual Meeting. Our Board believes the proposed Officer Exculpation Amendment would better position us to attract top officer candidates, retain our current officers and enable the officers to exercise their business judgment in furtherance of the interests of the stockholders without the potential for distraction posed by the risk of personal liability. Additionally, it would align the protections for our officers with those protections currently afforded to our directors. </w:t>
      </w:r>
    </w:p>
    <w:p>
      <w:pPr>
        <w:pStyle w:val="TextBody"/>
        <w:bidi w:val="0"/>
        <w:spacing w:before="240" w:after="0"/>
        <w:jc w:val="both"/>
        <w:rPr>
          <w:rFonts w:ascii="Times New Roman" w:hAnsi="Times New Roman"/>
          <w:sz w:val="20"/>
        </w:rPr>
      </w:pPr>
      <w:r>
        <w:rPr>
          <w:rFonts w:ascii="Times New Roman" w:hAnsi="Times New Roman"/>
          <w:sz w:val="20"/>
        </w:rPr>
        <w:t xml:space="preserve">The proposed Officer Exculpation Amendment is not being proposed in response to any specific resignation, threat of resignation or refusal to serve by any officer. </w:t>
      </w:r>
    </w:p>
    <w:p>
      <w:pPr>
        <w:pStyle w:val="TextBody"/>
        <w:bidi w:val="0"/>
        <w:spacing w:before="240" w:after="0"/>
        <w:jc w:val="left"/>
        <w:rPr>
          <w:rFonts w:ascii="Times New Roman" w:hAnsi="Times New Roman"/>
          <w:b/>
          <w:sz w:val="20"/>
        </w:rPr>
      </w:pPr>
      <w:r>
        <w:rPr>
          <w:rFonts w:ascii="Times New Roman" w:hAnsi="Times New Roman"/>
          <w:b/>
          <w:sz w:val="20"/>
        </w:rPr>
        <w:t xml:space="preserve">Timing and Effect of the Officer Exculpation Amendment </w:t>
      </w:r>
    </w:p>
    <w:p>
      <w:pPr>
        <w:pStyle w:val="TextBody"/>
        <w:bidi w:val="0"/>
        <w:spacing w:before="240" w:after="0"/>
        <w:jc w:val="both"/>
        <w:rPr>
          <w:rFonts w:ascii="Times New Roman" w:hAnsi="Times New Roman"/>
          <w:sz w:val="20"/>
        </w:rPr>
      </w:pPr>
      <w:r>
        <w:rPr>
          <w:rFonts w:ascii="Times New Roman" w:hAnsi="Times New Roman"/>
          <w:sz w:val="20"/>
        </w:rPr>
        <w:t xml:space="preserve">If the proposed Officer Exculpation Amendment is approved by our stockholders, it will become effective immediately upon the filing of the Certificate of Amendment with the Secretary of State of the State of Delaware, which we expect to file promptly after the Annual Meeting. Other than the proposed addition of Article XI containing the Officer Exculpation Amendment, the remainder of our Charter, will remain unchanged after effectiveness of the Officer Exculpation Amendment. If the proposed Officer Exculpation Amendment is not approved by our stockholders, our Charter will not make such change. In accordance with the DGCL, our Board may elect to abandon the proposed Officer Exculpation Amendment without further action by the stockholders at any time prior to the effectiveness of the filing of the Certificate of Amendment with the Secretary of State of the State of Delaware, notwithstanding stockholder approval of the proposed Officer Exculpation Amendment.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1"/>
        <w:gridCol w:w="305"/>
        <w:gridCol w:w="1429"/>
      </w:tblGrid>
      <w:tr>
        <w:trPr/>
        <w:tc>
          <w:tcPr>
            <w:tcW w:w="8471" w:type="dxa"/>
            <w:tcBorders/>
            <w:vAlign w:val="center"/>
          </w:tcPr>
          <w:p>
            <w:pPr>
              <w:pStyle w:val="TableContents"/>
              <w:bidi w:val="0"/>
              <w:spacing w:before="0" w:after="283"/>
              <w:jc w:val="left"/>
              <w:rPr>
                <w:sz w:val="4"/>
                <w:szCs w:val="4"/>
              </w:rPr>
            </w:pPr>
            <w:r>
              <w:rPr>
                <w:sz w:val="4"/>
                <w:szCs w:val="4"/>
              </w:rPr>
            </w:r>
          </w:p>
        </w:tc>
        <w:tc>
          <w:tcPr>
            <w:tcW w:w="305" w:type="dxa"/>
            <w:tcBorders/>
            <w:vAlign w:val="bottom"/>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8471" w:type="dxa"/>
            <w:tcBorders>
              <w:top w:val="single" w:sz="16" w:space="0" w:color="4DC1E4"/>
              <w:left w:val="single" w:sz="16" w:space="0" w:color="4DC1E4"/>
              <w:bottom w:val="single" w:sz="16" w:space="0" w:color="4DC1E4"/>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 xml:space="preserve">THE BOARD UNANIMOUSLY RECOMMENDS A VOTE </w:t>
            </w:r>
            <w:r>
              <w:rPr>
                <w:rFonts w:ascii="Times New Roman" w:hAnsi="Times New Roman"/>
                <w:b/>
                <w:color w:val="538135"/>
                <w:sz w:val="20"/>
              </w:rPr>
              <w:t>FOR</w:t>
            </w:r>
            <w:r>
              <w:rPr>
                <w:rFonts w:ascii="Times New Roman" w:hAnsi="Times New Roman"/>
                <w:sz w:val="20"/>
              </w:rPr>
              <w:t xml:space="preserve"> THE APPROVAL OF AN</w:t>
            </w:r>
          </w:p>
          <w:p>
            <w:pPr>
              <w:pStyle w:val="TableContents"/>
              <w:bidi w:val="0"/>
              <w:spacing w:before="0" w:after="0"/>
              <w:jc w:val="center"/>
              <w:rPr>
                <w:rFonts w:ascii="Times New Roman" w:hAnsi="Times New Roman"/>
                <w:sz w:val="20"/>
              </w:rPr>
            </w:pPr>
            <w:r>
              <w:rPr>
                <w:rFonts w:ascii="Times New Roman" w:hAnsi="Times New Roman"/>
                <w:sz w:val="20"/>
              </w:rPr>
              <w:t>AMENDMENT TO OUR NINTH AMENDED AND RESTATED CERTIFICATE OF</w:t>
            </w:r>
          </w:p>
          <w:p>
            <w:pPr>
              <w:pStyle w:val="TableContents"/>
              <w:bidi w:val="0"/>
              <w:spacing w:before="0" w:after="0"/>
              <w:jc w:val="center"/>
              <w:rPr>
                <w:rFonts w:ascii="Times New Roman" w:hAnsi="Times New Roman"/>
                <w:sz w:val="20"/>
              </w:rPr>
            </w:pPr>
            <w:r>
              <w:rPr>
                <w:rFonts w:ascii="Times New Roman" w:hAnsi="Times New Roman"/>
                <w:sz w:val="20"/>
              </w:rPr>
              <w:t>INCORPORATION, AS AMENDED, TO REFLECT DELAWARE LAW PROVISIONS</w:t>
            </w:r>
          </w:p>
          <w:p>
            <w:pPr>
              <w:pStyle w:val="TableContents"/>
              <w:bidi w:val="0"/>
              <w:spacing w:before="0" w:after="20"/>
              <w:jc w:val="center"/>
              <w:rPr>
                <w:rFonts w:ascii="Times New Roman" w:hAnsi="Times New Roman"/>
                <w:sz w:val="20"/>
              </w:rPr>
            </w:pPr>
            <w:r>
              <w:rPr>
                <w:rFonts w:ascii="Times New Roman" w:hAnsi="Times New Roman"/>
                <w:sz w:val="20"/>
              </w:rPr>
              <w:t>REGARDING OFFICER EXCULPATION.</w:t>
            </w:r>
          </w:p>
        </w:tc>
        <w:tc>
          <w:tcPr>
            <w:tcW w:w="305" w:type="dxa"/>
            <w:tcBorders>
              <w:top w:val="single" w:sz="16" w:space="0" w:color="4DC1E4"/>
              <w:bottom w:val="single" w:sz="16" w:space="0" w:color="4DC1E4"/>
            </w:tcBorders>
            <w:tcMar>
              <w:top w:w="28" w:type="dxa"/>
              <w:bottom w:w="28" w:type="dxa"/>
            </w:tcMar>
            <w:vAlign w:val="bottom"/>
          </w:tcPr>
          <w:p>
            <w:pPr>
              <w:pStyle w:val="TableContents"/>
              <w:bidi w:val="0"/>
              <w:spacing w:before="0" w:after="283"/>
              <w:jc w:val="left"/>
              <w:rPr/>
            </w:pPr>
            <w:r>
              <w:rPr/>
              <w:t>  </w:t>
            </w:r>
          </w:p>
        </w:tc>
        <w:tc>
          <w:tcPr>
            <w:tcW w:w="1429" w:type="dxa"/>
            <w:tcBorders>
              <w:top w:val="single" w:sz="16" w:space="0" w:color="4DC1E4"/>
              <w:bottom w:val="single" w:sz="16" w:space="0" w:color="4DC1E4"/>
              <w:right w:val="single" w:sz="16" w:space="0" w:color="4DC1E4"/>
            </w:tcBorders>
            <w:tcMar>
              <w:top w:w="28" w:type="dxa"/>
              <w:bottom w:w="28" w:type="dxa"/>
              <w:right w:w="40" w:type="dxa"/>
            </w:tcMa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1275" cy="4254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1275" cy="4254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ITEMS TO BE VOTED 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52" w:name="summary636298_50"/>
      <w:bookmarkEnd w:id="52"/>
      <w:r>
        <w:rPr>
          <w:rFonts w:ascii="Times New Roman" w:hAnsi="Times New Roman"/>
          <w:b/>
          <w:sz w:val="20"/>
        </w:rPr>
        <w:t xml:space="preserve">PROPOSAL 5: APPROVAL OF THE ADJOURNMENT OF THE ANNUAL MEETING TO THE EXTENT THERE ARE INSUFFICIENT VOTES AT THE ANNUAL MEETING TO APPROVE PROPOSAL 4 </w:t>
      </w:r>
    </w:p>
    <w:p>
      <w:pPr>
        <w:pStyle w:val="TextBody"/>
        <w:bidi w:val="0"/>
        <w:spacing w:before="240" w:after="0"/>
        <w:jc w:val="both"/>
        <w:rPr>
          <w:rFonts w:ascii="Times New Roman" w:hAnsi="Times New Roman"/>
          <w:sz w:val="20"/>
        </w:rPr>
      </w:pPr>
      <w:r>
        <w:rPr>
          <w:rFonts w:ascii="Times New Roman" w:hAnsi="Times New Roman"/>
          <w:sz w:val="20"/>
        </w:rPr>
        <w:t xml:space="preserve">In the event that the number of shares of common stock present virtually or represented by proxy at the Annual Meeting and voting FOR the adoption of Proposal 4 in this Proxy Statement is insufficient to approve such proposal, we may move to adjourn the Annual Meeting in order to enable us to solicit additional proxies in favor of the adoption of such proposal. If our stockholders approve this proposal, we could adjourn the Annual Meeting without a vote on Proposal 4 to solicit additional proxies and/or to seek to convince stockholders to change their votes in favor of such proposal. If the adjournment is for more than thirty days, a notice of the adjourned meeting shall be given to each stockholder of record entitled to vote at the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For the avoidance of doubt, any proxy authorizing the adjournment of the Annual Meeting shall also authorize successive adjournments thereof, at any meeting so adjourned, to the extent necessary for us to solicit additional proxies in favor of the adoption of such proposal.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2"/>
        <w:gridCol w:w="203"/>
        <w:gridCol w:w="1530"/>
      </w:tblGrid>
      <w:tr>
        <w:trPr/>
        <w:tc>
          <w:tcPr>
            <w:tcW w:w="847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8472" w:type="dxa"/>
            <w:tcBorders>
              <w:top w:val="single" w:sz="16" w:space="0" w:color="4DC1E4"/>
              <w:left w:val="single" w:sz="16" w:space="0" w:color="4DC1E4"/>
              <w:bottom w:val="single" w:sz="16" w:space="0" w:color="4DC1E4"/>
            </w:tcBorders>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sz w:val="20"/>
              </w:rPr>
            </w:pPr>
            <w:r>
              <w:rPr>
                <w:rFonts w:ascii="Times New Roman" w:hAnsi="Times New Roman"/>
                <w:sz w:val="20"/>
              </w:rPr>
              <w:t xml:space="preserve">THE BOARD UNANIMOUSLY RECOMMENDS A VOTE </w:t>
            </w:r>
            <w:r>
              <w:rPr>
                <w:rFonts w:ascii="Times New Roman" w:hAnsi="Times New Roman"/>
                <w:b/>
                <w:color w:val="538135"/>
                <w:sz w:val="20"/>
              </w:rPr>
              <w:t>FOR</w:t>
            </w:r>
            <w:r>
              <w:rPr>
                <w:rFonts w:ascii="Times New Roman" w:hAnsi="Times New Roman"/>
                <w:sz w:val="20"/>
              </w:rPr>
              <w:t xml:space="preserve"> THE APPROVAL OF THE</w:t>
            </w:r>
          </w:p>
          <w:p>
            <w:pPr>
              <w:pStyle w:val="TableContents"/>
              <w:bidi w:val="0"/>
              <w:spacing w:before="0" w:after="0"/>
              <w:jc w:val="center"/>
              <w:rPr>
                <w:rFonts w:ascii="Times New Roman" w:hAnsi="Times New Roman"/>
                <w:sz w:val="20"/>
              </w:rPr>
            </w:pPr>
            <w:r>
              <w:rPr>
                <w:rFonts w:ascii="Times New Roman" w:hAnsi="Times New Roman"/>
                <w:sz w:val="20"/>
              </w:rPr>
              <w:t>ADJOURNMENT OF THE ANNUAL MEETING TO THE EXTEND THERE ARE</w:t>
            </w:r>
          </w:p>
          <w:p>
            <w:pPr>
              <w:pStyle w:val="TableContents"/>
              <w:bidi w:val="0"/>
              <w:spacing w:before="0" w:after="20"/>
              <w:jc w:val="center"/>
              <w:rPr>
                <w:rFonts w:ascii="Times New Roman" w:hAnsi="Times New Roman"/>
                <w:sz w:val="20"/>
              </w:rPr>
            </w:pPr>
            <w:r>
              <w:rPr>
                <w:rFonts w:ascii="Times New Roman" w:hAnsi="Times New Roman"/>
                <w:sz w:val="20"/>
              </w:rPr>
              <w:t>INSUFFICIENT VOTES AT THE ANNUAL MEETING TO APPROVE PROPOSAL 4.</w:t>
            </w:r>
          </w:p>
        </w:tc>
        <w:tc>
          <w:tcPr>
            <w:tcW w:w="203" w:type="dxa"/>
            <w:tcBorders>
              <w:top w:val="single" w:sz="16" w:space="0" w:color="4DC1E4"/>
              <w:bottom w:val="single" w:sz="16" w:space="0" w:color="4DC1E4"/>
            </w:tcBorders>
            <w:tcMar>
              <w:top w:w="28" w:type="dxa"/>
              <w:bottom w:w="28" w:type="dxa"/>
            </w:tcMar>
            <w:vAlign w:val="bottom"/>
          </w:tcPr>
          <w:p>
            <w:pPr>
              <w:pStyle w:val="TableContents"/>
              <w:bidi w:val="0"/>
              <w:spacing w:before="0" w:after="283"/>
              <w:jc w:val="left"/>
              <w:rPr/>
            </w:pPr>
            <w:r>
              <w:rPr/>
              <w:t>  </w:t>
            </w:r>
          </w:p>
        </w:tc>
        <w:tc>
          <w:tcPr>
            <w:tcW w:w="1530" w:type="dxa"/>
            <w:tcBorders>
              <w:top w:val="single" w:sz="16" w:space="0" w:color="4DC1E4"/>
              <w:bottom w:val="single" w:sz="16" w:space="0" w:color="4DC1E4"/>
              <w:right w:val="single" w:sz="16" w:space="0" w:color="4DC1E4"/>
            </w:tcBorders>
            <w:tcMar>
              <w:top w:w="28" w:type="dxa"/>
              <w:bottom w:w="28" w:type="dxa"/>
              <w:right w:w="40" w:type="dxa"/>
            </w:tcMa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41275" cy="4254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1275" cy="4254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53" w:name="summary636298_51"/>
            <w:bookmarkEnd w:id="53"/>
            <w:r>
              <w:rPr>
                <w:rFonts w:ascii="Times New Roman" w:hAnsi="Times New Roman"/>
                <w:b/>
                <w:sz w:val="24"/>
              </w:rPr>
              <w:t>OTHER INFORMATION</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bookmarkStart w:id="54" w:name="summary636298_52"/>
      <w:bookmarkEnd w:id="54"/>
      <w:r>
        <w:rPr>
          <w:rFonts w:ascii="Times New Roman" w:hAnsi="Times New Roman"/>
          <w:b/>
          <w:sz w:val="20"/>
        </w:rPr>
        <w:t xml:space="preserve">OTHER MATTERS </w:t>
      </w:r>
    </w:p>
    <w:p>
      <w:pPr>
        <w:pStyle w:val="TextBody"/>
        <w:bidi w:val="0"/>
        <w:spacing w:before="240" w:after="0"/>
        <w:jc w:val="both"/>
        <w:rPr>
          <w:rFonts w:ascii="Times New Roman" w:hAnsi="Times New Roman"/>
          <w:sz w:val="20"/>
        </w:rPr>
      </w:pPr>
      <w:r>
        <w:rPr>
          <w:rFonts w:ascii="Times New Roman" w:hAnsi="Times New Roman"/>
          <w:sz w:val="20"/>
        </w:rPr>
        <w:t xml:space="preserve">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 </w:t>
      </w:r>
    </w:p>
    <w:p>
      <w:pPr>
        <w:pStyle w:val="TextBody"/>
        <w:bidi w:val="0"/>
        <w:spacing w:before="240" w:after="0"/>
        <w:jc w:val="left"/>
        <w:rPr>
          <w:rFonts w:ascii="Times New Roman" w:hAnsi="Times New Roman"/>
          <w:b/>
          <w:sz w:val="20"/>
        </w:rPr>
      </w:pPr>
      <w:bookmarkStart w:id="55" w:name="summary636298_53"/>
      <w:bookmarkEnd w:id="55"/>
      <w:r>
        <w:rPr>
          <w:rFonts w:ascii="Times New Roman" w:hAnsi="Times New Roman"/>
          <w:b/>
          <w:sz w:val="20"/>
        </w:rPr>
        <w:t xml:space="preserve">REQUIREMENTS FOR SUBMISSION OF STOCKHOLDER PROPOSALS FOR NEXT YEARS ANNUAL MEETING </w:t>
      </w:r>
    </w:p>
    <w:p>
      <w:pPr>
        <w:pStyle w:val="TextBody"/>
        <w:bidi w:val="0"/>
        <w:spacing w:before="240" w:after="0"/>
        <w:jc w:val="both"/>
        <w:rPr>
          <w:rFonts w:ascii="Times New Roman" w:hAnsi="Times New Roman"/>
          <w:sz w:val="20"/>
        </w:rPr>
      </w:pPr>
      <w:r>
        <w:rPr>
          <w:rFonts w:ascii="Times New Roman" w:hAnsi="Times New Roman"/>
          <w:sz w:val="20"/>
        </w:rPr>
        <w:t xml:space="preserve">Stockholders intending to present a proposal to be considered for inclusion in the proxy statement for our 2025 Annual Meeting of Stockholders must submit a proposal that is received at our principal executive offices no later than December 30, 2024, which is the 120th day prior to the first anniversary we released this Proxy Statement to our stockholders for the 2024 Annual Meeting of Stockholders. If we change the date of the 2025 Annual Meeting of Stockholders by more than 30 days from the anniversary of this years Annual Meeting, stockholder proposals must be received no later than the close of business on the tenth day following the day on which public announcement of the date of the meeting was first made in order to be considered for inclusion in our proxy statement. Proposals must be sent via registered, certified, or express mail (or other means that allows the stockholder to determine when the proposal was received by the Secretary) to our Secretary at Larimar Therapeutics, Inc., Three Bala Plaza East, Suite 506, Bala Cynwyd, PA 19004. Proposals must contain the information required under our Bylaws, a copy of which is available upon request to our Secretary, and must comply with the SECs regulations regarding the inclusion of stockholder proposals in Company-sponsored proxy materials. </w:t>
      </w:r>
    </w:p>
    <w:p>
      <w:pPr>
        <w:pStyle w:val="TextBody"/>
        <w:bidi w:val="0"/>
        <w:spacing w:before="240" w:after="0"/>
        <w:jc w:val="both"/>
        <w:rPr>
          <w:rFonts w:ascii="Times New Roman" w:hAnsi="Times New Roman"/>
          <w:sz w:val="20"/>
        </w:rPr>
      </w:pPr>
      <w:r>
        <w:rPr>
          <w:rFonts w:ascii="Times New Roman" w:hAnsi="Times New Roman"/>
          <w:sz w:val="20"/>
        </w:rPr>
        <w:t xml:space="preserve">Stockholders intending to present a proposal or nominate a director for election at our 2025 Annual Meeting of Stockholders without having the proposal or nomination included in our Proxy Statement must comply with the requirements set forth in our Bylaws. Our Bylaws require, among other things, that the Secretary of the Company receive the proposal or nomination, in writing at Three Bala Plaza East, Suite 506, Bala Cynwyd, PA 19004 or via email at investors@larimartx.com, no earlier than the close of business on the 120th day, and no later than the close of business on the 90th day, prior to the first anniversary of the preceding years Annual Meeting. Accordingly, for our 2025 Annual Meeting of Stockholders, our Secretary must receive the proposal or nomination no earlier than January 29, 2025 and no later than the close of business on February 28, 2025. However, if we change the date of the 2025 Annual Meeting of Stockholders by more than 30 days before or 60 days after the anniversary of this years Annual Meeting, stockholder proposals must be received no later than the close of business on the later of the 90th day prior to the scheduled date of the meeting and the tenth day following the day on which public notice of the meeting was first made. Proposals must contain the information required under our Bylaws, a copy of which is available upon request to our Secretary. If the stockholder does not meet the applicable deadlines or comply with the requirements of SEC Rule 14a-4, we may exercise discretionary voting authority under proxies we solicit to vote, in accordance with our best judgment, on any such proposal. </w:t>
      </w:r>
    </w:p>
    <w:p>
      <w:pPr>
        <w:pStyle w:val="TextBody"/>
        <w:bidi w:val="0"/>
        <w:spacing w:before="240" w:after="0"/>
        <w:jc w:val="both"/>
        <w:rPr>
          <w:rFonts w:ascii="Times New Roman" w:hAnsi="Times New Roman"/>
          <w:sz w:val="20"/>
        </w:rPr>
      </w:pPr>
      <w:r>
        <w:rPr>
          <w:rFonts w:ascii="Times New Roman" w:hAnsi="Times New Roman"/>
          <w:sz w:val="20"/>
        </w:rPr>
        <w:t xml:space="preserve">In addition, to comply with the universal proxy rules, stockholders intending to solicit proxies in support of director nominees other than the Companys nominees must provide notice that sets forth the information required by Rule 14a-19 under the Exchange Act in the timeline provided under our Bylaws. </w:t>
      </w:r>
    </w:p>
    <w:p>
      <w:pPr>
        <w:pStyle w:val="TextBody"/>
        <w:bidi w:val="0"/>
        <w:spacing w:before="240" w:after="0"/>
        <w:jc w:val="left"/>
        <w:rPr>
          <w:rFonts w:ascii="Times New Roman" w:hAnsi="Times New Roman"/>
          <w:b/>
          <w:sz w:val="20"/>
        </w:rPr>
      </w:pPr>
      <w:bookmarkStart w:id="56" w:name="summary636298_54"/>
      <w:bookmarkEnd w:id="56"/>
      <w:r>
        <w:rPr>
          <w:rFonts w:ascii="Times New Roman" w:hAnsi="Times New Roman"/>
          <w:b/>
          <w:sz w:val="20"/>
        </w:rPr>
        <w:t xml:space="preserve">STOCKHOLDER COMMUNICATIONS TO THE BOARD </w:t>
      </w:r>
    </w:p>
    <w:p>
      <w:pPr>
        <w:pStyle w:val="TextBody"/>
        <w:bidi w:val="0"/>
        <w:spacing w:before="240" w:after="0"/>
        <w:jc w:val="both"/>
        <w:rPr>
          <w:rFonts w:ascii="Times New Roman" w:hAnsi="Times New Roman"/>
          <w:sz w:val="20"/>
        </w:rPr>
      </w:pPr>
      <w:r>
        <w:rPr>
          <w:rFonts w:ascii="Times New Roman" w:hAnsi="Times New Roman"/>
          <w:sz w:val="20"/>
        </w:rPr>
        <w:t xml:space="preserve">Stockholders and other interested parties may communicate with the Board by writing to the Secretary, Larimar Therapeutics, Inc., Three Bala Plaza East, Suite 506, Bala Cynwyd, PA 19004.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sz w:val="24"/>
              </w:rPr>
            </w:pPr>
            <w:r>
              <w:rPr>
                <w:rFonts w:ascii="Times New Roman" w:hAnsi="Times New Roman"/>
                <w:b/>
                <w:sz w:val="24"/>
              </w:rPr>
              <w:t>OTHER INFORMATION </w:t>
            </w:r>
            <w:r>
              <w:rPr>
                <w:rFonts w:ascii="Times New Roman" w:hAnsi="Times New Roman"/>
                <w:b/>
                <w:i/>
                <w:sz w:val="24"/>
              </w:rPr>
              <w:t>(continued)</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or to exclude a communication if it is illegal, unduly hostile or threatening, or similarly inappropriate. Advertisements, solicitations for periodical or other subscriptions, and other similar communications generally will not be forwarded to the directors. </w:t>
      </w:r>
    </w:p>
    <w:p>
      <w:pPr>
        <w:pStyle w:val="TextBody"/>
        <w:bidi w:val="0"/>
        <w:spacing w:before="240" w:after="0"/>
        <w:jc w:val="left"/>
        <w:rPr>
          <w:rFonts w:ascii="Times New Roman" w:hAnsi="Times New Roman"/>
          <w:b/>
          <w:sz w:val="20"/>
        </w:rPr>
      </w:pPr>
      <w:bookmarkStart w:id="57" w:name="summary636298_55"/>
      <w:bookmarkEnd w:id="57"/>
      <w:r>
        <w:rPr>
          <w:rFonts w:ascii="Times New Roman" w:hAnsi="Times New Roman"/>
          <w:b/>
          <w:sz w:val="20"/>
        </w:rPr>
        <w:t xml:space="preserve">HOUSEHOLDING </w:t>
      </w:r>
    </w:p>
    <w:p>
      <w:pPr>
        <w:pStyle w:val="TextBody"/>
        <w:bidi w:val="0"/>
        <w:spacing w:before="240" w:after="0"/>
        <w:jc w:val="both"/>
        <w:rPr>
          <w:rFonts w:ascii="Times New Roman" w:hAnsi="Times New Roman"/>
          <w:sz w:val="20"/>
        </w:rPr>
      </w:pPr>
      <w:r>
        <w:rPr>
          <w:rFonts w:ascii="Times New Roman" w:hAnsi="Times New Roman"/>
          <w:sz w:val="20"/>
        </w:rPr>
        <w:t xml:space="preserve">Stockholders who share a single address may receive only one copy of this Proxy Statement and the 2023 Annual Report, unless we have received contrary instructions from the impacted stockholders. This practice, known as householding, is designed to reduce our printing and postage costs and the environmental impact of the Annual Meeting. Stockholders who participate in householding will continue to receive separate proxy cards if they received a paper copy of proxy materials in the mail. We agree to deliver promptly, upon written or oral request, a separate copy of the proxy materials to any stockholder at a shared address to which a single copy of these documents were delivered. If your household received only a single set of our proxy materials and you would like a separate copy, please contact our Chief Financial Officer by calling (844) 511-9056 or in writing to Chief Financial Officer, Larimar Therapeutics, Inc., Three Bala Plaza East, Suite 506, Bala Cynwyd, PA 19004. If your household received multiple copies of our proxy materials and you would, in the future, prefer to receive only a single copy, please contact our Chief Financial Officer at the address or phone number listed above. Stockholders who hold shares in street name may contact their brokerage firm, bank, or other nominee to request information about householding. </w:t>
      </w:r>
    </w:p>
    <w:p>
      <w:pPr>
        <w:pStyle w:val="TextBody"/>
        <w:bidi w:val="0"/>
        <w:spacing w:before="240" w:after="0"/>
        <w:jc w:val="left"/>
        <w:rPr>
          <w:rFonts w:ascii="Times New Roman" w:hAnsi="Times New Roman"/>
          <w:b/>
          <w:sz w:val="20"/>
        </w:rPr>
      </w:pPr>
      <w:bookmarkStart w:id="58" w:name="summary636298_56"/>
      <w:bookmarkEnd w:id="58"/>
      <w:r>
        <w:rPr>
          <w:rFonts w:ascii="Times New Roman" w:hAnsi="Times New Roman"/>
          <w:b/>
          <w:sz w:val="20"/>
        </w:rPr>
        <w:t xml:space="preserve">AVAILABILITY OF MATERIALS </w:t>
      </w:r>
    </w:p>
    <w:p>
      <w:pPr>
        <w:pStyle w:val="TextBody"/>
        <w:bidi w:val="0"/>
        <w:spacing w:before="240" w:after="0"/>
        <w:jc w:val="both"/>
        <w:rPr>
          <w:rFonts w:ascii="Times New Roman" w:hAnsi="Times New Roman"/>
          <w:sz w:val="20"/>
        </w:rPr>
      </w:pPr>
      <w:r>
        <w:rPr>
          <w:rFonts w:ascii="Times New Roman" w:hAnsi="Times New Roman"/>
          <w:sz w:val="20"/>
        </w:rPr>
        <w:t xml:space="preserve">Our 2023 Annual Report, including the consolidated financial statements, has been filed with the SEC and provides additional information about us, which is incorporated by reference herein. It is available on the Internet at </w:t>
      </w:r>
      <w:r>
        <w:rPr>
          <w:rFonts w:ascii="Times New Roman" w:hAnsi="Times New Roman"/>
          <w:color w:val="2B7CF4"/>
          <w:sz w:val="20"/>
          <w:u w:val="single"/>
        </w:rPr>
        <w:t>www.larimartx.com</w:t>
      </w:r>
      <w:r>
        <w:rPr>
          <w:rFonts w:ascii="Times New Roman" w:hAnsi="Times New Roman"/>
          <w:sz w:val="20"/>
        </w:rPr>
        <w:t xml:space="preserve"> and is available in paper form (other than exhibits thereto) by first class mail or other equally prompt means to beneficial owners of our common stock, without charge, upon written request to Chief Financial Officer, Larimar Therapeutics, Inc., Three Bala Plaza East, Suite 506, Bala Cynwyd, PA 19004 or at (844) 511-9056. In addition, it is available to beneficial holders of our common stock at </w:t>
      </w:r>
      <w:r>
        <w:rPr>
          <w:rFonts w:ascii="Times New Roman" w:hAnsi="Times New Roman"/>
          <w:color w:val="2B7CF4"/>
          <w:sz w:val="20"/>
          <w:u w:val="single"/>
        </w:rPr>
        <w:t>http://www.edocumentview.com/LRMR</w:t>
      </w:r>
      <w:r>
        <w:rPr>
          <w:rFonts w:ascii="Times New Roman" w:hAnsi="Times New Roman"/>
          <w:sz w:val="20"/>
        </w:rPr>
        <w:t xml:space="preserve"> and to record holders of our common stock at </w:t>
      </w:r>
      <w:r>
        <w:rPr>
          <w:rFonts w:ascii="Times New Roman" w:hAnsi="Times New Roman"/>
          <w:color w:val="2B7CF4"/>
          <w:sz w:val="20"/>
          <w:u w:val="single"/>
        </w:rPr>
        <w:t>http://www.envisionreports.com/LRMR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4DC1E4" w:val="clear"/>
          </w:tcPr>
          <w:p>
            <w:pPr>
              <w:pStyle w:val="TableContents"/>
              <w:bidi w:val="0"/>
              <w:spacing w:before="0" w:after="0"/>
              <w:jc w:val="left"/>
              <w:rPr>
                <w:rFonts w:ascii="Times New Roman" w:hAnsi="Times New Roman"/>
                <w:b/>
                <w:sz w:val="24"/>
              </w:rPr>
            </w:pPr>
            <w:bookmarkStart w:id="59" w:name="summary636298_57"/>
            <w:bookmarkEnd w:id="59"/>
            <w:r>
              <w:rPr>
                <w:rFonts w:ascii="Times New Roman" w:hAnsi="Times New Roman"/>
                <w:b/>
                <w:sz w:val="24"/>
              </w:rPr>
              <w:t>APPENDIX A</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OF </w:t>
      </w:r>
    </w:p>
    <w:p>
      <w:pPr>
        <w:pStyle w:val="TextBody"/>
        <w:bidi w:val="0"/>
        <w:spacing w:before="0" w:after="0"/>
        <w:jc w:val="center"/>
        <w:rPr>
          <w:rFonts w:ascii="Times New Roman" w:hAnsi="Times New Roman"/>
          <w:b/>
          <w:sz w:val="20"/>
        </w:rPr>
      </w:pPr>
      <w:r>
        <w:rPr>
          <w:rFonts w:ascii="Times New Roman" w:hAnsi="Times New Roman"/>
          <w:b/>
          <w:sz w:val="20"/>
        </w:rPr>
        <w:t xml:space="preserve">NINTH AMENDED AND 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LARIMAR THERAPEUTICS, INC. </w:t>
      </w:r>
    </w:p>
    <w:p>
      <w:pPr>
        <w:pStyle w:val="TextBody"/>
        <w:bidi w:val="0"/>
        <w:spacing w:before="200" w:after="0"/>
        <w:jc w:val="both"/>
        <w:rPr>
          <w:rFonts w:ascii="Times New Roman" w:hAnsi="Times New Roman"/>
          <w:sz w:val="20"/>
        </w:rPr>
      </w:pPr>
      <w:r>
        <w:rPr>
          <w:rFonts w:ascii="Times New Roman" w:hAnsi="Times New Roman"/>
          <w:sz w:val="20"/>
        </w:rPr>
        <w:t xml:space="preserve">Larimar Therapeutics, Inc., a Delaware corporation (the Corporation), hereby certifies as follows: </w:t>
      </w:r>
    </w:p>
    <w:p>
      <w:pPr>
        <w:pStyle w:val="TextBody"/>
        <w:bidi w:val="0"/>
        <w:spacing w:before="200" w:after="0"/>
        <w:jc w:val="both"/>
        <w:rPr>
          <w:rFonts w:ascii="Times New Roman" w:hAnsi="Times New Roman"/>
          <w:sz w:val="20"/>
        </w:rPr>
      </w:pPr>
      <w:r>
        <w:rPr>
          <w:rFonts w:ascii="Times New Roman" w:hAnsi="Times New Roman"/>
          <w:sz w:val="20"/>
        </w:rPr>
        <w:t xml:space="preserve">1. The Board of Directors of the Corporation duly adopted resolutions declaring advisable the amendment of the Ninth Amended and Restated Certificate of Incorporation, as amended, of the Corporation (the Certificate of Incorporation) set forth in paragraph 3 of this Certificate of Amendment. </w:t>
      </w:r>
    </w:p>
    <w:p>
      <w:pPr>
        <w:pStyle w:val="TextBody"/>
        <w:bidi w:val="0"/>
        <w:spacing w:before="200" w:after="0"/>
        <w:jc w:val="both"/>
        <w:rPr>
          <w:rFonts w:ascii="Times New Roman" w:hAnsi="Times New Roman"/>
          <w:sz w:val="20"/>
        </w:rPr>
      </w:pPr>
      <w:r>
        <w:rPr>
          <w:rFonts w:ascii="Times New Roman" w:hAnsi="Times New Roman"/>
          <w:sz w:val="20"/>
        </w:rPr>
        <w:t xml:space="preserve">2. The amendment to the Certificate of Incorporation set forth in paragraph 3 of this Certificate of Amendment was duly adopted in accordance with the provisions of Section 242 of the General Corporation Law of the State of Delaware (the DGCL). </w:t>
      </w:r>
    </w:p>
    <w:p>
      <w:pPr>
        <w:pStyle w:val="TextBody"/>
        <w:bidi w:val="0"/>
        <w:spacing w:before="200" w:after="0"/>
        <w:jc w:val="both"/>
        <w:rPr>
          <w:rFonts w:ascii="Times New Roman" w:hAnsi="Times New Roman"/>
          <w:sz w:val="20"/>
        </w:rPr>
      </w:pPr>
      <w:r>
        <w:rPr>
          <w:rFonts w:ascii="Times New Roman" w:hAnsi="Times New Roman"/>
          <w:sz w:val="20"/>
        </w:rPr>
        <w:t xml:space="preserve">3. The Certificate of Incorporation is hereby amended by adding Article XI  Officer Limitation of Liability, which shall read in its entirety as follows: </w:t>
      </w:r>
    </w:p>
    <w:p>
      <w:pPr>
        <w:pStyle w:val="TextBody"/>
        <w:bidi w:val="0"/>
        <w:spacing w:before="360" w:after="0"/>
        <w:jc w:val="center"/>
        <w:rPr>
          <w:rFonts w:ascii="Times New Roman" w:hAnsi="Times New Roman"/>
          <w:sz w:val="20"/>
        </w:rPr>
      </w:pPr>
      <w:r>
        <w:rPr>
          <w:rFonts w:ascii="Times New Roman" w:hAnsi="Times New Roman"/>
          <w:sz w:val="20"/>
        </w:rPr>
        <w:t xml:space="preserve">ARTICLE XI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OFFICER LIMITATION OF LIABILITY </w:t>
      </w:r>
    </w:p>
    <w:p>
      <w:pPr>
        <w:pStyle w:val="TextBody"/>
        <w:bidi w:val="0"/>
        <w:spacing w:before="200" w:after="0"/>
        <w:jc w:val="both"/>
        <w:rPr>
          <w:rFonts w:ascii="Times New Roman" w:hAnsi="Times New Roman"/>
          <w:sz w:val="20"/>
        </w:rPr>
      </w:pPr>
      <w:r>
        <w:rPr>
          <w:rFonts w:ascii="Times New Roman" w:hAnsi="Times New Roman"/>
          <w:sz w:val="20"/>
        </w:rPr>
        <w:t xml:space="preserve">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XI,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 </w:t>
      </w:r>
    </w:p>
    <w:p>
      <w:pPr>
        <w:pStyle w:val="TextBody"/>
        <w:bidi w:val="0"/>
        <w:spacing w:before="200" w:after="0"/>
        <w:jc w:val="both"/>
        <w:rPr>
          <w:rFonts w:ascii="Times New Roman" w:hAnsi="Times New Roman"/>
          <w:sz w:val="20"/>
        </w:rPr>
      </w:pPr>
      <w:r>
        <w:rPr>
          <w:rFonts w:ascii="Times New Roman" w:hAnsi="Times New Roman"/>
          <w:sz w:val="20"/>
        </w:rPr>
        <w:t xml:space="preserve">Any amendment, repeal or modification of this Article XI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 </w:t>
      </w:r>
    </w:p>
    <w:p>
      <w:pPr>
        <w:pStyle w:val="TextBody"/>
        <w:bidi w:val="0"/>
        <w:spacing w:before="200" w:after="0"/>
        <w:jc w:val="both"/>
        <w:rPr>
          <w:rFonts w:ascii="Times New Roman" w:hAnsi="Times New Roman"/>
          <w:sz w:val="20"/>
        </w:rPr>
      </w:pPr>
      <w:r>
        <w:rPr>
          <w:rFonts w:ascii="Times New Roman" w:hAnsi="Times New Roman"/>
          <w:sz w:val="20"/>
        </w:rPr>
        <w:t xml:space="preserve">IN WITNESS WHEREOF, this Certificate of Amendment has been executed by a duly authorized officer of the Corporation on this day     th of     ,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3"/>
        <w:gridCol w:w="60"/>
        <w:gridCol w:w="3669"/>
      </w:tblGrid>
      <w:tr>
        <w:trPr/>
        <w:tc>
          <w:tcPr>
            <w:tcW w:w="35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Larimar Therapeutics, Inc.</w:t>
            </w:r>
          </w:p>
        </w:tc>
      </w:tr>
      <w:tr>
        <w:trPr>
          <w:trHeight w:val="240" w:hRule="atLeast"/>
        </w:trPr>
        <w:tc>
          <w:tcPr>
            <w:tcW w:w="353" w:type="dxa"/>
            <w:tcBorders/>
            <w:vAlign w:val="center"/>
          </w:tcPr>
          <w:p>
            <w:pPr>
              <w:pStyle w:val="TableContents"/>
              <w:bidi w:val="0"/>
              <w:spacing w:before="0" w:after="283"/>
              <w:jc w:val="left"/>
              <w:rPr>
                <w:sz w:val="4"/>
                <w:szCs w:val="4"/>
              </w:rPr>
            </w:pPr>
            <w:r>
              <w:rPr>
                <w:sz w:val="4"/>
                <w:szCs w:val="4"/>
              </w:rPr>
            </w:r>
          </w:p>
        </w:tc>
        <w:tc>
          <w:tcPr>
            <w:tcW w:w="3729" w:type="dxa"/>
            <w:gridSpan w:val="2"/>
            <w:tcBorders/>
            <w:vAlign w:val="center"/>
          </w:tcPr>
          <w:p>
            <w:pPr>
              <w:pStyle w:val="TableContents"/>
              <w:bidi w:val="0"/>
              <w:spacing w:before="0" w:after="283"/>
              <w:jc w:val="left"/>
              <w:rPr>
                <w:sz w:val="4"/>
                <w:szCs w:val="4"/>
              </w:rPr>
            </w:pPr>
            <w:r>
              <w:rPr>
                <w:sz w:val="4"/>
                <w:szCs w:val="4"/>
              </w:rPr>
            </w:r>
          </w:p>
        </w:tc>
      </w:tr>
      <w:tr>
        <w:trPr/>
        <w:tc>
          <w:tcPr>
            <w:tcW w:w="353" w:type="dxa"/>
            <w:tcBorders/>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pBdr>
                <w:bottom w:val="single" w:sz="2" w:space="1" w:color="000000"/>
              </w:pBdr>
              <w:bidi w:val="0"/>
              <w:spacing w:before="0" w:after="20"/>
              <w:jc w:val="both"/>
              <w:rPr/>
            </w:pPr>
            <w:r>
              <w:rPr/>
              <w:t> </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Name: Carole S. Ben-Maimon, M.D.</w:t>
            </w:r>
          </w:p>
        </w:tc>
      </w:tr>
      <w:tr>
        <w:trPr/>
        <w:tc>
          <w:tcPr>
            <w:tcW w:w="35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9"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Title: President and Chief Executive Officer</w:t>
            </w:r>
          </w:p>
        </w:tc>
      </w:tr>
    </w:tbl>
    <w:p>
      <w:pPr>
        <w:pStyle w:val="TextBody"/>
        <w:bidi w:val="0"/>
        <w:spacing w:before="0" w:after="0"/>
        <w:jc w:val="left"/>
        <w:rPr/>
      </w:pPr>
      <w:r>
        <w:rPr/>
        <w:t> </w:t>
      </w:r>
    </w:p>
    <w:p>
      <w:pPr>
        <w:pStyle w:val="TextBody"/>
        <w:bidi w:val="0"/>
        <w:spacing w:before="0" w:after="0"/>
        <w:jc w:val="right"/>
        <w:rPr>
          <w:rFonts w:ascii="Times New Roman" w:hAnsi="Times New Roman"/>
          <w:b/>
          <w:sz w:val="20"/>
        </w:rPr>
      </w:pPr>
      <w:r>
        <w:rPr>
          <w:rFonts w:ascii="Times New Roman" w:hAnsi="Times New Roman"/>
          <w:b/>
          <w:color w:val="4DC1E4"/>
          <w:sz w:val="20"/>
        </w:rPr>
        <w:t>Notice of Annual Meeting of Stockholders</w:t>
      </w:r>
      <w:r>
        <w:rPr>
          <w:rFonts w:ascii="Times New Roman" w:hAnsi="Times New Roman"/>
          <w:b/>
          <w:sz w:val="20"/>
        </w:rPr>
        <w:t xml:space="preserve"> and 2024 Proxy Statement | 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101060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both"/>
        <w:rPr>
          <w:rFonts w:ascii="Times New Roman" w:hAnsi="Times New Roman"/>
          <w:color w:val="FFFFFF"/>
          <w:sz w:val="2"/>
        </w:rPr>
      </w:pPr>
      <w:r>
        <w:rPr>
          <w:rFonts w:ascii="Times New Roman" w:hAnsi="Times New Roman"/>
          <w:color w:val="FFFFFF"/>
          <w:sz w:val="2"/>
        </w:rPr>
        <w:t xml:space="preserve">Your vote matters  heres how to vote! You may vote online or by phone instead of mailing this card. Votes submitted telephone or Internet must be received by May 28, 2024 at 11:59 P.M., Eastern (U.S.) time Online Go to www.envisionreports.com/LRMR or scan the QR code  login details are located in the shaded bar below. Phone Call toll free 1-800-652-VOTE (8683) within the USA, US territories and Canada Save paper, time and money! Sign up for electronic delivery at www.envisionreports.com/LRMR Using a black ink pen, mark your votes with an X as shown in this example. Please do not write outside the designated areas. 2024 Annual Meeting Proxy Card IF VOTING BY MAIL, SIGN, DETACH AND RETURN THE BOTTOM PORTION IN THE ENCLOSED ENVELOPE. Proposals  The Board of Directors recommend a vote FOR the nominees listed and FOR Proposals 2, 3, 4 and 5. 1. Election of Class I Directors for a Three-Year Term Expiring in 2027 01 - Jonathan Leff For Withhold 02 - Jeffrey W. Sherman, M.D., FACP 2. Approval, on an Advisory Basis, of the Compensation of our Named Executive Officers in 2023 1. Election of Class I Directors for a Three-Year Term Expiring in 2027 For Against Abstain 3. Ratification of Appointment of PricewaterhouseCoopers LLP as our Independent Registered Public Accounting Firm for the 2024 Fiscal Year 4. Approval of an amendment to our Ninth Amended and Restated Certificate of Incorporation, as amended, to reflect Delaware law provisions regarding officer exculpation For Against Abstain 5. Approval of an adjournment of the Annual Meeting to the extent there are insufficient votes at the Annual Meeting to approve Proposal 4 Authorized Signatures  This section must be completed for your vote to count. Please date and sign below. Please sign exactly as name(s) appears hereon. Joint owners should each sign. When signing as attorney, executor, administrator, corporate officer, trustee, guardian, or custodian, please give full title. Date (mm/dd/yyyy)  Please print date below. Signature 1  Please keep signature within the box. Signature 2  Please keep signature within the box. 1 U P X 03YRUC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810500" cy="101060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spacing w:before="0" w:after="283"/>
        <w:jc w:val="both"/>
        <w:rPr>
          <w:rFonts w:ascii="Times New Roman" w:hAnsi="Times New Roman"/>
          <w:color w:val="FFFFFF"/>
          <w:sz w:val="2"/>
        </w:rPr>
      </w:pPr>
      <w:r>
        <w:rPr>
          <w:rFonts w:ascii="Times New Roman" w:hAnsi="Times New Roman"/>
          <w:color w:val="FFFFFF"/>
          <w:sz w:val="2"/>
        </w:rPr>
        <w:t xml:space="preserve">The 2024 Annual Meeting of Stockholders of Larimar Therapeutics, Inc. will be held on Wednesday, May 29, 2024, at 11:00 A.M. Eastern time, virtually via live webcast at meetnow.global/MN99LW9. To access the virtual meeting, you must have the information that is printed in the shaded bar located on the reverse side of this form. Important notice regarding the Internet availability of proxy materials for the Annual Meeting of Stockholders. The material is available at: www.envisionreports.com/LRMR Small steps make an impact. Help the environment by consenting to receive electronic delivery, sign up at www.envisionreports.com/LRMR IF VOTING BY MAIL, SIGN, DETACH AND RETURN THE BOTTOM PORTION IN THE ENCLOSED ENVELOPE. Larimar Therapeutics, Inc. Notice of 2024 Annual Meeting of Stockholders Proxy Solicited by Board of Directors for Annual Meeting  May 29, 2024 Carole S. Ben-Maimon, M.D.; Michael Celano or either of them, each with the power of substitution, are hereby authorized to represent and vote the shares of the undersigned, with all the powers which the undersigned would possess if personally present, at the Annual Meeting of Stockholders of Larimar Therapeutics, Inc. to be held on May 29, 2024 or at any postponement or adjournment thereof. Shares represented by this proxy will be voted as instructed by the undersigned. If no such directions are indicated, the Proxies will have authority to vote FOR the nominees listed and FOR Proposals 2, 3, 4 and 5. In their discretion, the Proxies are authorized to vote upon such other business as may properly come before the meeting. (Items to be voted appear on reverse side) C Non-Voting Items Change of Address  Please print new address below. Comments  Please print your comments below.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1.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2.jpeg"/><Relationship Id="rId17" Type="http://schemas.openxmlformats.org/officeDocument/2006/relationships/image" Target="media/image12.jpeg"/><Relationship Id="rId18" Type="http://schemas.openxmlformats.org/officeDocument/2006/relationships/image" Target="media/image12.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56</Pages>
  <Words>25877</Words>
  <Characters>138180</Characters>
  <CharactersWithSpaces>164836</CharactersWithSpaces>
  <Paragraphs>3616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 14A</dc:title>
</cp:coreProperties>
</file>